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Ex1.xml" ContentType="application/vnd.ms-office.chartex+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0E23B" w14:textId="49F175FE" w:rsidR="00244200" w:rsidRPr="007F0FA7" w:rsidRDefault="007C1956" w:rsidP="005170DF">
      <w:pPr>
        <w:pStyle w:val="Textoindependiente"/>
        <w:rPr>
          <w:rFonts w:ascii="Humanst521 BT" w:hAnsi="Humanst521 BT"/>
          <w:sz w:val="22"/>
          <w:szCs w:val="22"/>
        </w:rPr>
      </w:pPr>
      <w:r w:rsidRPr="007F0FA7">
        <w:rPr>
          <w:rFonts w:ascii="Humanst521 BT" w:hAnsi="Humanst521 BT"/>
          <w:noProof/>
          <w:sz w:val="22"/>
          <w:szCs w:val="22"/>
        </w:rPr>
        <mc:AlternateContent>
          <mc:Choice Requires="wpg">
            <w:drawing>
              <wp:anchor distT="0" distB="0" distL="0" distR="0" simplePos="0" relativeHeight="251716096" behindDoc="0" locked="0" layoutInCell="1" allowOverlap="1" wp14:anchorId="0F6BAC6A" wp14:editId="3F637C97">
                <wp:simplePos x="0" y="0"/>
                <wp:positionH relativeFrom="page">
                  <wp:posOffset>7636509</wp:posOffset>
                </wp:positionH>
                <wp:positionV relativeFrom="page">
                  <wp:posOffset>0</wp:posOffset>
                </wp:positionV>
                <wp:extent cx="135890" cy="19627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2785"/>
                          <a:chOff x="0" y="0"/>
                          <a:chExt cx="135890" cy="1962785"/>
                        </a:xfrm>
                      </wpg:grpSpPr>
                      <wps:wsp>
                        <wps:cNvPr id="3" name="Graphic 3"/>
                        <wps:cNvSpPr/>
                        <wps:spPr>
                          <a:xfrm>
                            <a:off x="0" y="0"/>
                            <a:ext cx="135890" cy="473075"/>
                          </a:xfrm>
                          <a:custGeom>
                            <a:avLst/>
                            <a:gdLst/>
                            <a:ahLst/>
                            <a:cxnLst/>
                            <a:rect l="l" t="t" r="r" b="b"/>
                            <a:pathLst>
                              <a:path w="135890" h="473075">
                                <a:moveTo>
                                  <a:pt x="0" y="472832"/>
                                </a:moveTo>
                                <a:lnTo>
                                  <a:pt x="135889" y="472833"/>
                                </a:lnTo>
                                <a:lnTo>
                                  <a:pt x="135889" y="0"/>
                                </a:lnTo>
                                <a:lnTo>
                                  <a:pt x="0" y="0"/>
                                </a:lnTo>
                                <a:lnTo>
                                  <a:pt x="0" y="472832"/>
                                </a:lnTo>
                                <a:close/>
                              </a:path>
                            </a:pathLst>
                          </a:custGeom>
                          <a:solidFill>
                            <a:srgbClr val="33AEA3"/>
                          </a:solidFill>
                        </wps:spPr>
                        <wps:bodyPr wrap="square" lIns="0" tIns="0" rIns="0" bIns="0" rtlCol="0">
                          <a:prstTxWarp prst="textNoShape">
                            <a:avLst/>
                          </a:prstTxWarp>
                          <a:noAutofit/>
                        </wps:bodyPr>
                      </wps:wsp>
                      <wps:wsp>
                        <wps:cNvPr id="4" name="Graphic 4"/>
                        <wps:cNvSpPr/>
                        <wps:spPr>
                          <a:xfrm>
                            <a:off x="0" y="470923"/>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5" name="Graphic 5"/>
                        <wps:cNvSpPr/>
                        <wps:spPr>
                          <a:xfrm>
                            <a:off x="0" y="967654"/>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6" name="Graphic 6"/>
                        <wps:cNvSpPr/>
                        <wps:spPr>
                          <a:xfrm>
                            <a:off x="0" y="1464360"/>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10F94385" id="Group 2" o:spid="_x0000_s1026" style="position:absolute;margin-left:601.3pt;margin-top:0;width:10.7pt;height:154.55pt;z-index:251716096;mso-wrap-distance-left:0;mso-wrap-distance-right:0;mso-position-horizontal-relative:page;mso-position-vertical-relative:page" coordsize="1358,19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">
                <v:shape id="Graphic 3" o:spid="_x0000_s1027" style="position:absolute;width:1358;height:4730;visibility:visible;mso-wrap-style:square;v-text-anchor:top" coordsize="135890,47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" path="m,472832r135889,1l135889,,,,,472832xe" fillcolor="#33aea3" stroked="f">
                  <v:path arrowok="t"/>
                </v:shape>
                <v:shape id="Graphic 4" o:spid="_x0000_s1028" style="position:absolute;top:4709;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" path="m,l,498641r135889,l135889,,,xe" fillcolor="#5cbeb6" stroked="f">
                  <v:path arrowok="t"/>
                </v:shape>
                <v:shape id="Graphic 5" o:spid="_x0000_s1029" style="position:absolute;top:9676;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" path="m,l,498615r135889,1l135889,,,xe" fillcolor="#85cfc7" stroked="f">
                  <v:path arrowok="t"/>
                </v:shape>
                <v:shape id="Graphic 6" o:spid="_x0000_s1030" style="position:absolute;top:14643;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" path="m,498424r135889,l135889,,,,,498424xe" fillcolor="#d5eeec" stroked="f">
                  <v:path arrowok="t"/>
                </v:shape>
                <w10:wrap anchorx="page" anchory="page"/>
              </v:group>
            </w:pict>
          </mc:Fallback>
        </mc:AlternateContent>
      </w:r>
    </w:p>
    <w:p w14:paraId="5873C102" w14:textId="77777777" w:rsidR="00244200" w:rsidRPr="007F0FA7" w:rsidRDefault="00244200" w:rsidP="00093B44">
      <w:pPr>
        <w:pStyle w:val="Textoindependiente"/>
        <w:rPr>
          <w:rFonts w:ascii="Humanst521 BT" w:hAnsi="Humanst521 BT"/>
          <w:sz w:val="22"/>
          <w:szCs w:val="22"/>
        </w:rPr>
      </w:pPr>
    </w:p>
    <w:p w14:paraId="6BC03FD1" w14:textId="77777777" w:rsidR="00244200" w:rsidRPr="007F0FA7" w:rsidRDefault="00244200" w:rsidP="00093B44">
      <w:pPr>
        <w:pStyle w:val="Textoindependiente"/>
        <w:spacing w:before="427"/>
        <w:rPr>
          <w:rFonts w:ascii="Humanst521 BT" w:hAnsi="Humanst521 BT"/>
          <w:sz w:val="22"/>
          <w:szCs w:val="22"/>
        </w:rPr>
      </w:pPr>
    </w:p>
    <w:p w14:paraId="495D29D0" w14:textId="57092C0D" w:rsidR="00244200" w:rsidRPr="00BA3C63" w:rsidRDefault="00E56141" w:rsidP="00CA04DC">
      <w:pPr>
        <w:pStyle w:val="Ttulo"/>
        <w:jc w:val="center"/>
        <w:rPr>
          <w:rFonts w:ascii="Humanst521 BT" w:eastAsiaTheme="majorEastAsia" w:hAnsi="Humanst521 BT" w:cstheme="majorBidi"/>
          <w:color w:val="2F5496" w:themeColor="accent1" w:themeShade="BF"/>
          <w:sz w:val="32"/>
          <w:szCs w:val="32"/>
          <w:lang w:eastAsia="es-CO"/>
        </w:rPr>
      </w:pPr>
      <w:r w:rsidRPr="00BA3C63">
        <w:rPr>
          <w:rFonts w:ascii="Humanst521 BT" w:eastAsiaTheme="majorEastAsia" w:hAnsi="Humanst521 BT" w:cstheme="majorBidi"/>
          <w:color w:val="2F5496" w:themeColor="accent1" w:themeShade="BF"/>
          <w:sz w:val="32"/>
          <w:szCs w:val="32"/>
          <w:lang w:eastAsia="es-CO"/>
        </w:rPr>
        <w:t>A</w:t>
      </w:r>
      <w:r w:rsidR="007C1956" w:rsidRPr="00BA3C63">
        <w:rPr>
          <w:rFonts w:ascii="Humanst521 BT" w:eastAsiaTheme="majorEastAsia" w:hAnsi="Humanst521 BT" w:cstheme="majorBidi"/>
          <w:color w:val="2F5496" w:themeColor="accent1" w:themeShade="BF"/>
          <w:sz w:val="32"/>
          <w:szCs w:val="32"/>
          <w:lang w:eastAsia="es-CO"/>
        </w:rPr>
        <w:t xml:space="preserve">nálisis de las condiciones de salud de la población </w:t>
      </w:r>
      <w:r w:rsidR="00673C58" w:rsidRPr="00BA3C63">
        <w:rPr>
          <w:rFonts w:ascii="Humanst521 BT" w:eastAsiaTheme="majorEastAsia" w:hAnsi="Humanst521 BT" w:cstheme="majorBidi"/>
          <w:color w:val="2F5496" w:themeColor="accent1" w:themeShade="BF"/>
          <w:sz w:val="32"/>
          <w:szCs w:val="32"/>
          <w:lang w:eastAsia="es-CO"/>
        </w:rPr>
        <w:t>afiliada UISALUD</w:t>
      </w:r>
      <w:r w:rsidRPr="00BA3C63">
        <w:rPr>
          <w:rFonts w:ascii="Humanst521 BT" w:eastAsiaTheme="majorEastAsia" w:hAnsi="Humanst521 BT" w:cstheme="majorBidi"/>
          <w:color w:val="2F5496" w:themeColor="accent1" w:themeShade="BF"/>
          <w:sz w:val="32"/>
          <w:szCs w:val="32"/>
          <w:lang w:eastAsia="es-CO"/>
        </w:rPr>
        <w:t xml:space="preserve"> 202</w:t>
      </w:r>
      <w:r w:rsidR="007D189C" w:rsidRPr="00BA3C63">
        <w:rPr>
          <w:rFonts w:ascii="Humanst521 BT" w:eastAsiaTheme="majorEastAsia" w:hAnsi="Humanst521 BT" w:cstheme="majorBidi"/>
          <w:color w:val="2F5496" w:themeColor="accent1" w:themeShade="BF"/>
          <w:sz w:val="32"/>
          <w:szCs w:val="32"/>
          <w:lang w:eastAsia="es-CO"/>
        </w:rPr>
        <w:t>5</w:t>
      </w:r>
    </w:p>
    <w:p w14:paraId="1619F831" w14:textId="77777777" w:rsidR="00244200" w:rsidRPr="00BA3C63" w:rsidRDefault="007C1956" w:rsidP="00CA04DC">
      <w:pPr>
        <w:pStyle w:val="Textoindependiente"/>
        <w:ind w:left="478"/>
        <w:jc w:val="center"/>
        <w:rPr>
          <w:rFonts w:ascii="Humanst521 BT" w:hAnsi="Humanst521 BT"/>
          <w:sz w:val="32"/>
          <w:szCs w:val="32"/>
        </w:rPr>
      </w:pPr>
      <w:r w:rsidRPr="00BA3C63">
        <w:rPr>
          <w:rFonts w:ascii="Humanst521 BT" w:hAnsi="Humanst521 BT"/>
          <w:noProof/>
          <w:sz w:val="32"/>
          <w:szCs w:val="32"/>
        </w:rPr>
        <mc:AlternateContent>
          <mc:Choice Requires="wpg">
            <w:drawing>
              <wp:inline distT="0" distB="0" distL="0" distR="0" wp14:anchorId="1EB1D3CF" wp14:editId="14A77BCA">
                <wp:extent cx="5300980" cy="6667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0980" cy="66675"/>
                          <a:chOff x="0" y="0"/>
                          <a:chExt cx="4967605" cy="12700"/>
                        </a:xfrm>
                      </wpg:grpSpPr>
                      <wps:wsp>
                        <wps:cNvPr id="8" name="Graphic 8"/>
                        <wps:cNvSpPr/>
                        <wps:spPr>
                          <a:xfrm>
                            <a:off x="0" y="6350"/>
                            <a:ext cx="4967605" cy="1270"/>
                          </a:xfrm>
                          <a:custGeom>
                            <a:avLst/>
                            <a:gdLst/>
                            <a:ahLst/>
                            <a:cxnLst/>
                            <a:rect l="l" t="t" r="r" b="b"/>
                            <a:pathLst>
                              <a:path w="4967605">
                                <a:moveTo>
                                  <a:pt x="0" y="0"/>
                                </a:moveTo>
                                <a:lnTo>
                                  <a:pt x="4967605" y="0"/>
                                </a:lnTo>
                              </a:path>
                            </a:pathLst>
                          </a:custGeom>
                          <a:ln w="12700">
                            <a:solidFill>
                              <a:srgbClr val="31B0A4"/>
                            </a:solidFill>
                            <a:prstDash val="solid"/>
                          </a:ln>
                        </wps:spPr>
                        <wps:bodyPr wrap="square" lIns="0" tIns="0" rIns="0" bIns="0" rtlCol="0">
                          <a:prstTxWarp prst="textNoShape">
                            <a:avLst/>
                          </a:prstTxWarp>
                          <a:noAutofit/>
                        </wps:bodyPr>
                      </wps:wsp>
                    </wpg:wgp>
                  </a:graphicData>
                </a:graphic>
              </wp:inline>
            </w:drawing>
          </mc:Choice>
          <mc:Fallback>
            <w:pict>
              <v:group w14:anchorId="6EDE030A" id="Group 7" o:spid="_x0000_s1026" style="width:417.4pt;height:5.25pt;mso-position-horizontal-relative:char;mso-position-vertical-relative:line" coordsize="4967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">
                <v:shape id="Graphic 8" o:spid="_x0000_s1027" style="position:absolute;top:63;width:49676;height:13;visibility:visible;mso-wrap-style:square;v-text-anchor:top" coordsize="49676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" path="m,l4967605,e" filled="f" strokecolor="#31b0a4" strokeweight="1pt">
                  <v:path arrowok="t"/>
                </v:shape>
                <w10:anchorlock/>
              </v:group>
            </w:pict>
          </mc:Fallback>
        </mc:AlternateContent>
      </w:r>
    </w:p>
    <w:p w14:paraId="0BE127DA" w14:textId="77777777" w:rsidR="00673C58" w:rsidRPr="00BA3C63" w:rsidRDefault="00673C58" w:rsidP="00CA04DC">
      <w:pPr>
        <w:jc w:val="center"/>
        <w:rPr>
          <w:rFonts w:ascii="Humanst521 BT" w:hAnsi="Humanst521 BT"/>
          <w:sz w:val="32"/>
          <w:szCs w:val="32"/>
        </w:rPr>
      </w:pPr>
    </w:p>
    <w:p w14:paraId="7D532B4A" w14:textId="3A73E9E7" w:rsidR="00244200" w:rsidRPr="00BA3C63" w:rsidRDefault="007C1956" w:rsidP="00CA04DC">
      <w:pPr>
        <w:jc w:val="center"/>
        <w:rPr>
          <w:rFonts w:ascii="Humanst521 BT" w:hAnsi="Humanst521 BT"/>
          <w:sz w:val="32"/>
          <w:szCs w:val="32"/>
        </w:rPr>
      </w:pPr>
      <w:r w:rsidRPr="00BA3C63">
        <w:rPr>
          <w:rFonts w:ascii="Humanst521 BT" w:hAnsi="Humanst521 BT"/>
          <w:sz w:val="32"/>
          <w:szCs w:val="32"/>
        </w:rPr>
        <w:t>Ministerio</w:t>
      </w:r>
      <w:r w:rsidRPr="00BA3C63">
        <w:rPr>
          <w:rFonts w:ascii="Humanst521 BT" w:hAnsi="Humanst521 BT"/>
          <w:spacing w:val="-10"/>
          <w:sz w:val="32"/>
          <w:szCs w:val="32"/>
        </w:rPr>
        <w:t xml:space="preserve"> </w:t>
      </w:r>
      <w:r w:rsidRPr="00BA3C63">
        <w:rPr>
          <w:rFonts w:ascii="Humanst521 BT" w:hAnsi="Humanst521 BT"/>
          <w:sz w:val="32"/>
          <w:szCs w:val="32"/>
        </w:rPr>
        <w:t>de</w:t>
      </w:r>
      <w:r w:rsidRPr="00BA3C63">
        <w:rPr>
          <w:rFonts w:ascii="Humanst521 BT" w:hAnsi="Humanst521 BT"/>
          <w:spacing w:val="-10"/>
          <w:sz w:val="32"/>
          <w:szCs w:val="32"/>
        </w:rPr>
        <w:t xml:space="preserve"> </w:t>
      </w:r>
      <w:r w:rsidRPr="00BA3C63">
        <w:rPr>
          <w:rFonts w:ascii="Humanst521 BT" w:hAnsi="Humanst521 BT"/>
          <w:sz w:val="32"/>
          <w:szCs w:val="32"/>
        </w:rPr>
        <w:t>Salud</w:t>
      </w:r>
      <w:r w:rsidRPr="00BA3C63">
        <w:rPr>
          <w:rFonts w:ascii="Humanst521 BT" w:hAnsi="Humanst521 BT"/>
          <w:spacing w:val="-10"/>
          <w:sz w:val="32"/>
          <w:szCs w:val="32"/>
        </w:rPr>
        <w:t xml:space="preserve"> </w:t>
      </w:r>
      <w:r w:rsidRPr="00BA3C63">
        <w:rPr>
          <w:rFonts w:ascii="Humanst521 BT" w:hAnsi="Humanst521 BT"/>
          <w:sz w:val="32"/>
          <w:szCs w:val="32"/>
        </w:rPr>
        <w:t>y</w:t>
      </w:r>
      <w:r w:rsidRPr="00BA3C63">
        <w:rPr>
          <w:rFonts w:ascii="Humanst521 BT" w:hAnsi="Humanst521 BT"/>
          <w:spacing w:val="-9"/>
          <w:sz w:val="32"/>
          <w:szCs w:val="32"/>
        </w:rPr>
        <w:t xml:space="preserve"> </w:t>
      </w:r>
      <w:r w:rsidRPr="00BA3C63">
        <w:rPr>
          <w:rFonts w:ascii="Humanst521 BT" w:hAnsi="Humanst521 BT"/>
          <w:sz w:val="32"/>
          <w:szCs w:val="32"/>
        </w:rPr>
        <w:t>Protección</w:t>
      </w:r>
      <w:r w:rsidRPr="00BA3C63">
        <w:rPr>
          <w:rFonts w:ascii="Humanst521 BT" w:hAnsi="Humanst521 BT"/>
          <w:spacing w:val="-9"/>
          <w:sz w:val="32"/>
          <w:szCs w:val="32"/>
        </w:rPr>
        <w:t xml:space="preserve"> </w:t>
      </w:r>
      <w:r w:rsidRPr="00BA3C63">
        <w:rPr>
          <w:rFonts w:ascii="Humanst521 BT" w:hAnsi="Humanst521 BT"/>
          <w:spacing w:val="-2"/>
          <w:sz w:val="32"/>
          <w:szCs w:val="32"/>
        </w:rPr>
        <w:t>Social</w:t>
      </w:r>
    </w:p>
    <w:p w14:paraId="7AB0BEA0" w14:textId="77777777" w:rsidR="00244200" w:rsidRPr="00BA3C63" w:rsidRDefault="00244200" w:rsidP="00CA04DC">
      <w:pPr>
        <w:jc w:val="center"/>
        <w:rPr>
          <w:rFonts w:ascii="Humanst521 BT" w:hAnsi="Humanst521 BT"/>
          <w:sz w:val="32"/>
          <w:szCs w:val="32"/>
        </w:rPr>
      </w:pPr>
    </w:p>
    <w:p w14:paraId="698DECFE" w14:textId="77777777" w:rsidR="00244200" w:rsidRPr="007F0FA7" w:rsidRDefault="00244200" w:rsidP="00093B44">
      <w:pPr>
        <w:pStyle w:val="Textoindependiente"/>
        <w:rPr>
          <w:rFonts w:ascii="Humanst521 BT" w:hAnsi="Humanst521 BT"/>
          <w:sz w:val="22"/>
          <w:szCs w:val="22"/>
        </w:rPr>
      </w:pPr>
    </w:p>
    <w:p w14:paraId="04C9C9A2" w14:textId="77777777" w:rsidR="00244200" w:rsidRPr="007F0FA7" w:rsidRDefault="00244200" w:rsidP="00093B44">
      <w:pPr>
        <w:pStyle w:val="Textoindependiente"/>
        <w:rPr>
          <w:rFonts w:ascii="Humanst521 BT" w:hAnsi="Humanst521 BT"/>
          <w:sz w:val="22"/>
          <w:szCs w:val="22"/>
        </w:rPr>
      </w:pPr>
    </w:p>
    <w:p w14:paraId="3CBBCE70" w14:textId="64D08EC1" w:rsidR="00244200" w:rsidRPr="007F0FA7" w:rsidRDefault="007C1956" w:rsidP="00CA04DC">
      <w:pPr>
        <w:pStyle w:val="Textoindependiente"/>
        <w:rPr>
          <w:rFonts w:ascii="Humanst521 BT" w:hAnsi="Humanst521 BT"/>
          <w:sz w:val="22"/>
          <w:szCs w:val="22"/>
        </w:rPr>
      </w:pPr>
      <w:r w:rsidRPr="007F0FA7">
        <w:rPr>
          <w:rFonts w:ascii="Humanst521 BT" w:hAnsi="Humanst521 BT"/>
          <w:noProof/>
          <w:sz w:val="22"/>
          <w:szCs w:val="22"/>
        </w:rPr>
        <mc:AlternateContent>
          <mc:Choice Requires="wpg">
            <w:drawing>
              <wp:anchor distT="0" distB="0" distL="0" distR="0" simplePos="0" relativeHeight="251718144" behindDoc="0" locked="0" layoutInCell="1" allowOverlap="1" wp14:anchorId="45302007" wp14:editId="2DC7DD5E">
                <wp:simplePos x="0" y="0"/>
                <wp:positionH relativeFrom="page">
                  <wp:posOffset>7636509</wp:posOffset>
                </wp:positionH>
                <wp:positionV relativeFrom="page">
                  <wp:posOffset>0</wp:posOffset>
                </wp:positionV>
                <wp:extent cx="135890" cy="19634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11" name="Graphic 11"/>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12" name="Graphic 12"/>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13" name="Graphic 13"/>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14" name="Graphic 14"/>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2C1D6912" id="Group 10" o:spid="_x0000_s1026" style="position:absolute;margin-left:601.3pt;margin-top:0;width:10.7pt;height:154.6pt;z-index:251718144;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">
                <v:shape id="Graphic 11"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" path="m,473467r135889,1l135889,,,,,473467xe" fillcolor="#33aea3" stroked="f">
                  <v:path arrowok="t"/>
                </v:shape>
                <v:shape id="Graphic 12"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" path="m,l,498641r135889,l135889,,,xe" fillcolor="#5cbeb6" stroked="f">
                  <v:path arrowok="t"/>
                </v:shape>
                <v:shape id="Graphic 13"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" path="m,l,498615r135889,1l135889,,,xe" fillcolor="#85cfc7" stroked="f">
                  <v:path arrowok="t"/>
                </v:shape>
                <v:shape id="Graphic 14"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" path="m,498424r135889,l135889,,,,,498424xe" fillcolor="#d5eeec" stroked="f">
                  <v:path arrowok="t"/>
                </v:shape>
                <w10:wrap anchorx="page" anchory="page"/>
              </v:group>
            </w:pict>
          </mc:Fallback>
        </mc:AlternateContent>
      </w:r>
    </w:p>
    <w:p w14:paraId="0BEB6BB8" w14:textId="77777777" w:rsidR="00244200" w:rsidRPr="007F0FA7" w:rsidRDefault="00244200" w:rsidP="00093B44">
      <w:pPr>
        <w:pStyle w:val="Textoindependiente"/>
        <w:rPr>
          <w:rFonts w:ascii="Humanst521 BT" w:hAnsi="Humanst521 BT"/>
          <w:sz w:val="22"/>
          <w:szCs w:val="22"/>
        </w:rPr>
      </w:pPr>
    </w:p>
    <w:p w14:paraId="61901AD4" w14:textId="77777777" w:rsidR="00244200" w:rsidRPr="007F0FA7" w:rsidRDefault="00244200" w:rsidP="00093B44">
      <w:pPr>
        <w:pStyle w:val="Textoindependiente"/>
        <w:rPr>
          <w:rFonts w:ascii="Humanst521 BT" w:hAnsi="Humanst521 BT"/>
          <w:sz w:val="22"/>
          <w:szCs w:val="22"/>
        </w:rPr>
      </w:pPr>
    </w:p>
    <w:p w14:paraId="70621E90" w14:textId="77777777" w:rsidR="00244200" w:rsidRPr="007F0FA7" w:rsidRDefault="00244200" w:rsidP="00093B44">
      <w:pPr>
        <w:pStyle w:val="Textoindependiente"/>
        <w:rPr>
          <w:rFonts w:ascii="Humanst521 BT" w:hAnsi="Humanst521 BT"/>
          <w:sz w:val="22"/>
          <w:szCs w:val="22"/>
        </w:rPr>
      </w:pPr>
    </w:p>
    <w:p w14:paraId="7F3B7B8F" w14:textId="77777777" w:rsidR="00244200" w:rsidRPr="007F0FA7" w:rsidRDefault="00244200" w:rsidP="00093B44">
      <w:pPr>
        <w:pStyle w:val="Textoindependiente"/>
        <w:rPr>
          <w:rFonts w:ascii="Humanst521 BT" w:hAnsi="Humanst521 BT"/>
          <w:sz w:val="22"/>
          <w:szCs w:val="22"/>
        </w:rPr>
      </w:pPr>
    </w:p>
    <w:p w14:paraId="280029E4" w14:textId="77777777" w:rsidR="00244200" w:rsidRPr="007F0FA7" w:rsidRDefault="00244200" w:rsidP="00093B44">
      <w:pPr>
        <w:pStyle w:val="Textoindependiente"/>
        <w:rPr>
          <w:rFonts w:ascii="Humanst521 BT" w:hAnsi="Humanst521 BT"/>
          <w:sz w:val="22"/>
          <w:szCs w:val="22"/>
        </w:rPr>
      </w:pPr>
    </w:p>
    <w:p w14:paraId="2953DCEE" w14:textId="77777777" w:rsidR="00244200" w:rsidRPr="007F0FA7" w:rsidRDefault="00244200" w:rsidP="00093B44">
      <w:pPr>
        <w:pStyle w:val="Textoindependiente"/>
        <w:rPr>
          <w:rFonts w:ascii="Humanst521 BT" w:hAnsi="Humanst521 BT"/>
          <w:sz w:val="22"/>
          <w:szCs w:val="22"/>
        </w:rPr>
      </w:pPr>
    </w:p>
    <w:p w14:paraId="114F6CC8" w14:textId="77777777" w:rsidR="00244200" w:rsidRDefault="00244200" w:rsidP="00093B44">
      <w:pPr>
        <w:pStyle w:val="Textoindependiente"/>
        <w:rPr>
          <w:rFonts w:ascii="Humanst521 BT" w:hAnsi="Humanst521 BT"/>
          <w:sz w:val="22"/>
          <w:szCs w:val="22"/>
        </w:rPr>
      </w:pPr>
    </w:p>
    <w:p w14:paraId="41C97370" w14:textId="77777777" w:rsidR="00CA04DC" w:rsidRDefault="00CA04DC" w:rsidP="00093B44">
      <w:pPr>
        <w:pStyle w:val="Textoindependiente"/>
        <w:rPr>
          <w:rFonts w:ascii="Humanst521 BT" w:hAnsi="Humanst521 BT"/>
          <w:sz w:val="22"/>
          <w:szCs w:val="22"/>
        </w:rPr>
      </w:pPr>
    </w:p>
    <w:p w14:paraId="0A030635" w14:textId="77777777" w:rsidR="00CA04DC" w:rsidRDefault="00CA04DC" w:rsidP="00093B44">
      <w:pPr>
        <w:pStyle w:val="Textoindependiente"/>
        <w:rPr>
          <w:rFonts w:ascii="Humanst521 BT" w:hAnsi="Humanst521 BT"/>
          <w:sz w:val="22"/>
          <w:szCs w:val="22"/>
        </w:rPr>
      </w:pPr>
    </w:p>
    <w:p w14:paraId="1643A549" w14:textId="77777777" w:rsidR="00CA04DC" w:rsidRDefault="00CA04DC" w:rsidP="00093B44">
      <w:pPr>
        <w:pStyle w:val="Textoindependiente"/>
        <w:rPr>
          <w:rFonts w:ascii="Humanst521 BT" w:hAnsi="Humanst521 BT"/>
          <w:sz w:val="22"/>
          <w:szCs w:val="22"/>
        </w:rPr>
      </w:pPr>
    </w:p>
    <w:p w14:paraId="7E920DA8" w14:textId="77777777" w:rsidR="00CA04DC" w:rsidRDefault="00CA04DC" w:rsidP="00093B44">
      <w:pPr>
        <w:pStyle w:val="Textoindependiente"/>
        <w:rPr>
          <w:rFonts w:ascii="Humanst521 BT" w:hAnsi="Humanst521 BT"/>
          <w:sz w:val="22"/>
          <w:szCs w:val="22"/>
        </w:rPr>
      </w:pPr>
    </w:p>
    <w:p w14:paraId="07329CCA" w14:textId="77777777" w:rsidR="00CA04DC" w:rsidRDefault="00CA04DC" w:rsidP="00093B44">
      <w:pPr>
        <w:pStyle w:val="Textoindependiente"/>
        <w:rPr>
          <w:rFonts w:ascii="Humanst521 BT" w:hAnsi="Humanst521 BT"/>
          <w:sz w:val="22"/>
          <w:szCs w:val="22"/>
        </w:rPr>
      </w:pPr>
    </w:p>
    <w:p w14:paraId="43E3EDB0" w14:textId="77777777" w:rsidR="00CA04DC" w:rsidRDefault="00CA04DC" w:rsidP="00093B44">
      <w:pPr>
        <w:pStyle w:val="Textoindependiente"/>
        <w:rPr>
          <w:rFonts w:ascii="Humanst521 BT" w:hAnsi="Humanst521 BT"/>
          <w:sz w:val="22"/>
          <w:szCs w:val="22"/>
        </w:rPr>
      </w:pPr>
    </w:p>
    <w:p w14:paraId="3083DCD7" w14:textId="77777777" w:rsidR="00CA04DC" w:rsidRDefault="00CA04DC" w:rsidP="00093B44">
      <w:pPr>
        <w:pStyle w:val="Textoindependiente"/>
        <w:rPr>
          <w:rFonts w:ascii="Humanst521 BT" w:hAnsi="Humanst521 BT"/>
          <w:sz w:val="22"/>
          <w:szCs w:val="22"/>
        </w:rPr>
      </w:pPr>
    </w:p>
    <w:p w14:paraId="3C414A2B" w14:textId="77777777" w:rsidR="00CA04DC" w:rsidRDefault="00CA04DC" w:rsidP="00093B44">
      <w:pPr>
        <w:pStyle w:val="Textoindependiente"/>
        <w:rPr>
          <w:rFonts w:ascii="Humanst521 BT" w:hAnsi="Humanst521 BT"/>
          <w:sz w:val="22"/>
          <w:szCs w:val="22"/>
        </w:rPr>
      </w:pPr>
    </w:p>
    <w:p w14:paraId="083EAD00" w14:textId="77777777" w:rsidR="00CA04DC" w:rsidRDefault="00CA04DC" w:rsidP="00093B44">
      <w:pPr>
        <w:pStyle w:val="Textoindependiente"/>
        <w:rPr>
          <w:rFonts w:ascii="Humanst521 BT" w:hAnsi="Humanst521 BT"/>
          <w:sz w:val="22"/>
          <w:szCs w:val="22"/>
        </w:rPr>
      </w:pPr>
    </w:p>
    <w:p w14:paraId="20C1B293" w14:textId="77777777" w:rsidR="00CA04DC" w:rsidRDefault="00CA04DC" w:rsidP="00093B44">
      <w:pPr>
        <w:pStyle w:val="Textoindependiente"/>
        <w:rPr>
          <w:rFonts w:ascii="Humanst521 BT" w:hAnsi="Humanst521 BT"/>
          <w:sz w:val="22"/>
          <w:szCs w:val="22"/>
        </w:rPr>
      </w:pPr>
    </w:p>
    <w:p w14:paraId="29170D2C" w14:textId="77777777" w:rsidR="00CA04DC" w:rsidRDefault="00CA04DC" w:rsidP="00093B44">
      <w:pPr>
        <w:pStyle w:val="Textoindependiente"/>
        <w:rPr>
          <w:rFonts w:ascii="Humanst521 BT" w:hAnsi="Humanst521 BT"/>
          <w:sz w:val="22"/>
          <w:szCs w:val="22"/>
        </w:rPr>
      </w:pPr>
    </w:p>
    <w:p w14:paraId="4E3ED7A0" w14:textId="77777777" w:rsidR="00CA04DC" w:rsidRDefault="00CA04DC" w:rsidP="00093B44">
      <w:pPr>
        <w:pStyle w:val="Textoindependiente"/>
        <w:rPr>
          <w:rFonts w:ascii="Humanst521 BT" w:hAnsi="Humanst521 BT"/>
          <w:sz w:val="22"/>
          <w:szCs w:val="22"/>
        </w:rPr>
      </w:pPr>
    </w:p>
    <w:p w14:paraId="2E3AF148" w14:textId="77777777" w:rsidR="00CA04DC" w:rsidRDefault="00CA04DC" w:rsidP="00093B44">
      <w:pPr>
        <w:pStyle w:val="Textoindependiente"/>
        <w:rPr>
          <w:rFonts w:ascii="Humanst521 BT" w:hAnsi="Humanst521 BT"/>
          <w:sz w:val="22"/>
          <w:szCs w:val="22"/>
        </w:rPr>
      </w:pPr>
    </w:p>
    <w:p w14:paraId="10192763" w14:textId="77777777" w:rsidR="00CA04DC" w:rsidRDefault="00CA04DC" w:rsidP="00093B44">
      <w:pPr>
        <w:pStyle w:val="Textoindependiente"/>
        <w:rPr>
          <w:rFonts w:ascii="Humanst521 BT" w:hAnsi="Humanst521 BT"/>
          <w:sz w:val="22"/>
          <w:szCs w:val="22"/>
        </w:rPr>
      </w:pPr>
    </w:p>
    <w:p w14:paraId="59835EC6" w14:textId="77777777" w:rsidR="00CA04DC" w:rsidRDefault="00CA04DC" w:rsidP="00093B44">
      <w:pPr>
        <w:pStyle w:val="Textoindependiente"/>
        <w:rPr>
          <w:rFonts w:ascii="Humanst521 BT" w:hAnsi="Humanst521 BT"/>
          <w:sz w:val="22"/>
          <w:szCs w:val="22"/>
        </w:rPr>
      </w:pPr>
    </w:p>
    <w:p w14:paraId="302A7323" w14:textId="77777777" w:rsidR="00CA04DC" w:rsidRPr="007F0FA7" w:rsidRDefault="00CA04DC" w:rsidP="00093B44">
      <w:pPr>
        <w:pStyle w:val="Textoindependiente"/>
        <w:rPr>
          <w:rFonts w:ascii="Humanst521 BT" w:hAnsi="Humanst521 BT"/>
          <w:sz w:val="22"/>
          <w:szCs w:val="22"/>
        </w:rPr>
      </w:pPr>
    </w:p>
    <w:p w14:paraId="692ACB19" w14:textId="77777777" w:rsidR="00D10602" w:rsidRPr="007F0FA7" w:rsidRDefault="00D10602" w:rsidP="00093B44">
      <w:pPr>
        <w:pStyle w:val="Textoindependiente"/>
        <w:rPr>
          <w:rFonts w:ascii="Humanst521 BT" w:hAnsi="Humanst521 BT"/>
          <w:sz w:val="22"/>
          <w:szCs w:val="22"/>
        </w:rPr>
      </w:pPr>
    </w:p>
    <w:p w14:paraId="0AF71418" w14:textId="77777777" w:rsidR="00D10602" w:rsidRPr="007F0FA7" w:rsidRDefault="00D10602" w:rsidP="00093B44">
      <w:pPr>
        <w:pStyle w:val="Textoindependiente"/>
        <w:rPr>
          <w:rFonts w:ascii="Humanst521 BT" w:hAnsi="Humanst521 BT"/>
          <w:sz w:val="22"/>
          <w:szCs w:val="22"/>
        </w:rPr>
      </w:pPr>
    </w:p>
    <w:p w14:paraId="4C4CE85F" w14:textId="77777777" w:rsidR="00D10602" w:rsidRPr="007F0FA7" w:rsidRDefault="00D10602" w:rsidP="00093B44">
      <w:pPr>
        <w:pStyle w:val="Textoindependiente"/>
        <w:rPr>
          <w:rFonts w:ascii="Humanst521 BT" w:hAnsi="Humanst521 BT"/>
          <w:sz w:val="22"/>
          <w:szCs w:val="22"/>
        </w:rPr>
      </w:pPr>
    </w:p>
    <w:p w14:paraId="41526F32" w14:textId="77777777" w:rsidR="00D10602" w:rsidRPr="007F0FA7" w:rsidRDefault="00D10602" w:rsidP="00093B44">
      <w:pPr>
        <w:pStyle w:val="Textoindependiente"/>
        <w:rPr>
          <w:rFonts w:ascii="Humanst521 BT" w:hAnsi="Humanst521 BT"/>
          <w:sz w:val="22"/>
          <w:szCs w:val="22"/>
        </w:rPr>
      </w:pPr>
    </w:p>
    <w:p w14:paraId="6B66EB77" w14:textId="77777777" w:rsidR="00D10602" w:rsidRPr="007F0FA7" w:rsidRDefault="00D10602" w:rsidP="00093B44">
      <w:pPr>
        <w:pStyle w:val="Textoindependiente"/>
        <w:rPr>
          <w:rFonts w:ascii="Humanst521 BT" w:hAnsi="Humanst521 BT"/>
          <w:sz w:val="22"/>
          <w:szCs w:val="22"/>
        </w:rPr>
      </w:pPr>
    </w:p>
    <w:p w14:paraId="2F0CF1B9" w14:textId="77777777" w:rsidR="00244200" w:rsidRPr="007F0FA7" w:rsidRDefault="00244200" w:rsidP="00093B44">
      <w:pPr>
        <w:pStyle w:val="Textoindependiente"/>
        <w:rPr>
          <w:rFonts w:ascii="Humanst521 BT" w:hAnsi="Humanst521 BT"/>
          <w:sz w:val="22"/>
          <w:szCs w:val="22"/>
        </w:rPr>
      </w:pPr>
    </w:p>
    <w:p w14:paraId="1EA22179" w14:textId="77777777" w:rsidR="00244200" w:rsidRPr="007F0FA7" w:rsidRDefault="00244200" w:rsidP="00093B44">
      <w:pPr>
        <w:pStyle w:val="Textoindependiente"/>
        <w:rPr>
          <w:rFonts w:ascii="Humanst521 BT" w:hAnsi="Humanst521 BT"/>
          <w:sz w:val="22"/>
          <w:szCs w:val="22"/>
        </w:rPr>
      </w:pPr>
    </w:p>
    <w:sdt>
      <w:sdtPr>
        <w:rPr>
          <w:rFonts w:ascii="Verdana" w:eastAsia="Verdana" w:hAnsi="Verdana" w:cs="Verdana"/>
          <w:color w:val="auto"/>
          <w:sz w:val="22"/>
          <w:szCs w:val="22"/>
          <w:lang w:val="es-ES" w:eastAsia="en-US"/>
        </w:rPr>
        <w:id w:val="-755908986"/>
        <w:docPartObj>
          <w:docPartGallery w:val="Table of Contents"/>
          <w:docPartUnique/>
        </w:docPartObj>
      </w:sdtPr>
      <w:sdtEndPr>
        <w:rPr>
          <w:b/>
          <w:bCs/>
        </w:rPr>
      </w:sdtEndPr>
      <w:sdtContent>
        <w:p w14:paraId="122E9FD5" w14:textId="769B9A2B" w:rsidR="00783C35" w:rsidRPr="00735F2B" w:rsidRDefault="00DC0DF6" w:rsidP="00DC0DF6">
          <w:pPr>
            <w:pStyle w:val="TtuloTDC"/>
            <w:jc w:val="center"/>
            <w:rPr>
              <w:rFonts w:ascii="Humanst521 BT" w:hAnsi="Humanst521 BT"/>
              <w:b/>
              <w:bCs/>
              <w:color w:val="auto"/>
            </w:rPr>
          </w:pPr>
          <w:r w:rsidRPr="00735F2B">
            <w:rPr>
              <w:rFonts w:ascii="Humanst521 BT" w:hAnsi="Humanst521 BT"/>
              <w:b/>
              <w:bCs/>
              <w:color w:val="auto"/>
              <w:lang w:val="es-ES"/>
            </w:rPr>
            <w:t>TABLA DE CONTENIDO</w:t>
          </w:r>
        </w:p>
        <w:p w14:paraId="44ADC361" w14:textId="4E56C310" w:rsidR="00735F2B" w:rsidRPr="00735F2B" w:rsidRDefault="0020363D">
          <w:pPr>
            <w:pStyle w:val="TDC1"/>
            <w:tabs>
              <w:tab w:val="right" w:pos="9550"/>
            </w:tabs>
            <w:rPr>
              <w:rFonts w:asciiTheme="minorHAnsi" w:eastAsiaTheme="minorEastAsia" w:hAnsiTheme="minorHAnsi" w:cstheme="minorBidi"/>
              <w:b w:val="0"/>
              <w:bCs w:val="0"/>
              <w:caps w:val="0"/>
              <w:noProof/>
              <w:sz w:val="22"/>
              <w:szCs w:val="22"/>
              <w:lang w:val="es-CO" w:eastAsia="es-CO"/>
            </w:rPr>
          </w:pPr>
          <w:r w:rsidRPr="00735F2B">
            <w:fldChar w:fldCharType="begin"/>
          </w:r>
          <w:r w:rsidRPr="00735F2B">
            <w:instrText xml:space="preserve"> TOC \o "1-4" \h \z \u </w:instrText>
          </w:r>
          <w:r w:rsidRPr="00735F2B">
            <w:fldChar w:fldCharType="separate"/>
          </w:r>
          <w:hyperlink w:anchor="_Toc231286774" w:history="1">
            <w:r w:rsidR="00735F2B" w:rsidRPr="00735F2B">
              <w:rPr>
                <w:rStyle w:val="Hipervnculo"/>
                <w:rFonts w:ascii="Humanst521 BT" w:eastAsiaTheme="majorEastAsia" w:hAnsi="Humanst521 BT" w:cstheme="majorBidi"/>
                <w:noProof/>
                <w:color w:val="auto"/>
                <w:lang w:eastAsia="es-CO"/>
              </w:rPr>
              <w:t>INTRODUCCIÓN</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_Toc231286774 \h </w:instrText>
            </w:r>
            <w:r w:rsidR="00735F2B" w:rsidRPr="00735F2B">
              <w:rPr>
                <w:noProof/>
                <w:webHidden/>
              </w:rPr>
            </w:r>
            <w:r w:rsidR="00735F2B" w:rsidRPr="00735F2B">
              <w:rPr>
                <w:noProof/>
                <w:webHidden/>
              </w:rPr>
              <w:fldChar w:fldCharType="separate"/>
            </w:r>
            <w:r w:rsidR="00735F2B" w:rsidRPr="00735F2B">
              <w:rPr>
                <w:noProof/>
                <w:webHidden/>
              </w:rPr>
              <w:t>8</w:t>
            </w:r>
            <w:r w:rsidR="00735F2B" w:rsidRPr="00735F2B">
              <w:rPr>
                <w:noProof/>
                <w:webHidden/>
              </w:rPr>
              <w:fldChar w:fldCharType="end"/>
            </w:r>
          </w:hyperlink>
        </w:p>
        <w:p w14:paraId="592D2C37" w14:textId="0883A182" w:rsidR="00735F2B" w:rsidRPr="00735F2B" w:rsidRDefault="007C0226">
          <w:pPr>
            <w:pStyle w:val="TDC1"/>
            <w:tabs>
              <w:tab w:val="left" w:pos="440"/>
              <w:tab w:val="right" w:pos="9550"/>
            </w:tabs>
            <w:rPr>
              <w:rFonts w:asciiTheme="minorHAnsi" w:eastAsiaTheme="minorEastAsia" w:hAnsiTheme="minorHAnsi" w:cstheme="minorBidi"/>
              <w:b w:val="0"/>
              <w:bCs w:val="0"/>
              <w:caps w:val="0"/>
              <w:noProof/>
              <w:sz w:val="22"/>
              <w:szCs w:val="22"/>
              <w:lang w:val="es-CO" w:eastAsia="es-CO"/>
            </w:rPr>
          </w:pPr>
          <w:hyperlink w:anchor="_Toc231286775" w:history="1">
            <w:r w:rsidR="00735F2B" w:rsidRPr="00735F2B">
              <w:rPr>
                <w:rStyle w:val="Hipervnculo"/>
                <w:rFonts w:ascii="Humanst521 BT" w:hAnsi="Humanst521 BT"/>
                <w:noProof/>
                <w:color w:val="auto"/>
                <w:spacing w:val="-1"/>
                <w:w w:val="99"/>
              </w:rPr>
              <w:t>1.</w:t>
            </w:r>
            <w:r w:rsidR="00735F2B" w:rsidRPr="00735F2B">
              <w:rPr>
                <w:rFonts w:asciiTheme="minorHAnsi" w:eastAsiaTheme="minorEastAsia" w:hAnsiTheme="minorHAnsi" w:cstheme="minorBidi"/>
                <w:b w:val="0"/>
                <w:bCs w:val="0"/>
                <w:cap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PRESENTACIÓN Y OBJETIVOS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_Toc231286775 \h </w:instrText>
            </w:r>
            <w:r w:rsidR="00735F2B" w:rsidRPr="00735F2B">
              <w:rPr>
                <w:noProof/>
                <w:webHidden/>
              </w:rPr>
            </w:r>
            <w:r w:rsidR="00735F2B" w:rsidRPr="00735F2B">
              <w:rPr>
                <w:noProof/>
                <w:webHidden/>
              </w:rPr>
              <w:fldChar w:fldCharType="separate"/>
            </w:r>
            <w:r w:rsidR="00735F2B" w:rsidRPr="00735F2B">
              <w:rPr>
                <w:noProof/>
                <w:webHidden/>
              </w:rPr>
              <w:t>9</w:t>
            </w:r>
            <w:r w:rsidR="00735F2B" w:rsidRPr="00735F2B">
              <w:rPr>
                <w:noProof/>
                <w:webHidden/>
              </w:rPr>
              <w:fldChar w:fldCharType="end"/>
            </w:r>
          </w:hyperlink>
        </w:p>
        <w:p w14:paraId="35061ADD" w14:textId="20AA46C6" w:rsidR="00735F2B" w:rsidRPr="00735F2B" w:rsidRDefault="007C0226">
          <w:pPr>
            <w:pStyle w:val="TDC1"/>
            <w:tabs>
              <w:tab w:val="left" w:pos="440"/>
              <w:tab w:val="right" w:pos="9550"/>
            </w:tabs>
            <w:rPr>
              <w:rFonts w:asciiTheme="minorHAnsi" w:eastAsiaTheme="minorEastAsia" w:hAnsiTheme="minorHAnsi" w:cstheme="minorBidi"/>
              <w:b w:val="0"/>
              <w:bCs w:val="0"/>
              <w:caps w:val="0"/>
              <w:noProof/>
              <w:sz w:val="22"/>
              <w:szCs w:val="22"/>
              <w:lang w:val="es-CO" w:eastAsia="es-CO"/>
            </w:rPr>
          </w:pPr>
          <w:hyperlink w:anchor="_Toc231286776" w:history="1">
            <w:r w:rsidR="00735F2B" w:rsidRPr="00735F2B">
              <w:rPr>
                <w:rStyle w:val="Hipervnculo"/>
                <w:rFonts w:ascii="Humanst521 BT" w:hAnsi="Humanst521 BT"/>
                <w:noProof/>
                <w:color w:val="auto"/>
                <w:spacing w:val="-1"/>
                <w:w w:val="99"/>
              </w:rPr>
              <w:t>2.</w:t>
            </w:r>
            <w:r w:rsidR="00735F2B" w:rsidRPr="00735F2B">
              <w:rPr>
                <w:rFonts w:asciiTheme="minorHAnsi" w:eastAsiaTheme="minorEastAsia" w:hAnsiTheme="minorHAnsi" w:cstheme="minorBidi"/>
                <w:b w:val="0"/>
                <w:bCs w:val="0"/>
                <w:cap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MARCO NORMATIVO</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_Toc231286776 \h </w:instrText>
            </w:r>
            <w:r w:rsidR="00735F2B" w:rsidRPr="00735F2B">
              <w:rPr>
                <w:noProof/>
                <w:webHidden/>
              </w:rPr>
            </w:r>
            <w:r w:rsidR="00735F2B" w:rsidRPr="00735F2B">
              <w:rPr>
                <w:noProof/>
                <w:webHidden/>
              </w:rPr>
              <w:fldChar w:fldCharType="separate"/>
            </w:r>
            <w:r w:rsidR="00735F2B" w:rsidRPr="00735F2B">
              <w:rPr>
                <w:noProof/>
                <w:webHidden/>
              </w:rPr>
              <w:t>10</w:t>
            </w:r>
            <w:r w:rsidR="00735F2B" w:rsidRPr="00735F2B">
              <w:rPr>
                <w:noProof/>
                <w:webHidden/>
              </w:rPr>
              <w:fldChar w:fldCharType="end"/>
            </w:r>
          </w:hyperlink>
        </w:p>
        <w:p w14:paraId="464164CE" w14:textId="7386672E" w:rsidR="00735F2B" w:rsidRPr="00735F2B" w:rsidRDefault="007C0226">
          <w:pPr>
            <w:pStyle w:val="TDC1"/>
            <w:tabs>
              <w:tab w:val="left" w:pos="440"/>
              <w:tab w:val="right" w:pos="9550"/>
            </w:tabs>
            <w:rPr>
              <w:rFonts w:asciiTheme="minorHAnsi" w:eastAsiaTheme="minorEastAsia" w:hAnsiTheme="minorHAnsi" w:cstheme="minorBidi"/>
              <w:b w:val="0"/>
              <w:bCs w:val="0"/>
              <w:caps w:val="0"/>
              <w:noProof/>
              <w:sz w:val="22"/>
              <w:szCs w:val="22"/>
              <w:lang w:val="es-CO" w:eastAsia="es-CO"/>
            </w:rPr>
          </w:pPr>
          <w:hyperlink w:anchor="_Toc231286777" w:history="1">
            <w:r w:rsidR="00735F2B" w:rsidRPr="00735F2B">
              <w:rPr>
                <w:rStyle w:val="Hipervnculo"/>
                <w:rFonts w:ascii="Humanst521 BT" w:hAnsi="Humanst521 BT"/>
                <w:noProof/>
                <w:color w:val="auto"/>
                <w:spacing w:val="-1"/>
                <w:w w:val="99"/>
              </w:rPr>
              <w:t>3.</w:t>
            </w:r>
            <w:r w:rsidR="00735F2B" w:rsidRPr="00735F2B">
              <w:rPr>
                <w:rFonts w:asciiTheme="minorHAnsi" w:eastAsiaTheme="minorEastAsia" w:hAnsiTheme="minorHAnsi" w:cstheme="minorBidi"/>
                <w:b w:val="0"/>
                <w:bCs w:val="0"/>
                <w:cap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MARCO ESTRATÉGICO DEL PLAN DECENAL DE SALUD PÚBLICA 2022- 2031</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_Toc231286777 \h </w:instrText>
            </w:r>
            <w:r w:rsidR="00735F2B" w:rsidRPr="00735F2B">
              <w:rPr>
                <w:noProof/>
                <w:webHidden/>
              </w:rPr>
            </w:r>
            <w:r w:rsidR="00735F2B" w:rsidRPr="00735F2B">
              <w:rPr>
                <w:noProof/>
                <w:webHidden/>
              </w:rPr>
              <w:fldChar w:fldCharType="separate"/>
            </w:r>
            <w:r w:rsidR="00735F2B" w:rsidRPr="00735F2B">
              <w:rPr>
                <w:noProof/>
                <w:webHidden/>
              </w:rPr>
              <w:t>11</w:t>
            </w:r>
            <w:r w:rsidR="00735F2B" w:rsidRPr="00735F2B">
              <w:rPr>
                <w:noProof/>
                <w:webHidden/>
              </w:rPr>
              <w:fldChar w:fldCharType="end"/>
            </w:r>
          </w:hyperlink>
        </w:p>
        <w:p w14:paraId="55C5087A" w14:textId="42A35FEC" w:rsidR="00735F2B" w:rsidRPr="00735F2B" w:rsidRDefault="007C0226">
          <w:pPr>
            <w:pStyle w:val="TDC1"/>
            <w:tabs>
              <w:tab w:val="left" w:pos="440"/>
              <w:tab w:val="right" w:pos="9550"/>
            </w:tabs>
            <w:rPr>
              <w:rFonts w:asciiTheme="minorHAnsi" w:eastAsiaTheme="minorEastAsia" w:hAnsiTheme="minorHAnsi" w:cstheme="minorBidi"/>
              <w:b w:val="0"/>
              <w:bCs w:val="0"/>
              <w:caps w:val="0"/>
              <w:noProof/>
              <w:sz w:val="22"/>
              <w:szCs w:val="22"/>
              <w:lang w:val="es-CO" w:eastAsia="es-CO"/>
            </w:rPr>
          </w:pPr>
          <w:hyperlink w:anchor="_Toc231286778" w:history="1">
            <w:r w:rsidR="00735F2B" w:rsidRPr="00735F2B">
              <w:rPr>
                <w:rStyle w:val="Hipervnculo"/>
                <w:rFonts w:ascii="Humanst521 BT" w:hAnsi="Humanst521 BT"/>
                <w:noProof/>
                <w:color w:val="auto"/>
                <w:spacing w:val="-1"/>
                <w:w w:val="99"/>
              </w:rPr>
              <w:t>4.</w:t>
            </w:r>
            <w:r w:rsidR="00735F2B" w:rsidRPr="00735F2B">
              <w:rPr>
                <w:rFonts w:asciiTheme="minorHAnsi" w:eastAsiaTheme="minorEastAsia" w:hAnsiTheme="minorHAnsi" w:cstheme="minorBidi"/>
                <w:b w:val="0"/>
                <w:bCs w:val="0"/>
                <w:cap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MARCO CONCEPTUAL</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_Toc231286778 \h </w:instrText>
            </w:r>
            <w:r w:rsidR="00735F2B" w:rsidRPr="00735F2B">
              <w:rPr>
                <w:noProof/>
                <w:webHidden/>
              </w:rPr>
            </w:r>
            <w:r w:rsidR="00735F2B" w:rsidRPr="00735F2B">
              <w:rPr>
                <w:noProof/>
                <w:webHidden/>
              </w:rPr>
              <w:fldChar w:fldCharType="separate"/>
            </w:r>
            <w:r w:rsidR="00735F2B" w:rsidRPr="00735F2B">
              <w:rPr>
                <w:noProof/>
                <w:webHidden/>
              </w:rPr>
              <w:t>13</w:t>
            </w:r>
            <w:r w:rsidR="00735F2B" w:rsidRPr="00735F2B">
              <w:rPr>
                <w:noProof/>
                <w:webHidden/>
              </w:rPr>
              <w:fldChar w:fldCharType="end"/>
            </w:r>
          </w:hyperlink>
        </w:p>
        <w:p w14:paraId="02E321C4" w14:textId="75D39D99" w:rsidR="00735F2B" w:rsidRPr="00735F2B" w:rsidRDefault="007C0226">
          <w:pPr>
            <w:pStyle w:val="TDC2"/>
            <w:tabs>
              <w:tab w:val="left" w:pos="660"/>
              <w:tab w:val="right" w:pos="9550"/>
            </w:tabs>
            <w:rPr>
              <w:rFonts w:eastAsiaTheme="minorEastAsia" w:cstheme="minorBidi"/>
              <w:b w:val="0"/>
              <w:bCs w:val="0"/>
              <w:noProof/>
              <w:sz w:val="22"/>
              <w:szCs w:val="22"/>
              <w:lang w:val="es-CO" w:eastAsia="es-CO"/>
            </w:rPr>
          </w:pPr>
          <w:hyperlink w:anchor="_Toc231286779" w:history="1">
            <w:r w:rsidR="00735F2B" w:rsidRPr="00735F2B">
              <w:rPr>
                <w:rStyle w:val="Hipervnculo"/>
                <w:rFonts w:ascii="Humanst521 BT" w:hAnsi="Humanst521 BT"/>
                <w:noProof/>
                <w:color w:val="auto"/>
                <w:w w:val="99"/>
              </w:rPr>
              <w:t>4.1.</w:t>
            </w:r>
            <w:r w:rsidR="00735F2B" w:rsidRPr="00735F2B">
              <w:rPr>
                <w:rFonts w:eastAsiaTheme="minorEastAsia" w:cstheme="minorBidi"/>
                <w:b w:val="0"/>
                <w:bC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CONFIGURACIÓN DEL TERRITORIO DESDE LA PERSPECTIVA DE LOS DETERMINANTES SOCIALES DE LA SALUD Y EL ENFOQUE DIFERENCIAL</w:t>
            </w:r>
            <w:r w:rsidR="00735F2B" w:rsidRPr="00735F2B">
              <w:rPr>
                <w:rStyle w:val="Hipervnculo"/>
                <w:rFonts w:ascii="Humanst521 BT" w:hAnsi="Humanst521 BT"/>
                <w:noProof/>
                <w:color w:val="auto"/>
              </w:rPr>
              <w:t>.</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_Toc231286779 \h </w:instrText>
            </w:r>
            <w:r w:rsidR="00735F2B" w:rsidRPr="00735F2B">
              <w:rPr>
                <w:noProof/>
                <w:webHidden/>
              </w:rPr>
            </w:r>
            <w:r w:rsidR="00735F2B" w:rsidRPr="00735F2B">
              <w:rPr>
                <w:noProof/>
                <w:webHidden/>
              </w:rPr>
              <w:fldChar w:fldCharType="separate"/>
            </w:r>
            <w:r w:rsidR="00735F2B" w:rsidRPr="00735F2B">
              <w:rPr>
                <w:noProof/>
                <w:webHidden/>
              </w:rPr>
              <w:t>14</w:t>
            </w:r>
            <w:r w:rsidR="00735F2B" w:rsidRPr="00735F2B">
              <w:rPr>
                <w:noProof/>
                <w:webHidden/>
              </w:rPr>
              <w:fldChar w:fldCharType="end"/>
            </w:r>
          </w:hyperlink>
        </w:p>
        <w:p w14:paraId="5E930FD4" w14:textId="036A20E1" w:rsidR="00735F2B" w:rsidRPr="00735F2B" w:rsidRDefault="007C0226">
          <w:pPr>
            <w:pStyle w:val="TDC2"/>
            <w:tabs>
              <w:tab w:val="left" w:pos="660"/>
              <w:tab w:val="right" w:pos="9550"/>
            </w:tabs>
            <w:rPr>
              <w:rFonts w:eastAsiaTheme="minorEastAsia" w:cstheme="minorBidi"/>
              <w:b w:val="0"/>
              <w:bCs w:val="0"/>
              <w:noProof/>
              <w:sz w:val="22"/>
              <w:szCs w:val="22"/>
              <w:lang w:val="es-CO" w:eastAsia="es-CO"/>
            </w:rPr>
          </w:pPr>
          <w:hyperlink w:anchor="_Toc231286780" w:history="1">
            <w:r w:rsidR="00735F2B" w:rsidRPr="00735F2B">
              <w:rPr>
                <w:rStyle w:val="Hipervnculo"/>
                <w:rFonts w:ascii="Humanst521 BT" w:eastAsiaTheme="majorEastAsia" w:hAnsi="Humanst521 BT" w:cstheme="majorBidi"/>
                <w:noProof/>
                <w:color w:val="auto"/>
                <w:w w:val="99"/>
              </w:rPr>
              <w:t>4.2.</w:t>
            </w:r>
            <w:r w:rsidR="00735F2B" w:rsidRPr="00735F2B">
              <w:rPr>
                <w:rFonts w:eastAsiaTheme="minorEastAsia" w:cstheme="minorBidi"/>
                <w:b w:val="0"/>
                <w:bC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SITUACIÓN DE CALIDAD DE VIDA Y SALUD EN EL TERRITORIO: MORBILIDAD, MORTALIDAD, PROBLEMÁTICAS Y NECESIDADES SOCIALES Y AMBIENTALES QUE AFECTAN LA SALUD DE LA POBLACIÓN AFILIADA EN EL TERRITORIO</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_Toc231286780 \h </w:instrText>
            </w:r>
            <w:r w:rsidR="00735F2B" w:rsidRPr="00735F2B">
              <w:rPr>
                <w:noProof/>
                <w:webHidden/>
              </w:rPr>
            </w:r>
            <w:r w:rsidR="00735F2B" w:rsidRPr="00735F2B">
              <w:rPr>
                <w:noProof/>
                <w:webHidden/>
              </w:rPr>
              <w:fldChar w:fldCharType="separate"/>
            </w:r>
            <w:r w:rsidR="00735F2B" w:rsidRPr="00735F2B">
              <w:rPr>
                <w:noProof/>
                <w:webHidden/>
              </w:rPr>
              <w:t>14</w:t>
            </w:r>
            <w:r w:rsidR="00735F2B" w:rsidRPr="00735F2B">
              <w:rPr>
                <w:noProof/>
                <w:webHidden/>
              </w:rPr>
              <w:fldChar w:fldCharType="end"/>
            </w:r>
          </w:hyperlink>
        </w:p>
        <w:p w14:paraId="4AD317A0" w14:textId="44A69818" w:rsidR="00735F2B" w:rsidRPr="00735F2B" w:rsidRDefault="007C0226">
          <w:pPr>
            <w:pStyle w:val="TDC2"/>
            <w:tabs>
              <w:tab w:val="left" w:pos="660"/>
              <w:tab w:val="right" w:pos="9550"/>
            </w:tabs>
            <w:rPr>
              <w:rFonts w:eastAsiaTheme="minorEastAsia" w:cstheme="minorBidi"/>
              <w:b w:val="0"/>
              <w:bCs w:val="0"/>
              <w:noProof/>
              <w:sz w:val="22"/>
              <w:szCs w:val="22"/>
              <w:lang w:val="es-CO" w:eastAsia="es-CO"/>
            </w:rPr>
          </w:pPr>
          <w:hyperlink w:anchor="_Toc231286781" w:history="1">
            <w:r w:rsidR="00735F2B" w:rsidRPr="00735F2B">
              <w:rPr>
                <w:rStyle w:val="Hipervnculo"/>
                <w:rFonts w:ascii="Humanst521 BT" w:eastAsiaTheme="majorEastAsia" w:hAnsi="Humanst521 BT" w:cstheme="majorBidi"/>
                <w:noProof/>
                <w:color w:val="auto"/>
                <w:w w:val="99"/>
              </w:rPr>
              <w:t>4.3.</w:t>
            </w:r>
            <w:r w:rsidR="00735F2B" w:rsidRPr="00735F2B">
              <w:rPr>
                <w:rFonts w:eastAsiaTheme="minorEastAsia" w:cstheme="minorBidi"/>
                <w:b w:val="0"/>
                <w:bC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PRIORIZACIÓN DE LAS NECESIDADES Y PROBLEMÁTICAS EN SALUD DE LOS AFILIADOS.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_Toc231286781 \h </w:instrText>
            </w:r>
            <w:r w:rsidR="00735F2B" w:rsidRPr="00735F2B">
              <w:rPr>
                <w:noProof/>
                <w:webHidden/>
              </w:rPr>
            </w:r>
            <w:r w:rsidR="00735F2B" w:rsidRPr="00735F2B">
              <w:rPr>
                <w:noProof/>
                <w:webHidden/>
              </w:rPr>
              <w:fldChar w:fldCharType="separate"/>
            </w:r>
            <w:r w:rsidR="00735F2B" w:rsidRPr="00735F2B">
              <w:rPr>
                <w:noProof/>
                <w:webHidden/>
              </w:rPr>
              <w:t>15</w:t>
            </w:r>
            <w:r w:rsidR="00735F2B" w:rsidRPr="00735F2B">
              <w:rPr>
                <w:noProof/>
                <w:webHidden/>
              </w:rPr>
              <w:fldChar w:fldCharType="end"/>
            </w:r>
          </w:hyperlink>
        </w:p>
        <w:p w14:paraId="1F3E3D47" w14:textId="10241A70" w:rsidR="00735F2B" w:rsidRPr="00735F2B" w:rsidRDefault="007C0226">
          <w:pPr>
            <w:pStyle w:val="TDC2"/>
            <w:tabs>
              <w:tab w:val="left" w:pos="660"/>
              <w:tab w:val="right" w:pos="9550"/>
            </w:tabs>
            <w:rPr>
              <w:rFonts w:eastAsiaTheme="minorEastAsia" w:cstheme="minorBidi"/>
              <w:b w:val="0"/>
              <w:bCs w:val="0"/>
              <w:noProof/>
              <w:sz w:val="22"/>
              <w:szCs w:val="22"/>
              <w:lang w:val="es-CO" w:eastAsia="es-CO"/>
            </w:rPr>
          </w:pPr>
          <w:hyperlink w:anchor="_Toc231286782" w:history="1">
            <w:r w:rsidR="00735F2B" w:rsidRPr="00735F2B">
              <w:rPr>
                <w:rStyle w:val="Hipervnculo"/>
                <w:rFonts w:ascii="Humanst521 BT" w:eastAsiaTheme="majorEastAsia" w:hAnsi="Humanst521 BT" w:cstheme="majorBidi"/>
                <w:noProof/>
                <w:color w:val="auto"/>
                <w:w w:val="99"/>
              </w:rPr>
              <w:t>4.4.</w:t>
            </w:r>
            <w:r w:rsidR="00735F2B" w:rsidRPr="00735F2B">
              <w:rPr>
                <w:rFonts w:eastAsiaTheme="minorEastAsia" w:cstheme="minorBidi"/>
                <w:b w:val="0"/>
                <w:bC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ACCIONES QUE LA ENTIDAD ENCARGADA DEL ASEGURAMIENTO EN SALUD REALIZA A PARTIR DEL ANÁLISIS Y EN EL MARCO DEL PLAN DECENAL DE SALUD PÚBLICA 2022-2031.</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_Toc231286782 \h </w:instrText>
            </w:r>
            <w:r w:rsidR="00735F2B" w:rsidRPr="00735F2B">
              <w:rPr>
                <w:noProof/>
                <w:webHidden/>
              </w:rPr>
            </w:r>
            <w:r w:rsidR="00735F2B" w:rsidRPr="00735F2B">
              <w:rPr>
                <w:noProof/>
                <w:webHidden/>
              </w:rPr>
              <w:fldChar w:fldCharType="separate"/>
            </w:r>
            <w:r w:rsidR="00735F2B" w:rsidRPr="00735F2B">
              <w:rPr>
                <w:noProof/>
                <w:webHidden/>
              </w:rPr>
              <w:t>16</w:t>
            </w:r>
            <w:r w:rsidR="00735F2B" w:rsidRPr="00735F2B">
              <w:rPr>
                <w:noProof/>
                <w:webHidden/>
              </w:rPr>
              <w:fldChar w:fldCharType="end"/>
            </w:r>
          </w:hyperlink>
        </w:p>
        <w:p w14:paraId="31C192B4" w14:textId="38DC5778" w:rsidR="00735F2B" w:rsidRPr="00735F2B" w:rsidRDefault="007C0226">
          <w:pPr>
            <w:pStyle w:val="TDC1"/>
            <w:tabs>
              <w:tab w:val="left" w:pos="440"/>
              <w:tab w:val="right" w:pos="9550"/>
            </w:tabs>
            <w:rPr>
              <w:rFonts w:asciiTheme="minorHAnsi" w:eastAsiaTheme="minorEastAsia" w:hAnsiTheme="minorHAnsi" w:cstheme="minorBidi"/>
              <w:b w:val="0"/>
              <w:bCs w:val="0"/>
              <w:caps w:val="0"/>
              <w:noProof/>
              <w:sz w:val="22"/>
              <w:szCs w:val="22"/>
              <w:lang w:val="es-CO" w:eastAsia="es-CO"/>
            </w:rPr>
          </w:pPr>
          <w:hyperlink w:anchor="_Toc231286783" w:history="1">
            <w:r w:rsidR="00735F2B" w:rsidRPr="00735F2B">
              <w:rPr>
                <w:rStyle w:val="Hipervnculo"/>
                <w:rFonts w:ascii="Humanst521 BT" w:hAnsi="Humanst521 BT"/>
                <w:noProof/>
                <w:color w:val="auto"/>
                <w:spacing w:val="-1"/>
                <w:w w:val="99"/>
              </w:rPr>
              <w:t>5.</w:t>
            </w:r>
            <w:r w:rsidR="00735F2B" w:rsidRPr="00735F2B">
              <w:rPr>
                <w:rFonts w:asciiTheme="minorHAnsi" w:eastAsiaTheme="minorEastAsia" w:hAnsiTheme="minorHAnsi" w:cstheme="minorBidi"/>
                <w:b w:val="0"/>
                <w:bCs w:val="0"/>
                <w:cap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ANÁLISIS DE LAS CONDICIONES DE SALUD DE LA POBLACIÓN AFILIADA UISALUD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_Toc231286783 \h </w:instrText>
            </w:r>
            <w:r w:rsidR="00735F2B" w:rsidRPr="00735F2B">
              <w:rPr>
                <w:noProof/>
                <w:webHidden/>
              </w:rPr>
            </w:r>
            <w:r w:rsidR="00735F2B" w:rsidRPr="00735F2B">
              <w:rPr>
                <w:noProof/>
                <w:webHidden/>
              </w:rPr>
              <w:fldChar w:fldCharType="separate"/>
            </w:r>
            <w:r w:rsidR="00735F2B" w:rsidRPr="00735F2B">
              <w:rPr>
                <w:noProof/>
                <w:webHidden/>
              </w:rPr>
              <w:t>16</w:t>
            </w:r>
            <w:r w:rsidR="00735F2B" w:rsidRPr="00735F2B">
              <w:rPr>
                <w:noProof/>
                <w:webHidden/>
              </w:rPr>
              <w:fldChar w:fldCharType="end"/>
            </w:r>
          </w:hyperlink>
        </w:p>
        <w:p w14:paraId="6A25C8EC" w14:textId="499E130B" w:rsidR="00735F2B" w:rsidRPr="00735F2B" w:rsidRDefault="007C0226">
          <w:pPr>
            <w:pStyle w:val="TDC2"/>
            <w:tabs>
              <w:tab w:val="left" w:pos="660"/>
              <w:tab w:val="right" w:pos="9550"/>
            </w:tabs>
            <w:rPr>
              <w:rFonts w:eastAsiaTheme="minorEastAsia" w:cstheme="minorBidi"/>
              <w:b w:val="0"/>
              <w:bCs w:val="0"/>
              <w:noProof/>
              <w:sz w:val="22"/>
              <w:szCs w:val="22"/>
              <w:lang w:val="es-CO" w:eastAsia="es-CO"/>
            </w:rPr>
          </w:pPr>
          <w:hyperlink w:anchor="_Toc231286784" w:history="1">
            <w:r w:rsidR="00735F2B" w:rsidRPr="00735F2B">
              <w:rPr>
                <w:rStyle w:val="Hipervnculo"/>
                <w:rFonts w:ascii="Humanst521 BT" w:hAnsi="Humanst521 BT"/>
                <w:noProof/>
                <w:color w:val="auto"/>
                <w:w w:val="99"/>
              </w:rPr>
              <w:t>5.1.</w:t>
            </w:r>
            <w:r w:rsidR="00735F2B" w:rsidRPr="00735F2B">
              <w:rPr>
                <w:rFonts w:eastAsiaTheme="minorEastAsia" w:cstheme="minorBidi"/>
                <w:b w:val="0"/>
                <w:bC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CAPÍTULO 1. CONFIGURACIÓN DEL TERRITORIO DESDE LA PERSPECTIVA DE LOS DETERMINANTES SOCIALES DE LA SALUD Y EL ENFOQUE DIFERENCIAL</w:t>
            </w:r>
            <w:r w:rsidR="00735F2B" w:rsidRPr="00735F2B">
              <w:rPr>
                <w:rStyle w:val="Hipervnculo"/>
                <w:rFonts w:ascii="Humanst521 BT" w:hAnsi="Humanst521 BT"/>
                <w:noProof/>
                <w:color w:val="auto"/>
              </w:rPr>
              <w:t>.</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_Toc231286784 \h </w:instrText>
            </w:r>
            <w:r w:rsidR="00735F2B" w:rsidRPr="00735F2B">
              <w:rPr>
                <w:noProof/>
                <w:webHidden/>
              </w:rPr>
            </w:r>
            <w:r w:rsidR="00735F2B" w:rsidRPr="00735F2B">
              <w:rPr>
                <w:noProof/>
                <w:webHidden/>
              </w:rPr>
              <w:fldChar w:fldCharType="separate"/>
            </w:r>
            <w:r w:rsidR="00735F2B" w:rsidRPr="00735F2B">
              <w:rPr>
                <w:noProof/>
                <w:webHidden/>
              </w:rPr>
              <w:t>17</w:t>
            </w:r>
            <w:r w:rsidR="00735F2B" w:rsidRPr="00735F2B">
              <w:rPr>
                <w:noProof/>
                <w:webHidden/>
              </w:rPr>
              <w:fldChar w:fldCharType="end"/>
            </w:r>
          </w:hyperlink>
        </w:p>
        <w:p w14:paraId="4699F527" w14:textId="7BFD1B9B" w:rsidR="00735F2B" w:rsidRPr="00735F2B" w:rsidRDefault="007C0226">
          <w:pPr>
            <w:pStyle w:val="TDC2"/>
            <w:tabs>
              <w:tab w:val="right" w:pos="9550"/>
            </w:tabs>
            <w:rPr>
              <w:rFonts w:eastAsiaTheme="minorEastAsia" w:cstheme="minorBidi"/>
              <w:b w:val="0"/>
              <w:bCs w:val="0"/>
              <w:noProof/>
              <w:sz w:val="22"/>
              <w:szCs w:val="22"/>
              <w:lang w:val="es-CO" w:eastAsia="es-CO"/>
            </w:rPr>
          </w:pPr>
          <w:hyperlink w:anchor="_Toc231286785" w:history="1">
            <w:r w:rsidR="00735F2B" w:rsidRPr="00735F2B">
              <w:rPr>
                <w:rStyle w:val="Hipervnculo"/>
                <w:rFonts w:ascii="Humanst521 BT" w:hAnsi="Humanst521 BT"/>
                <w:noProof/>
                <w:color w:val="auto"/>
              </w:rPr>
              <w:t>5</w:t>
            </w:r>
            <w:r w:rsidR="00735F2B" w:rsidRPr="00735F2B">
              <w:rPr>
                <w:rStyle w:val="Hipervnculo"/>
                <w:rFonts w:ascii="Humanst521 BT" w:eastAsiaTheme="majorEastAsia" w:hAnsi="Humanst521 BT" w:cstheme="majorBidi"/>
                <w:noProof/>
                <w:color w:val="auto"/>
                <w:lang w:eastAsia="es-CO"/>
              </w:rPr>
              <w:t>.1.1. Configuración espacial, demográfica y socio-ambiental</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_Toc231286785 \h </w:instrText>
            </w:r>
            <w:r w:rsidR="00735F2B" w:rsidRPr="00735F2B">
              <w:rPr>
                <w:noProof/>
                <w:webHidden/>
              </w:rPr>
            </w:r>
            <w:r w:rsidR="00735F2B" w:rsidRPr="00735F2B">
              <w:rPr>
                <w:noProof/>
                <w:webHidden/>
              </w:rPr>
              <w:fldChar w:fldCharType="separate"/>
            </w:r>
            <w:r w:rsidR="00735F2B" w:rsidRPr="00735F2B">
              <w:rPr>
                <w:noProof/>
                <w:webHidden/>
              </w:rPr>
              <w:t>18</w:t>
            </w:r>
            <w:r w:rsidR="00735F2B" w:rsidRPr="00735F2B">
              <w:rPr>
                <w:noProof/>
                <w:webHidden/>
              </w:rPr>
              <w:fldChar w:fldCharType="end"/>
            </w:r>
          </w:hyperlink>
        </w:p>
        <w:p w14:paraId="1B5EB6D5" w14:textId="0D8B7C7F" w:rsidR="00735F2B" w:rsidRPr="00735F2B" w:rsidRDefault="007C0226">
          <w:pPr>
            <w:pStyle w:val="TDC4"/>
            <w:tabs>
              <w:tab w:val="right" w:pos="9550"/>
            </w:tabs>
            <w:rPr>
              <w:rFonts w:eastAsiaTheme="minorEastAsia" w:cstheme="minorBidi"/>
              <w:noProof/>
              <w:sz w:val="22"/>
              <w:szCs w:val="22"/>
              <w:lang w:val="es-CO" w:eastAsia="es-CO"/>
            </w:rPr>
          </w:pPr>
          <w:hyperlink w:anchor="_Toc231286786" w:history="1">
            <w:r w:rsidR="00735F2B" w:rsidRPr="00735F2B">
              <w:rPr>
                <w:rStyle w:val="Hipervnculo"/>
                <w:rFonts w:ascii="Humanst521 BT" w:hAnsi="Humanst521 BT"/>
                <w:b/>
                <w:bCs/>
                <w:noProof/>
                <w:color w:val="auto"/>
              </w:rPr>
              <w:t>5.1.1.1. Distribución geográfica por territorios.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_Toc231286786 \h </w:instrText>
            </w:r>
            <w:r w:rsidR="00735F2B" w:rsidRPr="00735F2B">
              <w:rPr>
                <w:noProof/>
                <w:webHidden/>
              </w:rPr>
            </w:r>
            <w:r w:rsidR="00735F2B" w:rsidRPr="00735F2B">
              <w:rPr>
                <w:noProof/>
                <w:webHidden/>
              </w:rPr>
              <w:fldChar w:fldCharType="separate"/>
            </w:r>
            <w:r w:rsidR="00735F2B" w:rsidRPr="00735F2B">
              <w:rPr>
                <w:noProof/>
                <w:webHidden/>
              </w:rPr>
              <w:t>18</w:t>
            </w:r>
            <w:r w:rsidR="00735F2B" w:rsidRPr="00735F2B">
              <w:rPr>
                <w:noProof/>
                <w:webHidden/>
              </w:rPr>
              <w:fldChar w:fldCharType="end"/>
            </w:r>
          </w:hyperlink>
        </w:p>
        <w:p w14:paraId="1B98BECE" w14:textId="2E364FFA" w:rsidR="00735F2B" w:rsidRPr="00735F2B" w:rsidRDefault="007C0226">
          <w:pPr>
            <w:pStyle w:val="TDC4"/>
            <w:tabs>
              <w:tab w:val="right" w:pos="9550"/>
            </w:tabs>
            <w:rPr>
              <w:rFonts w:eastAsiaTheme="minorEastAsia" w:cstheme="minorBidi"/>
              <w:noProof/>
              <w:sz w:val="22"/>
              <w:szCs w:val="22"/>
              <w:lang w:val="es-CO" w:eastAsia="es-CO"/>
            </w:rPr>
          </w:pPr>
          <w:hyperlink w:anchor="_Toc231286787" w:history="1">
            <w:r w:rsidR="00735F2B" w:rsidRPr="00735F2B">
              <w:rPr>
                <w:rStyle w:val="Hipervnculo"/>
                <w:rFonts w:ascii="Humanst521 BT" w:hAnsi="Humanst521 BT" w:cs="Verdana"/>
                <w:noProof/>
                <w:color w:val="auto"/>
              </w:rPr>
              <w:t>5.1.1.2. Estructura demográfica de su población y el comportamiento evolutivo.</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_Toc231286787 \h </w:instrText>
            </w:r>
            <w:r w:rsidR="00735F2B" w:rsidRPr="00735F2B">
              <w:rPr>
                <w:noProof/>
                <w:webHidden/>
              </w:rPr>
            </w:r>
            <w:r w:rsidR="00735F2B" w:rsidRPr="00735F2B">
              <w:rPr>
                <w:noProof/>
                <w:webHidden/>
              </w:rPr>
              <w:fldChar w:fldCharType="separate"/>
            </w:r>
            <w:r w:rsidR="00735F2B" w:rsidRPr="00735F2B">
              <w:rPr>
                <w:noProof/>
                <w:webHidden/>
              </w:rPr>
              <w:t>19</w:t>
            </w:r>
            <w:r w:rsidR="00735F2B" w:rsidRPr="00735F2B">
              <w:rPr>
                <w:noProof/>
                <w:webHidden/>
              </w:rPr>
              <w:fldChar w:fldCharType="end"/>
            </w:r>
          </w:hyperlink>
        </w:p>
        <w:p w14:paraId="4DDCABDE" w14:textId="7FD58EAF" w:rsidR="00735F2B" w:rsidRPr="00735F2B" w:rsidRDefault="007C0226">
          <w:pPr>
            <w:pStyle w:val="TDC4"/>
            <w:tabs>
              <w:tab w:val="right" w:pos="9550"/>
            </w:tabs>
            <w:rPr>
              <w:rFonts w:eastAsiaTheme="minorEastAsia" w:cstheme="minorBidi"/>
              <w:noProof/>
              <w:sz w:val="22"/>
              <w:szCs w:val="22"/>
              <w:lang w:val="es-CO" w:eastAsia="es-CO"/>
            </w:rPr>
          </w:pPr>
          <w:hyperlink w:anchor="_Toc231286788" w:history="1">
            <w:r w:rsidR="00735F2B" w:rsidRPr="00735F2B">
              <w:rPr>
                <w:rStyle w:val="Hipervnculo"/>
                <w:rFonts w:ascii="Humanst521 BT" w:hAnsi="Humanst521 BT"/>
                <w:noProof/>
                <w:color w:val="auto"/>
              </w:rPr>
              <w:t>5.1.1.3. Población por grupo de edad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_Toc231286788 \h </w:instrText>
            </w:r>
            <w:r w:rsidR="00735F2B" w:rsidRPr="00735F2B">
              <w:rPr>
                <w:noProof/>
                <w:webHidden/>
              </w:rPr>
            </w:r>
            <w:r w:rsidR="00735F2B" w:rsidRPr="00735F2B">
              <w:rPr>
                <w:noProof/>
                <w:webHidden/>
              </w:rPr>
              <w:fldChar w:fldCharType="separate"/>
            </w:r>
            <w:r w:rsidR="00735F2B" w:rsidRPr="00735F2B">
              <w:rPr>
                <w:noProof/>
                <w:webHidden/>
              </w:rPr>
              <w:t>21</w:t>
            </w:r>
            <w:r w:rsidR="00735F2B" w:rsidRPr="00735F2B">
              <w:rPr>
                <w:noProof/>
                <w:webHidden/>
              </w:rPr>
              <w:fldChar w:fldCharType="end"/>
            </w:r>
          </w:hyperlink>
        </w:p>
        <w:p w14:paraId="25BA44FB" w14:textId="0299C938" w:rsidR="00735F2B" w:rsidRPr="00735F2B" w:rsidRDefault="007C0226">
          <w:pPr>
            <w:pStyle w:val="TDC4"/>
            <w:tabs>
              <w:tab w:val="right" w:pos="9550"/>
            </w:tabs>
            <w:rPr>
              <w:rFonts w:eastAsiaTheme="minorEastAsia" w:cstheme="minorBidi"/>
              <w:noProof/>
              <w:sz w:val="22"/>
              <w:szCs w:val="22"/>
              <w:lang w:val="es-CO" w:eastAsia="es-CO"/>
            </w:rPr>
          </w:pPr>
          <w:hyperlink w:anchor="_Toc231286789" w:history="1">
            <w:r w:rsidR="00735F2B" w:rsidRPr="00735F2B">
              <w:rPr>
                <w:rStyle w:val="Hipervnculo"/>
                <w:rFonts w:ascii="Humanst521 BT" w:hAnsi="Humanst521 BT" w:cs="Verdana"/>
                <w:noProof/>
                <w:color w:val="auto"/>
              </w:rPr>
              <w:t>5.1.1.4. Descripción de afiliados UISALUD, por poblaciones diferenciales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_Toc231286789 \h </w:instrText>
            </w:r>
            <w:r w:rsidR="00735F2B" w:rsidRPr="00735F2B">
              <w:rPr>
                <w:noProof/>
                <w:webHidden/>
              </w:rPr>
            </w:r>
            <w:r w:rsidR="00735F2B" w:rsidRPr="00735F2B">
              <w:rPr>
                <w:noProof/>
                <w:webHidden/>
              </w:rPr>
              <w:fldChar w:fldCharType="separate"/>
            </w:r>
            <w:r w:rsidR="00735F2B" w:rsidRPr="00735F2B">
              <w:rPr>
                <w:noProof/>
                <w:webHidden/>
              </w:rPr>
              <w:t>26</w:t>
            </w:r>
            <w:r w:rsidR="00735F2B" w:rsidRPr="00735F2B">
              <w:rPr>
                <w:noProof/>
                <w:webHidden/>
              </w:rPr>
              <w:fldChar w:fldCharType="end"/>
            </w:r>
          </w:hyperlink>
        </w:p>
        <w:p w14:paraId="75F52925" w14:textId="203E9013" w:rsidR="00735F2B" w:rsidRPr="00735F2B" w:rsidRDefault="007C0226">
          <w:pPr>
            <w:pStyle w:val="TDC4"/>
            <w:tabs>
              <w:tab w:val="right" w:pos="9550"/>
            </w:tabs>
            <w:rPr>
              <w:rFonts w:eastAsiaTheme="minorEastAsia" w:cstheme="minorBidi"/>
              <w:noProof/>
              <w:sz w:val="22"/>
              <w:szCs w:val="22"/>
              <w:lang w:val="es-CO" w:eastAsia="es-CO"/>
            </w:rPr>
          </w:pPr>
          <w:hyperlink w:anchor="_Toc231286790" w:history="1">
            <w:r w:rsidR="00735F2B" w:rsidRPr="00735F2B">
              <w:rPr>
                <w:rStyle w:val="Hipervnculo"/>
                <w:rFonts w:ascii="Humanst521 BT" w:hAnsi="Humanst521 BT" w:cs="Verdana"/>
                <w:noProof/>
                <w:color w:val="auto"/>
              </w:rPr>
              <w:t>5.1.1.5. Descripción del comportamiento de indicadores demográficos relevantes de la población afiliada.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_Toc231286790 \h </w:instrText>
            </w:r>
            <w:r w:rsidR="00735F2B" w:rsidRPr="00735F2B">
              <w:rPr>
                <w:noProof/>
                <w:webHidden/>
              </w:rPr>
            </w:r>
            <w:r w:rsidR="00735F2B" w:rsidRPr="00735F2B">
              <w:rPr>
                <w:noProof/>
                <w:webHidden/>
              </w:rPr>
              <w:fldChar w:fldCharType="separate"/>
            </w:r>
            <w:r w:rsidR="00735F2B" w:rsidRPr="00735F2B">
              <w:rPr>
                <w:noProof/>
                <w:webHidden/>
              </w:rPr>
              <w:t>30</w:t>
            </w:r>
            <w:r w:rsidR="00735F2B" w:rsidRPr="00735F2B">
              <w:rPr>
                <w:noProof/>
                <w:webHidden/>
              </w:rPr>
              <w:fldChar w:fldCharType="end"/>
            </w:r>
          </w:hyperlink>
        </w:p>
        <w:p w14:paraId="59387A15" w14:textId="57EA6A42" w:rsidR="00735F2B" w:rsidRPr="00735F2B" w:rsidRDefault="007C0226">
          <w:pPr>
            <w:pStyle w:val="TDC4"/>
            <w:tabs>
              <w:tab w:val="right" w:pos="9550"/>
            </w:tabs>
            <w:rPr>
              <w:rFonts w:eastAsiaTheme="minorEastAsia" w:cstheme="minorBidi"/>
              <w:noProof/>
              <w:sz w:val="22"/>
              <w:szCs w:val="22"/>
              <w:lang w:val="es-CO" w:eastAsia="es-CO"/>
            </w:rPr>
          </w:pPr>
          <w:hyperlink w:anchor="_Toc231286791" w:history="1">
            <w:r w:rsidR="00735F2B" w:rsidRPr="00735F2B">
              <w:rPr>
                <w:rStyle w:val="Hipervnculo"/>
                <w:rFonts w:ascii="Humanst521 BT" w:hAnsi="Humanst521 BT" w:cs="Verdana"/>
                <w:noProof/>
                <w:color w:val="auto"/>
              </w:rPr>
              <w:t>5.1.1.6. Identificación de problemáticas socio-ambientales del territorio que pueden influir en la salud de la población afiliada.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_Toc231286791 \h </w:instrText>
            </w:r>
            <w:r w:rsidR="00735F2B" w:rsidRPr="00735F2B">
              <w:rPr>
                <w:noProof/>
                <w:webHidden/>
              </w:rPr>
            </w:r>
            <w:r w:rsidR="00735F2B" w:rsidRPr="00735F2B">
              <w:rPr>
                <w:noProof/>
                <w:webHidden/>
              </w:rPr>
              <w:fldChar w:fldCharType="separate"/>
            </w:r>
            <w:r w:rsidR="00735F2B" w:rsidRPr="00735F2B">
              <w:rPr>
                <w:noProof/>
                <w:webHidden/>
              </w:rPr>
              <w:t>31</w:t>
            </w:r>
            <w:r w:rsidR="00735F2B" w:rsidRPr="00735F2B">
              <w:rPr>
                <w:noProof/>
                <w:webHidden/>
              </w:rPr>
              <w:fldChar w:fldCharType="end"/>
            </w:r>
          </w:hyperlink>
        </w:p>
        <w:p w14:paraId="66B06B64" w14:textId="7BBDB16A" w:rsidR="00735F2B" w:rsidRPr="00735F2B" w:rsidRDefault="007C0226">
          <w:pPr>
            <w:pStyle w:val="TDC4"/>
            <w:tabs>
              <w:tab w:val="right" w:pos="9550"/>
            </w:tabs>
            <w:rPr>
              <w:rFonts w:eastAsiaTheme="minorEastAsia" w:cstheme="minorBidi"/>
              <w:noProof/>
              <w:sz w:val="22"/>
              <w:szCs w:val="22"/>
              <w:lang w:val="es-CO" w:eastAsia="es-CO"/>
            </w:rPr>
          </w:pPr>
          <w:hyperlink w:anchor="_Toc231286792" w:history="1">
            <w:r w:rsidR="00735F2B" w:rsidRPr="00735F2B">
              <w:rPr>
                <w:rStyle w:val="Hipervnculo"/>
                <w:rFonts w:ascii="Humanst521 BT" w:hAnsi="Humanst521 BT" w:cs="Verdana"/>
                <w:noProof/>
                <w:color w:val="auto"/>
              </w:rPr>
              <w:t>5.1.1.7. Distribución de su red de prestación de servicios de salud habilitada y contratada para la atención de su población afiliada.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_Toc231286792 \h </w:instrText>
            </w:r>
            <w:r w:rsidR="00735F2B" w:rsidRPr="00735F2B">
              <w:rPr>
                <w:noProof/>
                <w:webHidden/>
              </w:rPr>
            </w:r>
            <w:r w:rsidR="00735F2B" w:rsidRPr="00735F2B">
              <w:rPr>
                <w:noProof/>
                <w:webHidden/>
              </w:rPr>
              <w:fldChar w:fldCharType="separate"/>
            </w:r>
            <w:r w:rsidR="00735F2B" w:rsidRPr="00735F2B">
              <w:rPr>
                <w:noProof/>
                <w:webHidden/>
              </w:rPr>
              <w:t>32</w:t>
            </w:r>
            <w:r w:rsidR="00735F2B" w:rsidRPr="00735F2B">
              <w:rPr>
                <w:noProof/>
                <w:webHidden/>
              </w:rPr>
              <w:fldChar w:fldCharType="end"/>
            </w:r>
          </w:hyperlink>
        </w:p>
        <w:p w14:paraId="1914CD86" w14:textId="77C7AB17" w:rsidR="00735F2B" w:rsidRPr="00735F2B" w:rsidRDefault="007C0226">
          <w:pPr>
            <w:pStyle w:val="TDC3"/>
            <w:tabs>
              <w:tab w:val="left" w:pos="1100"/>
              <w:tab w:val="right" w:pos="9550"/>
            </w:tabs>
            <w:rPr>
              <w:rFonts w:eastAsiaTheme="minorEastAsia" w:cstheme="minorBidi"/>
              <w:noProof/>
              <w:sz w:val="22"/>
              <w:szCs w:val="22"/>
              <w:lang w:val="es-CO" w:eastAsia="es-CO"/>
            </w:rPr>
          </w:pPr>
          <w:hyperlink w:anchor="_Toc231286793" w:history="1">
            <w:r w:rsidR="00735F2B" w:rsidRPr="00735F2B">
              <w:rPr>
                <w:rStyle w:val="Hipervnculo"/>
                <w:rFonts w:ascii="Humanst521 BT" w:hAnsi="Humanst521 BT"/>
                <w:b/>
                <w:bCs/>
                <w:noProof/>
                <w:color w:val="auto"/>
              </w:rPr>
              <w:t>5.1.2.</w:t>
            </w:r>
            <w:r w:rsidR="00735F2B" w:rsidRPr="00735F2B">
              <w:rPr>
                <w:rFonts w:eastAsiaTheme="minorEastAsia" w:cstheme="minorBidi"/>
                <w:noProof/>
                <w:sz w:val="22"/>
                <w:szCs w:val="22"/>
                <w:lang w:val="es-CO" w:eastAsia="es-CO"/>
              </w:rPr>
              <w:tab/>
            </w:r>
            <w:r w:rsidR="00735F2B" w:rsidRPr="00735F2B">
              <w:rPr>
                <w:rStyle w:val="Hipervnculo"/>
                <w:rFonts w:ascii="Humanst521 BT" w:hAnsi="Humanst521 BT"/>
                <w:b/>
                <w:bCs/>
                <w:noProof/>
                <w:color w:val="auto"/>
              </w:rPr>
              <w:t>Condiciones sociales, económicas y de calidad de vida de la población del territorio</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_Toc231286793 \h </w:instrText>
            </w:r>
            <w:r w:rsidR="00735F2B" w:rsidRPr="00735F2B">
              <w:rPr>
                <w:noProof/>
                <w:webHidden/>
              </w:rPr>
            </w:r>
            <w:r w:rsidR="00735F2B" w:rsidRPr="00735F2B">
              <w:rPr>
                <w:noProof/>
                <w:webHidden/>
              </w:rPr>
              <w:fldChar w:fldCharType="separate"/>
            </w:r>
            <w:r w:rsidR="00735F2B" w:rsidRPr="00735F2B">
              <w:rPr>
                <w:noProof/>
                <w:webHidden/>
              </w:rPr>
              <w:t>36</w:t>
            </w:r>
            <w:r w:rsidR="00735F2B" w:rsidRPr="00735F2B">
              <w:rPr>
                <w:noProof/>
                <w:webHidden/>
              </w:rPr>
              <w:fldChar w:fldCharType="end"/>
            </w:r>
          </w:hyperlink>
        </w:p>
        <w:p w14:paraId="4E1D3A43" w14:textId="3996631A" w:rsidR="00735F2B" w:rsidRPr="00735F2B" w:rsidRDefault="007C0226">
          <w:pPr>
            <w:pStyle w:val="TDC4"/>
            <w:tabs>
              <w:tab w:val="right" w:pos="9550"/>
            </w:tabs>
            <w:rPr>
              <w:rFonts w:eastAsiaTheme="minorEastAsia" w:cstheme="minorBidi"/>
              <w:noProof/>
              <w:sz w:val="22"/>
              <w:szCs w:val="22"/>
              <w:lang w:val="es-CO" w:eastAsia="es-CO"/>
            </w:rPr>
          </w:pPr>
          <w:hyperlink w:anchor="_Toc231286794" w:history="1">
            <w:r w:rsidR="00735F2B" w:rsidRPr="00735F2B">
              <w:rPr>
                <w:rStyle w:val="Hipervnculo"/>
                <w:rFonts w:ascii="Humanst521 BT" w:hAnsi="Humanst521 BT" w:cs="Verdana"/>
                <w:noProof/>
                <w:color w:val="auto"/>
              </w:rPr>
              <w:t>5.1.2.1. Condiciones de vida y vulnerabilidad de la población afiliada, así como las características socioeconómicas, educativas y de atención, que permite comprender las circunstancias de vida de los afiliados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_Toc231286794 \h </w:instrText>
            </w:r>
            <w:r w:rsidR="00735F2B" w:rsidRPr="00735F2B">
              <w:rPr>
                <w:noProof/>
                <w:webHidden/>
              </w:rPr>
            </w:r>
            <w:r w:rsidR="00735F2B" w:rsidRPr="00735F2B">
              <w:rPr>
                <w:noProof/>
                <w:webHidden/>
              </w:rPr>
              <w:fldChar w:fldCharType="separate"/>
            </w:r>
            <w:r w:rsidR="00735F2B" w:rsidRPr="00735F2B">
              <w:rPr>
                <w:noProof/>
                <w:webHidden/>
              </w:rPr>
              <w:t>36</w:t>
            </w:r>
            <w:r w:rsidR="00735F2B" w:rsidRPr="00735F2B">
              <w:rPr>
                <w:noProof/>
                <w:webHidden/>
              </w:rPr>
              <w:fldChar w:fldCharType="end"/>
            </w:r>
          </w:hyperlink>
        </w:p>
        <w:p w14:paraId="5250F91A" w14:textId="5CF20D22" w:rsidR="00735F2B" w:rsidRPr="00735F2B" w:rsidRDefault="007C0226">
          <w:pPr>
            <w:pStyle w:val="TDC4"/>
            <w:tabs>
              <w:tab w:val="right" w:pos="9550"/>
            </w:tabs>
            <w:rPr>
              <w:rFonts w:eastAsiaTheme="minorEastAsia" w:cstheme="minorBidi"/>
              <w:noProof/>
              <w:sz w:val="22"/>
              <w:szCs w:val="22"/>
              <w:lang w:val="es-CO" w:eastAsia="es-CO"/>
            </w:rPr>
          </w:pPr>
          <w:hyperlink w:anchor="_Toc231286795" w:history="1">
            <w:r w:rsidR="00735F2B" w:rsidRPr="00735F2B">
              <w:rPr>
                <w:rStyle w:val="Hipervnculo"/>
                <w:rFonts w:ascii="Humanst521 BT" w:hAnsi="Humanst521 BT" w:cs="Verdana"/>
                <w:noProof/>
                <w:color w:val="auto"/>
              </w:rPr>
              <w:t>5.1.2.2. Análisis de la Oferta de la Red Prestadora de Servicios de Salud de UISALUD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_Toc231286795 \h </w:instrText>
            </w:r>
            <w:r w:rsidR="00735F2B" w:rsidRPr="00735F2B">
              <w:rPr>
                <w:noProof/>
                <w:webHidden/>
              </w:rPr>
            </w:r>
            <w:r w:rsidR="00735F2B" w:rsidRPr="00735F2B">
              <w:rPr>
                <w:noProof/>
                <w:webHidden/>
              </w:rPr>
              <w:fldChar w:fldCharType="separate"/>
            </w:r>
            <w:r w:rsidR="00735F2B" w:rsidRPr="00735F2B">
              <w:rPr>
                <w:noProof/>
                <w:webHidden/>
              </w:rPr>
              <w:t>39</w:t>
            </w:r>
            <w:r w:rsidR="00735F2B" w:rsidRPr="00735F2B">
              <w:rPr>
                <w:noProof/>
                <w:webHidden/>
              </w:rPr>
              <w:fldChar w:fldCharType="end"/>
            </w:r>
          </w:hyperlink>
        </w:p>
        <w:p w14:paraId="07712F58" w14:textId="334B2779" w:rsidR="00735F2B" w:rsidRPr="00735F2B" w:rsidRDefault="007C0226">
          <w:pPr>
            <w:pStyle w:val="TDC4"/>
            <w:tabs>
              <w:tab w:val="right" w:pos="9550"/>
            </w:tabs>
            <w:rPr>
              <w:rFonts w:eastAsiaTheme="minorEastAsia" w:cstheme="minorBidi"/>
              <w:noProof/>
              <w:sz w:val="22"/>
              <w:szCs w:val="22"/>
              <w:lang w:val="es-CO" w:eastAsia="es-CO"/>
            </w:rPr>
          </w:pPr>
          <w:hyperlink w:anchor="_Toc231286796" w:history="1">
            <w:r w:rsidR="00735F2B" w:rsidRPr="00735F2B">
              <w:rPr>
                <w:rStyle w:val="Hipervnculo"/>
                <w:rFonts w:ascii="Humanst521 BT" w:eastAsia="Humanst521 BT" w:hAnsi="Humanst521 BT" w:cs="Humanst521 BT"/>
                <w:noProof/>
                <w:color w:val="auto"/>
              </w:rPr>
              <w:t>5.1.2.3. Situaciones adversas derivadas de la prestación de servicios de salud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_Toc231286796 \h </w:instrText>
            </w:r>
            <w:r w:rsidR="00735F2B" w:rsidRPr="00735F2B">
              <w:rPr>
                <w:noProof/>
                <w:webHidden/>
              </w:rPr>
            </w:r>
            <w:r w:rsidR="00735F2B" w:rsidRPr="00735F2B">
              <w:rPr>
                <w:noProof/>
                <w:webHidden/>
              </w:rPr>
              <w:fldChar w:fldCharType="separate"/>
            </w:r>
            <w:r w:rsidR="00735F2B" w:rsidRPr="00735F2B">
              <w:rPr>
                <w:noProof/>
                <w:webHidden/>
              </w:rPr>
              <w:t>43</w:t>
            </w:r>
            <w:r w:rsidR="00735F2B" w:rsidRPr="00735F2B">
              <w:rPr>
                <w:noProof/>
                <w:webHidden/>
              </w:rPr>
              <w:fldChar w:fldCharType="end"/>
            </w:r>
          </w:hyperlink>
        </w:p>
        <w:p w14:paraId="1C31EEBB" w14:textId="47E55131" w:rsidR="00735F2B" w:rsidRPr="00735F2B" w:rsidRDefault="007C0226">
          <w:pPr>
            <w:pStyle w:val="TDC3"/>
            <w:tabs>
              <w:tab w:val="left" w:pos="1100"/>
              <w:tab w:val="right" w:pos="9550"/>
            </w:tabs>
            <w:rPr>
              <w:rFonts w:eastAsiaTheme="minorEastAsia" w:cstheme="minorBidi"/>
              <w:noProof/>
              <w:sz w:val="22"/>
              <w:szCs w:val="22"/>
              <w:lang w:val="es-CO" w:eastAsia="es-CO"/>
            </w:rPr>
          </w:pPr>
          <w:hyperlink w:anchor="_Toc231286797" w:history="1">
            <w:r w:rsidR="00735F2B" w:rsidRPr="00735F2B">
              <w:rPr>
                <w:rStyle w:val="Hipervnculo"/>
                <w:rFonts w:ascii="Humanst521 BT" w:hAnsi="Humanst521 BT"/>
                <w:b/>
                <w:bCs/>
                <w:noProof/>
                <w:color w:val="auto"/>
              </w:rPr>
              <w:t>5.1.3.</w:t>
            </w:r>
            <w:r w:rsidR="00735F2B" w:rsidRPr="00735F2B">
              <w:rPr>
                <w:rFonts w:eastAsiaTheme="minorEastAsia" w:cstheme="minorBidi"/>
                <w:noProof/>
                <w:sz w:val="22"/>
                <w:szCs w:val="22"/>
                <w:lang w:val="es-CO" w:eastAsia="es-CO"/>
              </w:rPr>
              <w:tab/>
            </w:r>
            <w:r w:rsidR="00735F2B" w:rsidRPr="00735F2B">
              <w:rPr>
                <w:rStyle w:val="Hipervnculo"/>
                <w:rFonts w:ascii="Humanst521 BT" w:hAnsi="Humanst521 BT"/>
                <w:b/>
                <w:bCs/>
                <w:noProof/>
                <w:color w:val="auto"/>
              </w:rPr>
              <w:t>Conclusiones capítulo 1. Configuración</w:t>
            </w:r>
            <w:r w:rsidR="00735F2B" w:rsidRPr="00735F2B">
              <w:rPr>
                <w:rStyle w:val="Hipervnculo"/>
                <w:rFonts w:ascii="Humanst521 BT" w:hAnsi="Humanst521 BT"/>
                <w:b/>
                <w:bCs/>
                <w:noProof/>
                <w:color w:val="auto"/>
                <w:spacing w:val="80"/>
              </w:rPr>
              <w:t xml:space="preserve"> </w:t>
            </w:r>
            <w:r w:rsidR="00735F2B" w:rsidRPr="00735F2B">
              <w:rPr>
                <w:rStyle w:val="Hipervnculo"/>
                <w:rFonts w:ascii="Humanst521 BT" w:hAnsi="Humanst521 BT"/>
                <w:b/>
                <w:bCs/>
                <w:noProof/>
                <w:color w:val="auto"/>
              </w:rPr>
              <w:t>del</w:t>
            </w:r>
            <w:r w:rsidR="00735F2B" w:rsidRPr="00735F2B">
              <w:rPr>
                <w:rStyle w:val="Hipervnculo"/>
                <w:rFonts w:ascii="Humanst521 BT" w:hAnsi="Humanst521 BT"/>
                <w:b/>
                <w:bCs/>
                <w:noProof/>
                <w:color w:val="auto"/>
                <w:spacing w:val="80"/>
              </w:rPr>
              <w:t xml:space="preserve"> </w:t>
            </w:r>
            <w:r w:rsidR="00735F2B" w:rsidRPr="00735F2B">
              <w:rPr>
                <w:rStyle w:val="Hipervnculo"/>
                <w:rFonts w:ascii="Humanst521 BT" w:hAnsi="Humanst521 BT"/>
                <w:b/>
                <w:bCs/>
                <w:noProof/>
                <w:color w:val="auto"/>
              </w:rPr>
              <w:t>territorio</w:t>
            </w:r>
            <w:r w:rsidR="00735F2B" w:rsidRPr="00735F2B">
              <w:rPr>
                <w:rStyle w:val="Hipervnculo"/>
                <w:rFonts w:ascii="Humanst521 BT" w:hAnsi="Humanst521 BT"/>
                <w:b/>
                <w:bCs/>
                <w:noProof/>
                <w:color w:val="auto"/>
                <w:spacing w:val="40"/>
              </w:rPr>
              <w:t xml:space="preserve"> </w:t>
            </w:r>
            <w:r w:rsidR="00735F2B" w:rsidRPr="00735F2B">
              <w:rPr>
                <w:rStyle w:val="Hipervnculo"/>
                <w:rFonts w:ascii="Humanst521 BT" w:hAnsi="Humanst521 BT"/>
                <w:b/>
                <w:bCs/>
                <w:noProof/>
                <w:color w:val="auto"/>
              </w:rPr>
              <w:t>desde la perspectiva de los determinantes sociales de la salud y el enfoque diferencial.</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_Toc231286797 \h </w:instrText>
            </w:r>
            <w:r w:rsidR="00735F2B" w:rsidRPr="00735F2B">
              <w:rPr>
                <w:noProof/>
                <w:webHidden/>
              </w:rPr>
            </w:r>
            <w:r w:rsidR="00735F2B" w:rsidRPr="00735F2B">
              <w:rPr>
                <w:noProof/>
                <w:webHidden/>
              </w:rPr>
              <w:fldChar w:fldCharType="separate"/>
            </w:r>
            <w:r w:rsidR="00735F2B" w:rsidRPr="00735F2B">
              <w:rPr>
                <w:noProof/>
                <w:webHidden/>
              </w:rPr>
              <w:t>44</w:t>
            </w:r>
            <w:r w:rsidR="00735F2B" w:rsidRPr="00735F2B">
              <w:rPr>
                <w:noProof/>
                <w:webHidden/>
              </w:rPr>
              <w:fldChar w:fldCharType="end"/>
            </w:r>
          </w:hyperlink>
        </w:p>
        <w:p w14:paraId="42A03268" w14:textId="061BC71C" w:rsidR="00735F2B" w:rsidRPr="00735F2B" w:rsidRDefault="007C0226">
          <w:pPr>
            <w:pStyle w:val="TDC2"/>
            <w:tabs>
              <w:tab w:val="left" w:pos="660"/>
              <w:tab w:val="right" w:pos="9550"/>
            </w:tabs>
            <w:rPr>
              <w:rFonts w:eastAsiaTheme="minorEastAsia" w:cstheme="minorBidi"/>
              <w:b w:val="0"/>
              <w:bCs w:val="0"/>
              <w:noProof/>
              <w:sz w:val="22"/>
              <w:szCs w:val="22"/>
              <w:lang w:val="es-CO" w:eastAsia="es-CO"/>
            </w:rPr>
          </w:pPr>
          <w:hyperlink w:anchor="_Toc231286798" w:history="1">
            <w:r w:rsidR="00735F2B" w:rsidRPr="00735F2B">
              <w:rPr>
                <w:rStyle w:val="Hipervnculo"/>
                <w:rFonts w:ascii="Humanst521 BT" w:eastAsiaTheme="majorEastAsia" w:hAnsi="Humanst521 BT" w:cstheme="majorBidi"/>
                <w:noProof/>
                <w:color w:val="auto"/>
                <w:lang w:eastAsia="es-CO"/>
              </w:rPr>
              <w:t>5.2.</w:t>
            </w:r>
            <w:r w:rsidR="00735F2B" w:rsidRPr="00735F2B">
              <w:rPr>
                <w:rFonts w:eastAsiaTheme="minorEastAsia" w:cstheme="minorBidi"/>
                <w:b w:val="0"/>
                <w:bC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CAPÍTULO 2. SITUACIÓN DE CALIDAD DE VIDA Y SALUD EN EL TERRITORIO: MORBILIDAD, MORTALIDAD, PROBLEMÁTICAS Y NECESIDADES SOCIALES Y AMBIENTALES QUE AFECTAN LA SALUD DE LA POBLACIÓN AFILIADA EN EL TERRITORIO.</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_Toc231286798 \h </w:instrText>
            </w:r>
            <w:r w:rsidR="00735F2B" w:rsidRPr="00735F2B">
              <w:rPr>
                <w:noProof/>
                <w:webHidden/>
              </w:rPr>
            </w:r>
            <w:r w:rsidR="00735F2B" w:rsidRPr="00735F2B">
              <w:rPr>
                <w:noProof/>
                <w:webHidden/>
              </w:rPr>
              <w:fldChar w:fldCharType="separate"/>
            </w:r>
            <w:r w:rsidR="00735F2B" w:rsidRPr="00735F2B">
              <w:rPr>
                <w:noProof/>
                <w:webHidden/>
              </w:rPr>
              <w:t>45</w:t>
            </w:r>
            <w:r w:rsidR="00735F2B" w:rsidRPr="00735F2B">
              <w:rPr>
                <w:noProof/>
                <w:webHidden/>
              </w:rPr>
              <w:fldChar w:fldCharType="end"/>
            </w:r>
          </w:hyperlink>
        </w:p>
        <w:p w14:paraId="16BA9BA5" w14:textId="626DD3DF" w:rsidR="00735F2B" w:rsidRPr="00735F2B" w:rsidRDefault="007C0226">
          <w:pPr>
            <w:pStyle w:val="TDC3"/>
            <w:tabs>
              <w:tab w:val="right" w:pos="9550"/>
            </w:tabs>
            <w:rPr>
              <w:rFonts w:eastAsiaTheme="minorEastAsia" w:cstheme="minorBidi"/>
              <w:noProof/>
              <w:sz w:val="22"/>
              <w:szCs w:val="22"/>
              <w:lang w:val="es-CO" w:eastAsia="es-CO"/>
            </w:rPr>
          </w:pPr>
          <w:hyperlink w:anchor="_Toc231286799" w:history="1">
            <w:r w:rsidR="00735F2B" w:rsidRPr="00735F2B">
              <w:rPr>
                <w:rStyle w:val="Hipervnculo"/>
                <w:rFonts w:ascii="Humanst521 BT" w:hAnsi="Humanst521 BT"/>
                <w:b/>
                <w:bCs/>
                <w:noProof/>
                <w:color w:val="auto"/>
              </w:rPr>
              <w:t>5.2.1. Morbilidad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_Toc231286799 \h </w:instrText>
            </w:r>
            <w:r w:rsidR="00735F2B" w:rsidRPr="00735F2B">
              <w:rPr>
                <w:noProof/>
                <w:webHidden/>
              </w:rPr>
            </w:r>
            <w:r w:rsidR="00735F2B" w:rsidRPr="00735F2B">
              <w:rPr>
                <w:noProof/>
                <w:webHidden/>
              </w:rPr>
              <w:fldChar w:fldCharType="separate"/>
            </w:r>
            <w:r w:rsidR="00735F2B" w:rsidRPr="00735F2B">
              <w:rPr>
                <w:noProof/>
                <w:webHidden/>
              </w:rPr>
              <w:t>45</w:t>
            </w:r>
            <w:r w:rsidR="00735F2B" w:rsidRPr="00735F2B">
              <w:rPr>
                <w:noProof/>
                <w:webHidden/>
              </w:rPr>
              <w:fldChar w:fldCharType="end"/>
            </w:r>
          </w:hyperlink>
        </w:p>
        <w:p w14:paraId="0FF1D6F2" w14:textId="2C01E32F" w:rsidR="00735F2B" w:rsidRPr="00735F2B" w:rsidRDefault="007C0226">
          <w:pPr>
            <w:pStyle w:val="TDC4"/>
            <w:tabs>
              <w:tab w:val="right" w:pos="9550"/>
            </w:tabs>
            <w:rPr>
              <w:rFonts w:eastAsiaTheme="minorEastAsia" w:cstheme="minorBidi"/>
              <w:noProof/>
              <w:sz w:val="22"/>
              <w:szCs w:val="22"/>
              <w:lang w:val="es-CO" w:eastAsia="es-CO"/>
            </w:rPr>
          </w:pPr>
          <w:hyperlink w:anchor="_Toc231286800" w:history="1">
            <w:r w:rsidR="00735F2B" w:rsidRPr="00735F2B">
              <w:rPr>
                <w:rStyle w:val="Hipervnculo"/>
                <w:rFonts w:ascii="Humanst521 BT" w:hAnsi="Humanst521 BT" w:cs="Verdana"/>
                <w:noProof/>
                <w:color w:val="auto"/>
              </w:rPr>
              <w:t>5.2.1.1. Principales causas de Morbilidad atendida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_Toc231286800 \h </w:instrText>
            </w:r>
            <w:r w:rsidR="00735F2B" w:rsidRPr="00735F2B">
              <w:rPr>
                <w:noProof/>
                <w:webHidden/>
              </w:rPr>
            </w:r>
            <w:r w:rsidR="00735F2B" w:rsidRPr="00735F2B">
              <w:rPr>
                <w:noProof/>
                <w:webHidden/>
              </w:rPr>
              <w:fldChar w:fldCharType="separate"/>
            </w:r>
            <w:r w:rsidR="00735F2B" w:rsidRPr="00735F2B">
              <w:rPr>
                <w:noProof/>
                <w:webHidden/>
              </w:rPr>
              <w:t>46</w:t>
            </w:r>
            <w:r w:rsidR="00735F2B" w:rsidRPr="00735F2B">
              <w:rPr>
                <w:noProof/>
                <w:webHidden/>
              </w:rPr>
              <w:fldChar w:fldCharType="end"/>
            </w:r>
          </w:hyperlink>
        </w:p>
        <w:p w14:paraId="4BCFB8C3" w14:textId="0129A721" w:rsidR="00735F2B" w:rsidRPr="00735F2B" w:rsidRDefault="007C0226">
          <w:pPr>
            <w:pStyle w:val="TDC4"/>
            <w:tabs>
              <w:tab w:val="right" w:pos="9550"/>
            </w:tabs>
            <w:rPr>
              <w:rFonts w:eastAsiaTheme="minorEastAsia" w:cstheme="minorBidi"/>
              <w:noProof/>
              <w:sz w:val="22"/>
              <w:szCs w:val="22"/>
              <w:lang w:val="es-CO" w:eastAsia="es-CO"/>
            </w:rPr>
          </w:pPr>
          <w:hyperlink w:anchor="_Toc231286801" w:history="1">
            <w:r w:rsidR="00735F2B" w:rsidRPr="00735F2B">
              <w:rPr>
                <w:rStyle w:val="Hipervnculo"/>
                <w:rFonts w:ascii="Humanst521 BT" w:hAnsi="Humanst521 BT" w:cs="Verdana"/>
                <w:noProof/>
                <w:color w:val="auto"/>
              </w:rPr>
              <w:t>5.2.1.2. Eventos de interés en Salud Pública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_Toc231286801 \h </w:instrText>
            </w:r>
            <w:r w:rsidR="00735F2B" w:rsidRPr="00735F2B">
              <w:rPr>
                <w:noProof/>
                <w:webHidden/>
              </w:rPr>
            </w:r>
            <w:r w:rsidR="00735F2B" w:rsidRPr="00735F2B">
              <w:rPr>
                <w:noProof/>
                <w:webHidden/>
              </w:rPr>
              <w:fldChar w:fldCharType="separate"/>
            </w:r>
            <w:r w:rsidR="00735F2B" w:rsidRPr="00735F2B">
              <w:rPr>
                <w:noProof/>
                <w:webHidden/>
              </w:rPr>
              <w:t>49</w:t>
            </w:r>
            <w:r w:rsidR="00735F2B" w:rsidRPr="00735F2B">
              <w:rPr>
                <w:noProof/>
                <w:webHidden/>
              </w:rPr>
              <w:fldChar w:fldCharType="end"/>
            </w:r>
          </w:hyperlink>
        </w:p>
        <w:p w14:paraId="7AEFE92D" w14:textId="5991970F" w:rsidR="00735F2B" w:rsidRPr="00735F2B" w:rsidRDefault="007C0226">
          <w:pPr>
            <w:pStyle w:val="TDC4"/>
            <w:tabs>
              <w:tab w:val="right" w:pos="9550"/>
            </w:tabs>
            <w:rPr>
              <w:rFonts w:eastAsiaTheme="minorEastAsia" w:cstheme="minorBidi"/>
              <w:noProof/>
              <w:sz w:val="22"/>
              <w:szCs w:val="22"/>
              <w:lang w:val="es-CO" w:eastAsia="es-CO"/>
            </w:rPr>
          </w:pPr>
          <w:hyperlink w:anchor="_Toc231286802" w:history="1">
            <w:r w:rsidR="00735F2B" w:rsidRPr="00735F2B">
              <w:rPr>
                <w:rStyle w:val="Hipervnculo"/>
                <w:rFonts w:ascii="Humanst521 BT" w:hAnsi="Humanst521 BT" w:cs="Verdana"/>
                <w:noProof/>
                <w:color w:val="auto"/>
              </w:rPr>
              <w:t>5.2.1.3. Morbilidad Trazadora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_Toc231286802 \h </w:instrText>
            </w:r>
            <w:r w:rsidR="00735F2B" w:rsidRPr="00735F2B">
              <w:rPr>
                <w:noProof/>
                <w:webHidden/>
              </w:rPr>
            </w:r>
            <w:r w:rsidR="00735F2B" w:rsidRPr="00735F2B">
              <w:rPr>
                <w:noProof/>
                <w:webHidden/>
              </w:rPr>
              <w:fldChar w:fldCharType="separate"/>
            </w:r>
            <w:r w:rsidR="00735F2B" w:rsidRPr="00735F2B">
              <w:rPr>
                <w:noProof/>
                <w:webHidden/>
              </w:rPr>
              <w:t>50</w:t>
            </w:r>
            <w:r w:rsidR="00735F2B" w:rsidRPr="00735F2B">
              <w:rPr>
                <w:noProof/>
                <w:webHidden/>
              </w:rPr>
              <w:fldChar w:fldCharType="end"/>
            </w:r>
          </w:hyperlink>
        </w:p>
        <w:p w14:paraId="60D16978" w14:textId="60507A08" w:rsidR="00735F2B" w:rsidRPr="00735F2B" w:rsidRDefault="007C0226">
          <w:pPr>
            <w:pStyle w:val="TDC4"/>
            <w:tabs>
              <w:tab w:val="right" w:pos="9550"/>
            </w:tabs>
            <w:rPr>
              <w:rFonts w:eastAsiaTheme="minorEastAsia" w:cstheme="minorBidi"/>
              <w:noProof/>
              <w:sz w:val="22"/>
              <w:szCs w:val="22"/>
              <w:lang w:val="es-CO" w:eastAsia="es-CO"/>
            </w:rPr>
          </w:pPr>
          <w:hyperlink w:anchor="_Toc231286803" w:history="1">
            <w:r w:rsidR="00735F2B" w:rsidRPr="00735F2B">
              <w:rPr>
                <w:rStyle w:val="Hipervnculo"/>
                <w:rFonts w:ascii="Humanst521 BT" w:hAnsi="Humanst521 BT" w:cs="Verdana"/>
                <w:noProof/>
                <w:color w:val="auto"/>
              </w:rPr>
              <w:t>5.2.1.4. Patologías reportadas en la Cuenta de Alto Costo</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_Toc231286803 \h </w:instrText>
            </w:r>
            <w:r w:rsidR="00735F2B" w:rsidRPr="00735F2B">
              <w:rPr>
                <w:noProof/>
                <w:webHidden/>
              </w:rPr>
            </w:r>
            <w:r w:rsidR="00735F2B" w:rsidRPr="00735F2B">
              <w:rPr>
                <w:noProof/>
                <w:webHidden/>
              </w:rPr>
              <w:fldChar w:fldCharType="separate"/>
            </w:r>
            <w:r w:rsidR="00735F2B" w:rsidRPr="00735F2B">
              <w:rPr>
                <w:noProof/>
                <w:webHidden/>
              </w:rPr>
              <w:t>51</w:t>
            </w:r>
            <w:r w:rsidR="00735F2B" w:rsidRPr="00735F2B">
              <w:rPr>
                <w:noProof/>
                <w:webHidden/>
              </w:rPr>
              <w:fldChar w:fldCharType="end"/>
            </w:r>
          </w:hyperlink>
        </w:p>
        <w:p w14:paraId="5CC7FFD4" w14:textId="003E8F94" w:rsidR="00735F2B" w:rsidRPr="00735F2B" w:rsidRDefault="007C0226">
          <w:pPr>
            <w:pStyle w:val="TDC4"/>
            <w:tabs>
              <w:tab w:val="right" w:pos="9550"/>
            </w:tabs>
            <w:rPr>
              <w:rFonts w:eastAsiaTheme="minorEastAsia" w:cstheme="minorBidi"/>
              <w:noProof/>
              <w:sz w:val="22"/>
              <w:szCs w:val="22"/>
              <w:lang w:val="es-CO" w:eastAsia="es-CO"/>
            </w:rPr>
          </w:pPr>
          <w:hyperlink w:anchor="_Toc231286804" w:history="1">
            <w:r w:rsidR="00735F2B" w:rsidRPr="00735F2B">
              <w:rPr>
                <w:rStyle w:val="Hipervnculo"/>
                <w:rFonts w:ascii="Humanst521 BT" w:hAnsi="Humanst521 BT" w:cs="Verdana"/>
                <w:noProof/>
                <w:color w:val="auto"/>
              </w:rPr>
              <w:t>5.2.1.5. Patologías y eventos de alto consumo</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_Toc231286804 \h </w:instrText>
            </w:r>
            <w:r w:rsidR="00735F2B" w:rsidRPr="00735F2B">
              <w:rPr>
                <w:noProof/>
                <w:webHidden/>
              </w:rPr>
            </w:r>
            <w:r w:rsidR="00735F2B" w:rsidRPr="00735F2B">
              <w:rPr>
                <w:noProof/>
                <w:webHidden/>
              </w:rPr>
              <w:fldChar w:fldCharType="separate"/>
            </w:r>
            <w:r w:rsidR="00735F2B" w:rsidRPr="00735F2B">
              <w:rPr>
                <w:noProof/>
                <w:webHidden/>
              </w:rPr>
              <w:t>58</w:t>
            </w:r>
            <w:r w:rsidR="00735F2B" w:rsidRPr="00735F2B">
              <w:rPr>
                <w:noProof/>
                <w:webHidden/>
              </w:rPr>
              <w:fldChar w:fldCharType="end"/>
            </w:r>
          </w:hyperlink>
        </w:p>
        <w:p w14:paraId="7FAE3CAE" w14:textId="046A7375" w:rsidR="00735F2B" w:rsidRPr="00735F2B" w:rsidRDefault="007C0226">
          <w:pPr>
            <w:pStyle w:val="TDC4"/>
            <w:tabs>
              <w:tab w:val="right" w:pos="9550"/>
            </w:tabs>
            <w:rPr>
              <w:rFonts w:eastAsiaTheme="minorEastAsia" w:cstheme="minorBidi"/>
              <w:noProof/>
              <w:sz w:val="22"/>
              <w:szCs w:val="22"/>
              <w:lang w:val="es-CO" w:eastAsia="es-CO"/>
            </w:rPr>
          </w:pPr>
          <w:hyperlink w:anchor="_Toc231286805" w:history="1">
            <w:r w:rsidR="00735F2B" w:rsidRPr="00735F2B">
              <w:rPr>
                <w:rStyle w:val="Hipervnculo"/>
                <w:rFonts w:ascii="Humanst521 BT" w:hAnsi="Humanst521 BT" w:cs="Verdana"/>
                <w:noProof/>
                <w:color w:val="auto"/>
              </w:rPr>
              <w:t>5.2.1.6. Morbilidad en salud mental y emocional</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_Toc231286805 \h </w:instrText>
            </w:r>
            <w:r w:rsidR="00735F2B" w:rsidRPr="00735F2B">
              <w:rPr>
                <w:noProof/>
                <w:webHidden/>
              </w:rPr>
            </w:r>
            <w:r w:rsidR="00735F2B" w:rsidRPr="00735F2B">
              <w:rPr>
                <w:noProof/>
                <w:webHidden/>
              </w:rPr>
              <w:fldChar w:fldCharType="separate"/>
            </w:r>
            <w:r w:rsidR="00735F2B" w:rsidRPr="00735F2B">
              <w:rPr>
                <w:noProof/>
                <w:webHidden/>
              </w:rPr>
              <w:t>61</w:t>
            </w:r>
            <w:r w:rsidR="00735F2B" w:rsidRPr="00735F2B">
              <w:rPr>
                <w:noProof/>
                <w:webHidden/>
              </w:rPr>
              <w:fldChar w:fldCharType="end"/>
            </w:r>
          </w:hyperlink>
        </w:p>
        <w:p w14:paraId="5A5AE927" w14:textId="0FCE1283" w:rsidR="00735F2B" w:rsidRPr="00735F2B" w:rsidRDefault="007C0226">
          <w:pPr>
            <w:pStyle w:val="TDC4"/>
            <w:tabs>
              <w:tab w:val="right" w:pos="9550"/>
            </w:tabs>
            <w:rPr>
              <w:rFonts w:eastAsiaTheme="minorEastAsia" w:cstheme="minorBidi"/>
              <w:noProof/>
              <w:sz w:val="22"/>
              <w:szCs w:val="22"/>
              <w:lang w:val="es-CO" w:eastAsia="es-CO"/>
            </w:rPr>
          </w:pPr>
          <w:hyperlink w:anchor="_Toc231286806" w:history="1">
            <w:r w:rsidR="00735F2B" w:rsidRPr="00735F2B">
              <w:rPr>
                <w:rStyle w:val="Hipervnculo"/>
                <w:rFonts w:ascii="Humanst521 BT" w:hAnsi="Humanst521 BT" w:cs="Verdana"/>
                <w:noProof/>
                <w:color w:val="auto"/>
              </w:rPr>
              <w:t>5.2.1.7. Morbilidad asociada a incapacidad laboral UISALUD 2024 VS 2025</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_Toc231286806 \h </w:instrText>
            </w:r>
            <w:r w:rsidR="00735F2B" w:rsidRPr="00735F2B">
              <w:rPr>
                <w:noProof/>
                <w:webHidden/>
              </w:rPr>
            </w:r>
            <w:r w:rsidR="00735F2B" w:rsidRPr="00735F2B">
              <w:rPr>
                <w:noProof/>
                <w:webHidden/>
              </w:rPr>
              <w:fldChar w:fldCharType="separate"/>
            </w:r>
            <w:r w:rsidR="00735F2B" w:rsidRPr="00735F2B">
              <w:rPr>
                <w:noProof/>
                <w:webHidden/>
              </w:rPr>
              <w:t>62</w:t>
            </w:r>
            <w:r w:rsidR="00735F2B" w:rsidRPr="00735F2B">
              <w:rPr>
                <w:noProof/>
                <w:webHidden/>
              </w:rPr>
              <w:fldChar w:fldCharType="end"/>
            </w:r>
          </w:hyperlink>
        </w:p>
        <w:p w14:paraId="6CAF6671" w14:textId="101BD8CC" w:rsidR="00735F2B" w:rsidRPr="00735F2B" w:rsidRDefault="007C0226">
          <w:pPr>
            <w:pStyle w:val="TDC3"/>
            <w:tabs>
              <w:tab w:val="right" w:pos="9550"/>
            </w:tabs>
            <w:rPr>
              <w:rFonts w:eastAsiaTheme="minorEastAsia" w:cstheme="minorBidi"/>
              <w:noProof/>
              <w:sz w:val="22"/>
              <w:szCs w:val="22"/>
              <w:lang w:val="es-CO" w:eastAsia="es-CO"/>
            </w:rPr>
          </w:pPr>
          <w:hyperlink w:anchor="_Toc231286807" w:history="1">
            <w:r w:rsidR="00735F2B" w:rsidRPr="00735F2B">
              <w:rPr>
                <w:rStyle w:val="Hipervnculo"/>
                <w:rFonts w:ascii="Humanst521 BT" w:hAnsi="Humanst521 BT"/>
                <w:b/>
                <w:bCs/>
                <w:noProof/>
                <w:color w:val="auto"/>
              </w:rPr>
              <w:t>5.2.2.Conclusiones capítulo 2. Morbilidad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_Toc231286807 \h </w:instrText>
            </w:r>
            <w:r w:rsidR="00735F2B" w:rsidRPr="00735F2B">
              <w:rPr>
                <w:noProof/>
                <w:webHidden/>
              </w:rPr>
            </w:r>
            <w:r w:rsidR="00735F2B" w:rsidRPr="00735F2B">
              <w:rPr>
                <w:noProof/>
                <w:webHidden/>
              </w:rPr>
              <w:fldChar w:fldCharType="separate"/>
            </w:r>
            <w:r w:rsidR="00735F2B" w:rsidRPr="00735F2B">
              <w:rPr>
                <w:noProof/>
                <w:webHidden/>
              </w:rPr>
              <w:t>65</w:t>
            </w:r>
            <w:r w:rsidR="00735F2B" w:rsidRPr="00735F2B">
              <w:rPr>
                <w:noProof/>
                <w:webHidden/>
              </w:rPr>
              <w:fldChar w:fldCharType="end"/>
            </w:r>
          </w:hyperlink>
        </w:p>
        <w:p w14:paraId="1FF9DEC2" w14:textId="5FAF17A8" w:rsidR="00735F2B" w:rsidRPr="00735F2B" w:rsidRDefault="007C0226">
          <w:pPr>
            <w:pStyle w:val="TDC3"/>
            <w:tabs>
              <w:tab w:val="right" w:pos="9550"/>
            </w:tabs>
            <w:rPr>
              <w:rFonts w:eastAsiaTheme="minorEastAsia" w:cstheme="minorBidi"/>
              <w:noProof/>
              <w:sz w:val="22"/>
              <w:szCs w:val="22"/>
              <w:lang w:val="es-CO" w:eastAsia="es-CO"/>
            </w:rPr>
          </w:pPr>
          <w:hyperlink w:anchor="_Toc231286808" w:history="1">
            <w:r w:rsidR="00735F2B" w:rsidRPr="00735F2B">
              <w:rPr>
                <w:rStyle w:val="Hipervnculo"/>
                <w:rFonts w:ascii="Humanst521 BT" w:hAnsi="Humanst521 BT"/>
                <w:b/>
                <w:bCs/>
                <w:noProof/>
                <w:color w:val="auto"/>
              </w:rPr>
              <w:t>5.2.3. Mortalidad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_Toc231286808 \h </w:instrText>
            </w:r>
            <w:r w:rsidR="00735F2B" w:rsidRPr="00735F2B">
              <w:rPr>
                <w:noProof/>
                <w:webHidden/>
              </w:rPr>
            </w:r>
            <w:r w:rsidR="00735F2B" w:rsidRPr="00735F2B">
              <w:rPr>
                <w:noProof/>
                <w:webHidden/>
              </w:rPr>
              <w:fldChar w:fldCharType="separate"/>
            </w:r>
            <w:r w:rsidR="00735F2B" w:rsidRPr="00735F2B">
              <w:rPr>
                <w:noProof/>
                <w:webHidden/>
              </w:rPr>
              <w:t>66</w:t>
            </w:r>
            <w:r w:rsidR="00735F2B" w:rsidRPr="00735F2B">
              <w:rPr>
                <w:noProof/>
                <w:webHidden/>
              </w:rPr>
              <w:fldChar w:fldCharType="end"/>
            </w:r>
          </w:hyperlink>
        </w:p>
        <w:p w14:paraId="4FE38CEC" w14:textId="1493DFCA" w:rsidR="00735F2B" w:rsidRPr="00735F2B" w:rsidRDefault="007C0226">
          <w:pPr>
            <w:pStyle w:val="TDC4"/>
            <w:tabs>
              <w:tab w:val="right" w:pos="9550"/>
            </w:tabs>
            <w:rPr>
              <w:rFonts w:eastAsiaTheme="minorEastAsia" w:cstheme="minorBidi"/>
              <w:noProof/>
              <w:sz w:val="22"/>
              <w:szCs w:val="22"/>
              <w:lang w:val="es-CO" w:eastAsia="es-CO"/>
            </w:rPr>
          </w:pPr>
          <w:hyperlink w:anchor="_Toc231286809" w:history="1">
            <w:r w:rsidR="00735F2B" w:rsidRPr="00735F2B">
              <w:rPr>
                <w:rStyle w:val="Hipervnculo"/>
                <w:rFonts w:ascii="Humanst521 BT" w:hAnsi="Humanst521 BT" w:cs="Verdana"/>
                <w:noProof/>
                <w:color w:val="auto"/>
              </w:rPr>
              <w:t>5.2.2.1. Mortalidad ajustada por grandes causas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_Toc231286809 \h </w:instrText>
            </w:r>
            <w:r w:rsidR="00735F2B" w:rsidRPr="00735F2B">
              <w:rPr>
                <w:noProof/>
                <w:webHidden/>
              </w:rPr>
            </w:r>
            <w:r w:rsidR="00735F2B" w:rsidRPr="00735F2B">
              <w:rPr>
                <w:noProof/>
                <w:webHidden/>
              </w:rPr>
              <w:fldChar w:fldCharType="separate"/>
            </w:r>
            <w:r w:rsidR="00735F2B" w:rsidRPr="00735F2B">
              <w:rPr>
                <w:noProof/>
                <w:webHidden/>
              </w:rPr>
              <w:t>67</w:t>
            </w:r>
            <w:r w:rsidR="00735F2B" w:rsidRPr="00735F2B">
              <w:rPr>
                <w:noProof/>
                <w:webHidden/>
              </w:rPr>
              <w:fldChar w:fldCharType="end"/>
            </w:r>
          </w:hyperlink>
        </w:p>
        <w:p w14:paraId="67A20868" w14:textId="28DC8280" w:rsidR="00735F2B" w:rsidRPr="00735F2B" w:rsidRDefault="007C0226">
          <w:pPr>
            <w:pStyle w:val="TDC4"/>
            <w:tabs>
              <w:tab w:val="right" w:pos="9550"/>
            </w:tabs>
            <w:rPr>
              <w:rFonts w:eastAsiaTheme="minorEastAsia" w:cstheme="minorBidi"/>
              <w:noProof/>
              <w:sz w:val="22"/>
              <w:szCs w:val="22"/>
              <w:lang w:val="es-CO" w:eastAsia="es-CO"/>
            </w:rPr>
          </w:pPr>
          <w:hyperlink w:anchor="_Toc231286810" w:history="1">
            <w:r w:rsidR="00735F2B" w:rsidRPr="00735F2B">
              <w:rPr>
                <w:rStyle w:val="Hipervnculo"/>
                <w:rFonts w:ascii="Humanst521 BT" w:hAnsi="Humanst521 BT" w:cs="Verdana"/>
                <w:noProof/>
                <w:color w:val="auto"/>
              </w:rPr>
              <w:t>5.2.2.2. Mortalidad especifica por subgrupo – tasas ajustadas por edad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_Toc231286810 \h </w:instrText>
            </w:r>
            <w:r w:rsidR="00735F2B" w:rsidRPr="00735F2B">
              <w:rPr>
                <w:noProof/>
                <w:webHidden/>
              </w:rPr>
            </w:r>
            <w:r w:rsidR="00735F2B" w:rsidRPr="00735F2B">
              <w:rPr>
                <w:noProof/>
                <w:webHidden/>
              </w:rPr>
              <w:fldChar w:fldCharType="separate"/>
            </w:r>
            <w:r w:rsidR="00735F2B" w:rsidRPr="00735F2B">
              <w:rPr>
                <w:noProof/>
                <w:webHidden/>
              </w:rPr>
              <w:t>71</w:t>
            </w:r>
            <w:r w:rsidR="00735F2B" w:rsidRPr="00735F2B">
              <w:rPr>
                <w:noProof/>
                <w:webHidden/>
              </w:rPr>
              <w:fldChar w:fldCharType="end"/>
            </w:r>
          </w:hyperlink>
        </w:p>
        <w:p w14:paraId="4E297358" w14:textId="77D7D4B8" w:rsidR="00735F2B" w:rsidRPr="00735F2B" w:rsidRDefault="007C0226">
          <w:pPr>
            <w:pStyle w:val="TDC4"/>
            <w:tabs>
              <w:tab w:val="right" w:pos="9550"/>
            </w:tabs>
            <w:rPr>
              <w:rFonts w:eastAsiaTheme="minorEastAsia" w:cstheme="minorBidi"/>
              <w:noProof/>
              <w:sz w:val="22"/>
              <w:szCs w:val="22"/>
              <w:lang w:val="es-CO" w:eastAsia="es-CO"/>
            </w:rPr>
          </w:pPr>
          <w:hyperlink w:anchor="_Toc231286811" w:history="1">
            <w:r w:rsidR="00735F2B" w:rsidRPr="00735F2B">
              <w:rPr>
                <w:rStyle w:val="Hipervnculo"/>
                <w:rFonts w:ascii="Humanst521 BT" w:hAnsi="Humanst521 BT" w:cs="Verdana"/>
                <w:noProof/>
                <w:color w:val="auto"/>
              </w:rPr>
              <w:t>5.2.2.3. Tasas ajustadas de mortalidad por años de vida potencialmente perdidos - AVPP por grandes causas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_Toc231286811 \h </w:instrText>
            </w:r>
            <w:r w:rsidR="00735F2B" w:rsidRPr="00735F2B">
              <w:rPr>
                <w:noProof/>
                <w:webHidden/>
              </w:rPr>
            </w:r>
            <w:r w:rsidR="00735F2B" w:rsidRPr="00735F2B">
              <w:rPr>
                <w:noProof/>
                <w:webHidden/>
              </w:rPr>
              <w:fldChar w:fldCharType="separate"/>
            </w:r>
            <w:r w:rsidR="00735F2B" w:rsidRPr="00735F2B">
              <w:rPr>
                <w:noProof/>
                <w:webHidden/>
              </w:rPr>
              <w:t>78</w:t>
            </w:r>
            <w:r w:rsidR="00735F2B" w:rsidRPr="00735F2B">
              <w:rPr>
                <w:noProof/>
                <w:webHidden/>
              </w:rPr>
              <w:fldChar w:fldCharType="end"/>
            </w:r>
          </w:hyperlink>
        </w:p>
        <w:p w14:paraId="273AD096" w14:textId="4C6DA75A" w:rsidR="00735F2B" w:rsidRPr="00735F2B" w:rsidRDefault="007C0226">
          <w:pPr>
            <w:pStyle w:val="TDC4"/>
            <w:tabs>
              <w:tab w:val="right" w:pos="9550"/>
            </w:tabs>
            <w:rPr>
              <w:rFonts w:eastAsiaTheme="minorEastAsia" w:cstheme="minorBidi"/>
              <w:noProof/>
              <w:sz w:val="22"/>
              <w:szCs w:val="22"/>
              <w:lang w:val="es-CO" w:eastAsia="es-CO"/>
            </w:rPr>
          </w:pPr>
          <w:hyperlink w:anchor="_Toc231286812" w:history="1">
            <w:r w:rsidR="00735F2B" w:rsidRPr="00735F2B">
              <w:rPr>
                <w:rStyle w:val="Hipervnculo"/>
                <w:rFonts w:ascii="Humanst521 BT" w:hAnsi="Humanst521 BT" w:cs="Verdana"/>
                <w:noProof/>
                <w:color w:val="auto"/>
              </w:rPr>
              <w:t>5.2.2.4. Mortalidad trazadora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_Toc231286812 \h </w:instrText>
            </w:r>
            <w:r w:rsidR="00735F2B" w:rsidRPr="00735F2B">
              <w:rPr>
                <w:noProof/>
                <w:webHidden/>
              </w:rPr>
            </w:r>
            <w:r w:rsidR="00735F2B" w:rsidRPr="00735F2B">
              <w:rPr>
                <w:noProof/>
                <w:webHidden/>
              </w:rPr>
              <w:fldChar w:fldCharType="separate"/>
            </w:r>
            <w:r w:rsidR="00735F2B" w:rsidRPr="00735F2B">
              <w:rPr>
                <w:noProof/>
                <w:webHidden/>
              </w:rPr>
              <w:t>85</w:t>
            </w:r>
            <w:r w:rsidR="00735F2B" w:rsidRPr="00735F2B">
              <w:rPr>
                <w:noProof/>
                <w:webHidden/>
              </w:rPr>
              <w:fldChar w:fldCharType="end"/>
            </w:r>
          </w:hyperlink>
        </w:p>
        <w:p w14:paraId="1660C743" w14:textId="1B73CBFB" w:rsidR="00735F2B" w:rsidRPr="00735F2B" w:rsidRDefault="007C0226">
          <w:pPr>
            <w:pStyle w:val="TDC4"/>
            <w:tabs>
              <w:tab w:val="right" w:pos="9550"/>
            </w:tabs>
            <w:rPr>
              <w:rFonts w:eastAsiaTheme="minorEastAsia" w:cstheme="minorBidi"/>
              <w:noProof/>
              <w:sz w:val="22"/>
              <w:szCs w:val="22"/>
              <w:lang w:val="es-CO" w:eastAsia="es-CO"/>
            </w:rPr>
          </w:pPr>
          <w:hyperlink w:anchor="_Toc231286813" w:history="1">
            <w:r w:rsidR="00735F2B" w:rsidRPr="00735F2B">
              <w:rPr>
                <w:rStyle w:val="Hipervnculo"/>
                <w:rFonts w:ascii="Humanst521 BT" w:hAnsi="Humanst521 BT" w:cs="Verdana"/>
                <w:noProof/>
                <w:color w:val="auto"/>
              </w:rPr>
              <w:t>5.2.2.5. Análisis de mortalidad infantil y niñez</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_Toc231286813 \h </w:instrText>
            </w:r>
            <w:r w:rsidR="00735F2B" w:rsidRPr="00735F2B">
              <w:rPr>
                <w:noProof/>
                <w:webHidden/>
              </w:rPr>
            </w:r>
            <w:r w:rsidR="00735F2B" w:rsidRPr="00735F2B">
              <w:rPr>
                <w:noProof/>
                <w:webHidden/>
              </w:rPr>
              <w:fldChar w:fldCharType="separate"/>
            </w:r>
            <w:r w:rsidR="00735F2B" w:rsidRPr="00735F2B">
              <w:rPr>
                <w:noProof/>
                <w:webHidden/>
              </w:rPr>
              <w:t>86</w:t>
            </w:r>
            <w:r w:rsidR="00735F2B" w:rsidRPr="00735F2B">
              <w:rPr>
                <w:noProof/>
                <w:webHidden/>
              </w:rPr>
              <w:fldChar w:fldCharType="end"/>
            </w:r>
          </w:hyperlink>
        </w:p>
        <w:p w14:paraId="19C914BB" w14:textId="1885A6C3" w:rsidR="00735F2B" w:rsidRPr="00735F2B" w:rsidRDefault="007C0226">
          <w:pPr>
            <w:pStyle w:val="TDC4"/>
            <w:tabs>
              <w:tab w:val="right" w:pos="9550"/>
            </w:tabs>
            <w:rPr>
              <w:rFonts w:eastAsiaTheme="minorEastAsia" w:cstheme="minorBidi"/>
              <w:noProof/>
              <w:sz w:val="22"/>
              <w:szCs w:val="22"/>
              <w:lang w:val="es-CO" w:eastAsia="es-CO"/>
            </w:rPr>
          </w:pPr>
          <w:hyperlink w:anchor="_Toc231286814" w:history="1">
            <w:r w:rsidR="00735F2B" w:rsidRPr="00735F2B">
              <w:rPr>
                <w:rStyle w:val="Hipervnculo"/>
                <w:rFonts w:ascii="Humanst521 BT" w:hAnsi="Humanst521 BT" w:cs="Verdana"/>
                <w:noProof/>
                <w:color w:val="auto"/>
              </w:rPr>
              <w:t>5.2.2.6. Letalidad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_Toc231286814 \h </w:instrText>
            </w:r>
            <w:r w:rsidR="00735F2B" w:rsidRPr="00735F2B">
              <w:rPr>
                <w:noProof/>
                <w:webHidden/>
              </w:rPr>
            </w:r>
            <w:r w:rsidR="00735F2B" w:rsidRPr="00735F2B">
              <w:rPr>
                <w:noProof/>
                <w:webHidden/>
              </w:rPr>
              <w:fldChar w:fldCharType="separate"/>
            </w:r>
            <w:r w:rsidR="00735F2B" w:rsidRPr="00735F2B">
              <w:rPr>
                <w:noProof/>
                <w:webHidden/>
              </w:rPr>
              <w:t>87</w:t>
            </w:r>
            <w:r w:rsidR="00735F2B" w:rsidRPr="00735F2B">
              <w:rPr>
                <w:noProof/>
                <w:webHidden/>
              </w:rPr>
              <w:fldChar w:fldCharType="end"/>
            </w:r>
          </w:hyperlink>
        </w:p>
        <w:p w14:paraId="522D1709" w14:textId="562176F3" w:rsidR="00735F2B" w:rsidRPr="00735F2B" w:rsidRDefault="007C0226">
          <w:pPr>
            <w:pStyle w:val="TDC4"/>
            <w:tabs>
              <w:tab w:val="right" w:pos="9550"/>
            </w:tabs>
            <w:rPr>
              <w:rFonts w:eastAsiaTheme="minorEastAsia" w:cstheme="minorBidi"/>
              <w:noProof/>
              <w:sz w:val="22"/>
              <w:szCs w:val="22"/>
              <w:lang w:val="es-CO" w:eastAsia="es-CO"/>
            </w:rPr>
          </w:pPr>
          <w:hyperlink w:anchor="_Toc231286815" w:history="1">
            <w:r w:rsidR="00735F2B" w:rsidRPr="00735F2B">
              <w:rPr>
                <w:rStyle w:val="Hipervnculo"/>
                <w:rFonts w:ascii="Humanst521 BT" w:hAnsi="Humanst521 BT" w:cs="Verdana"/>
                <w:noProof/>
                <w:color w:val="auto"/>
              </w:rPr>
              <w:t>5.2.2.7. Mortalidad UISALUD fuente propia - 2024.</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_Toc231286815 \h </w:instrText>
            </w:r>
            <w:r w:rsidR="00735F2B" w:rsidRPr="00735F2B">
              <w:rPr>
                <w:noProof/>
                <w:webHidden/>
              </w:rPr>
            </w:r>
            <w:r w:rsidR="00735F2B" w:rsidRPr="00735F2B">
              <w:rPr>
                <w:noProof/>
                <w:webHidden/>
              </w:rPr>
              <w:fldChar w:fldCharType="separate"/>
            </w:r>
            <w:r w:rsidR="00735F2B" w:rsidRPr="00735F2B">
              <w:rPr>
                <w:noProof/>
                <w:webHidden/>
              </w:rPr>
              <w:t>87</w:t>
            </w:r>
            <w:r w:rsidR="00735F2B" w:rsidRPr="00735F2B">
              <w:rPr>
                <w:noProof/>
                <w:webHidden/>
              </w:rPr>
              <w:fldChar w:fldCharType="end"/>
            </w:r>
          </w:hyperlink>
        </w:p>
        <w:p w14:paraId="26D98A97" w14:textId="52E3A1E1" w:rsidR="00735F2B" w:rsidRPr="00735F2B" w:rsidRDefault="007C0226">
          <w:pPr>
            <w:pStyle w:val="TDC3"/>
            <w:tabs>
              <w:tab w:val="right" w:pos="9550"/>
            </w:tabs>
            <w:rPr>
              <w:rFonts w:eastAsiaTheme="minorEastAsia" w:cstheme="minorBidi"/>
              <w:noProof/>
              <w:sz w:val="22"/>
              <w:szCs w:val="22"/>
              <w:lang w:val="es-CO" w:eastAsia="es-CO"/>
            </w:rPr>
          </w:pPr>
          <w:hyperlink w:anchor="_Toc231286816" w:history="1">
            <w:r w:rsidR="00735F2B" w:rsidRPr="00735F2B">
              <w:rPr>
                <w:rStyle w:val="Hipervnculo"/>
                <w:rFonts w:ascii="Humanst521 BT" w:hAnsi="Humanst521 BT"/>
                <w:b/>
                <w:bCs/>
                <w:noProof/>
                <w:color w:val="auto"/>
              </w:rPr>
              <w:t>5.2.4.Conclusiones capítulo 2. Mortalidad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_Toc231286816 \h </w:instrText>
            </w:r>
            <w:r w:rsidR="00735F2B" w:rsidRPr="00735F2B">
              <w:rPr>
                <w:noProof/>
                <w:webHidden/>
              </w:rPr>
            </w:r>
            <w:r w:rsidR="00735F2B" w:rsidRPr="00735F2B">
              <w:rPr>
                <w:noProof/>
                <w:webHidden/>
              </w:rPr>
              <w:fldChar w:fldCharType="separate"/>
            </w:r>
            <w:r w:rsidR="00735F2B" w:rsidRPr="00735F2B">
              <w:rPr>
                <w:noProof/>
                <w:webHidden/>
              </w:rPr>
              <w:t>90</w:t>
            </w:r>
            <w:r w:rsidR="00735F2B" w:rsidRPr="00735F2B">
              <w:rPr>
                <w:noProof/>
                <w:webHidden/>
              </w:rPr>
              <w:fldChar w:fldCharType="end"/>
            </w:r>
          </w:hyperlink>
        </w:p>
        <w:p w14:paraId="02A67FED" w14:textId="6DD9B749" w:rsidR="00735F2B" w:rsidRPr="00735F2B" w:rsidRDefault="007C0226">
          <w:pPr>
            <w:pStyle w:val="TDC2"/>
            <w:tabs>
              <w:tab w:val="left" w:pos="660"/>
              <w:tab w:val="right" w:pos="9550"/>
            </w:tabs>
            <w:rPr>
              <w:rFonts w:eastAsiaTheme="minorEastAsia" w:cstheme="minorBidi"/>
              <w:b w:val="0"/>
              <w:bCs w:val="0"/>
              <w:noProof/>
              <w:sz w:val="22"/>
              <w:szCs w:val="22"/>
              <w:lang w:val="es-CO" w:eastAsia="es-CO"/>
            </w:rPr>
          </w:pPr>
          <w:hyperlink w:anchor="_Toc231286817" w:history="1">
            <w:r w:rsidR="00735F2B" w:rsidRPr="00735F2B">
              <w:rPr>
                <w:rStyle w:val="Hipervnculo"/>
                <w:rFonts w:ascii="Humanst521 BT" w:eastAsiaTheme="majorEastAsia" w:hAnsi="Humanst521 BT" w:cstheme="majorBidi"/>
                <w:noProof/>
                <w:color w:val="auto"/>
                <w:lang w:eastAsia="es-CO"/>
              </w:rPr>
              <w:t>5.3.</w:t>
            </w:r>
            <w:r w:rsidR="00735F2B" w:rsidRPr="00735F2B">
              <w:rPr>
                <w:rFonts w:eastAsiaTheme="minorEastAsia" w:cstheme="minorBidi"/>
                <w:b w:val="0"/>
                <w:bC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CAPÍTULO 3.  PRIORIZACIÓN DE LAS NECESIDADES Y PROBLEMÁTICAS EN SALUD DE LOS AFILIADOS.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_Toc231286817 \h </w:instrText>
            </w:r>
            <w:r w:rsidR="00735F2B" w:rsidRPr="00735F2B">
              <w:rPr>
                <w:noProof/>
                <w:webHidden/>
              </w:rPr>
            </w:r>
            <w:r w:rsidR="00735F2B" w:rsidRPr="00735F2B">
              <w:rPr>
                <w:noProof/>
                <w:webHidden/>
              </w:rPr>
              <w:fldChar w:fldCharType="separate"/>
            </w:r>
            <w:r w:rsidR="00735F2B" w:rsidRPr="00735F2B">
              <w:rPr>
                <w:noProof/>
                <w:webHidden/>
              </w:rPr>
              <w:t>91</w:t>
            </w:r>
            <w:r w:rsidR="00735F2B" w:rsidRPr="00735F2B">
              <w:rPr>
                <w:noProof/>
                <w:webHidden/>
              </w:rPr>
              <w:fldChar w:fldCharType="end"/>
            </w:r>
          </w:hyperlink>
        </w:p>
        <w:p w14:paraId="48865BFF" w14:textId="55A68650" w:rsidR="00735F2B" w:rsidRPr="00735F2B" w:rsidRDefault="007C0226">
          <w:pPr>
            <w:pStyle w:val="TDC3"/>
            <w:tabs>
              <w:tab w:val="right" w:pos="9550"/>
            </w:tabs>
            <w:rPr>
              <w:rFonts w:eastAsiaTheme="minorEastAsia" w:cstheme="minorBidi"/>
              <w:noProof/>
              <w:sz w:val="22"/>
              <w:szCs w:val="22"/>
              <w:lang w:val="es-CO" w:eastAsia="es-CO"/>
            </w:rPr>
          </w:pPr>
          <w:hyperlink w:anchor="_Toc231286818" w:history="1">
            <w:r w:rsidR="00735F2B" w:rsidRPr="00735F2B">
              <w:rPr>
                <w:rStyle w:val="Hipervnculo"/>
                <w:rFonts w:ascii="Humanst521 BT" w:hAnsi="Humanst521 BT"/>
                <w:b/>
                <w:bCs/>
                <w:noProof/>
                <w:color w:val="auto"/>
              </w:rPr>
              <w:t>5.3.1 Consolidación de problemas identificados por capítulo</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_Toc231286818 \h </w:instrText>
            </w:r>
            <w:r w:rsidR="00735F2B" w:rsidRPr="00735F2B">
              <w:rPr>
                <w:noProof/>
                <w:webHidden/>
              </w:rPr>
            </w:r>
            <w:r w:rsidR="00735F2B" w:rsidRPr="00735F2B">
              <w:rPr>
                <w:noProof/>
                <w:webHidden/>
              </w:rPr>
              <w:fldChar w:fldCharType="separate"/>
            </w:r>
            <w:r w:rsidR="00735F2B" w:rsidRPr="00735F2B">
              <w:rPr>
                <w:noProof/>
                <w:webHidden/>
              </w:rPr>
              <w:t>91</w:t>
            </w:r>
            <w:r w:rsidR="00735F2B" w:rsidRPr="00735F2B">
              <w:rPr>
                <w:noProof/>
                <w:webHidden/>
              </w:rPr>
              <w:fldChar w:fldCharType="end"/>
            </w:r>
          </w:hyperlink>
        </w:p>
        <w:p w14:paraId="6584289E" w14:textId="404BD9A8" w:rsidR="00735F2B" w:rsidRPr="00735F2B" w:rsidRDefault="007C0226">
          <w:pPr>
            <w:pStyle w:val="TDC3"/>
            <w:tabs>
              <w:tab w:val="right" w:pos="9550"/>
            </w:tabs>
            <w:rPr>
              <w:rFonts w:eastAsiaTheme="minorEastAsia" w:cstheme="minorBidi"/>
              <w:noProof/>
              <w:sz w:val="22"/>
              <w:szCs w:val="22"/>
              <w:lang w:val="es-CO" w:eastAsia="es-CO"/>
            </w:rPr>
          </w:pPr>
          <w:hyperlink w:anchor="_Toc231286819" w:history="1">
            <w:r w:rsidR="00735F2B" w:rsidRPr="00735F2B">
              <w:rPr>
                <w:rStyle w:val="Hipervnculo"/>
                <w:rFonts w:ascii="Humanst521 BT" w:hAnsi="Humanst521 BT"/>
                <w:b/>
                <w:bCs/>
                <w:noProof/>
                <w:color w:val="auto"/>
              </w:rPr>
              <w:t>5.3.2 Metodología y criterios de priorización</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_Toc231286819 \h </w:instrText>
            </w:r>
            <w:r w:rsidR="00735F2B" w:rsidRPr="00735F2B">
              <w:rPr>
                <w:noProof/>
                <w:webHidden/>
              </w:rPr>
            </w:r>
            <w:r w:rsidR="00735F2B" w:rsidRPr="00735F2B">
              <w:rPr>
                <w:noProof/>
                <w:webHidden/>
              </w:rPr>
              <w:fldChar w:fldCharType="separate"/>
            </w:r>
            <w:r w:rsidR="00735F2B" w:rsidRPr="00735F2B">
              <w:rPr>
                <w:noProof/>
                <w:webHidden/>
              </w:rPr>
              <w:t>91</w:t>
            </w:r>
            <w:r w:rsidR="00735F2B" w:rsidRPr="00735F2B">
              <w:rPr>
                <w:noProof/>
                <w:webHidden/>
              </w:rPr>
              <w:fldChar w:fldCharType="end"/>
            </w:r>
          </w:hyperlink>
        </w:p>
        <w:p w14:paraId="1A172438" w14:textId="4F919D45" w:rsidR="00735F2B" w:rsidRPr="00735F2B" w:rsidRDefault="007C0226">
          <w:pPr>
            <w:pStyle w:val="TDC3"/>
            <w:tabs>
              <w:tab w:val="right" w:pos="9550"/>
            </w:tabs>
            <w:rPr>
              <w:rFonts w:eastAsiaTheme="minorEastAsia" w:cstheme="minorBidi"/>
              <w:noProof/>
              <w:sz w:val="22"/>
              <w:szCs w:val="22"/>
              <w:lang w:val="es-CO" w:eastAsia="es-CO"/>
            </w:rPr>
          </w:pPr>
          <w:hyperlink w:anchor="_Toc231286820" w:history="1">
            <w:r w:rsidR="00735F2B" w:rsidRPr="00735F2B">
              <w:rPr>
                <w:rStyle w:val="Hipervnculo"/>
                <w:rFonts w:ascii="Humanst521 BT" w:hAnsi="Humanst521 BT"/>
                <w:b/>
                <w:bCs/>
                <w:noProof/>
                <w:color w:val="auto"/>
              </w:rPr>
              <w:t>5.3.3 Listado consolidado de problemas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_Toc231286820 \h </w:instrText>
            </w:r>
            <w:r w:rsidR="00735F2B" w:rsidRPr="00735F2B">
              <w:rPr>
                <w:noProof/>
                <w:webHidden/>
              </w:rPr>
            </w:r>
            <w:r w:rsidR="00735F2B" w:rsidRPr="00735F2B">
              <w:rPr>
                <w:noProof/>
                <w:webHidden/>
              </w:rPr>
              <w:fldChar w:fldCharType="separate"/>
            </w:r>
            <w:r w:rsidR="00735F2B" w:rsidRPr="00735F2B">
              <w:rPr>
                <w:noProof/>
                <w:webHidden/>
              </w:rPr>
              <w:t>93</w:t>
            </w:r>
            <w:r w:rsidR="00735F2B" w:rsidRPr="00735F2B">
              <w:rPr>
                <w:noProof/>
                <w:webHidden/>
              </w:rPr>
              <w:fldChar w:fldCharType="end"/>
            </w:r>
          </w:hyperlink>
        </w:p>
        <w:p w14:paraId="04D544A0" w14:textId="73B43535" w:rsidR="00735F2B" w:rsidRPr="00735F2B" w:rsidRDefault="007C0226">
          <w:pPr>
            <w:pStyle w:val="TDC4"/>
            <w:tabs>
              <w:tab w:val="right" w:pos="9550"/>
            </w:tabs>
            <w:rPr>
              <w:rFonts w:eastAsiaTheme="minorEastAsia" w:cstheme="minorBidi"/>
              <w:noProof/>
              <w:sz w:val="22"/>
              <w:szCs w:val="22"/>
              <w:lang w:val="es-CO" w:eastAsia="es-CO"/>
            </w:rPr>
          </w:pPr>
          <w:hyperlink w:anchor="_Toc231286821" w:history="1">
            <w:r w:rsidR="00735F2B" w:rsidRPr="00735F2B">
              <w:rPr>
                <w:rStyle w:val="Hipervnculo"/>
                <w:rFonts w:ascii="Humanst521 BT" w:hAnsi="Humanst521 BT" w:cs="Verdana"/>
                <w:noProof/>
                <w:color w:val="auto"/>
              </w:rPr>
              <w:t>5.3.3.1. Problemas identificados desde la configuración del territorio y los determinantes sociales de la salud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_Toc231286821 \h </w:instrText>
            </w:r>
            <w:r w:rsidR="00735F2B" w:rsidRPr="00735F2B">
              <w:rPr>
                <w:noProof/>
                <w:webHidden/>
              </w:rPr>
            </w:r>
            <w:r w:rsidR="00735F2B" w:rsidRPr="00735F2B">
              <w:rPr>
                <w:noProof/>
                <w:webHidden/>
              </w:rPr>
              <w:fldChar w:fldCharType="separate"/>
            </w:r>
            <w:r w:rsidR="00735F2B" w:rsidRPr="00735F2B">
              <w:rPr>
                <w:noProof/>
                <w:webHidden/>
              </w:rPr>
              <w:t>93</w:t>
            </w:r>
            <w:r w:rsidR="00735F2B" w:rsidRPr="00735F2B">
              <w:rPr>
                <w:noProof/>
                <w:webHidden/>
              </w:rPr>
              <w:fldChar w:fldCharType="end"/>
            </w:r>
          </w:hyperlink>
        </w:p>
        <w:p w14:paraId="04B65E28" w14:textId="3C753C2B" w:rsidR="00735F2B" w:rsidRPr="00735F2B" w:rsidRDefault="007C0226">
          <w:pPr>
            <w:pStyle w:val="TDC4"/>
            <w:tabs>
              <w:tab w:val="right" w:pos="9550"/>
            </w:tabs>
            <w:rPr>
              <w:rFonts w:eastAsiaTheme="minorEastAsia" w:cstheme="minorBidi"/>
              <w:noProof/>
              <w:sz w:val="22"/>
              <w:szCs w:val="22"/>
              <w:lang w:val="es-CO" w:eastAsia="es-CO"/>
            </w:rPr>
          </w:pPr>
          <w:hyperlink w:anchor="_Toc231286822" w:history="1">
            <w:r w:rsidR="00735F2B" w:rsidRPr="00735F2B">
              <w:rPr>
                <w:rStyle w:val="Hipervnculo"/>
                <w:rFonts w:ascii="Humanst521 BT" w:hAnsi="Humanst521 BT" w:cs="Verdana"/>
                <w:noProof/>
                <w:color w:val="auto"/>
              </w:rPr>
              <w:t>5.3.3.2. Problemas identificados en el análisis de morbilidad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_Toc231286822 \h </w:instrText>
            </w:r>
            <w:r w:rsidR="00735F2B" w:rsidRPr="00735F2B">
              <w:rPr>
                <w:noProof/>
                <w:webHidden/>
              </w:rPr>
            </w:r>
            <w:r w:rsidR="00735F2B" w:rsidRPr="00735F2B">
              <w:rPr>
                <w:noProof/>
                <w:webHidden/>
              </w:rPr>
              <w:fldChar w:fldCharType="separate"/>
            </w:r>
            <w:r w:rsidR="00735F2B" w:rsidRPr="00735F2B">
              <w:rPr>
                <w:noProof/>
                <w:webHidden/>
              </w:rPr>
              <w:t>93</w:t>
            </w:r>
            <w:r w:rsidR="00735F2B" w:rsidRPr="00735F2B">
              <w:rPr>
                <w:noProof/>
                <w:webHidden/>
              </w:rPr>
              <w:fldChar w:fldCharType="end"/>
            </w:r>
          </w:hyperlink>
        </w:p>
        <w:p w14:paraId="6346E890" w14:textId="2E8BBEB0" w:rsidR="00735F2B" w:rsidRPr="00735F2B" w:rsidRDefault="007C0226">
          <w:pPr>
            <w:pStyle w:val="TDC4"/>
            <w:tabs>
              <w:tab w:val="right" w:pos="9550"/>
            </w:tabs>
            <w:rPr>
              <w:rFonts w:eastAsiaTheme="minorEastAsia" w:cstheme="minorBidi"/>
              <w:noProof/>
              <w:sz w:val="22"/>
              <w:szCs w:val="22"/>
              <w:lang w:val="es-CO" w:eastAsia="es-CO"/>
            </w:rPr>
          </w:pPr>
          <w:hyperlink w:anchor="_Toc231286823" w:history="1">
            <w:r w:rsidR="00735F2B" w:rsidRPr="00735F2B">
              <w:rPr>
                <w:rStyle w:val="Hipervnculo"/>
                <w:rFonts w:ascii="Humanst521 BT" w:hAnsi="Humanst521 BT" w:cs="Verdana"/>
                <w:noProof/>
                <w:color w:val="auto"/>
              </w:rPr>
              <w:t>5.3.3.3. Problemas identificados en el análisis de mortalidad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_Toc231286823 \h </w:instrText>
            </w:r>
            <w:r w:rsidR="00735F2B" w:rsidRPr="00735F2B">
              <w:rPr>
                <w:noProof/>
                <w:webHidden/>
              </w:rPr>
            </w:r>
            <w:r w:rsidR="00735F2B" w:rsidRPr="00735F2B">
              <w:rPr>
                <w:noProof/>
                <w:webHidden/>
              </w:rPr>
              <w:fldChar w:fldCharType="separate"/>
            </w:r>
            <w:r w:rsidR="00735F2B" w:rsidRPr="00735F2B">
              <w:rPr>
                <w:noProof/>
                <w:webHidden/>
              </w:rPr>
              <w:t>94</w:t>
            </w:r>
            <w:r w:rsidR="00735F2B" w:rsidRPr="00735F2B">
              <w:rPr>
                <w:noProof/>
                <w:webHidden/>
              </w:rPr>
              <w:fldChar w:fldCharType="end"/>
            </w:r>
          </w:hyperlink>
        </w:p>
        <w:p w14:paraId="3254D9D2" w14:textId="292A0A0F" w:rsidR="00735F2B" w:rsidRPr="00735F2B" w:rsidRDefault="007C0226">
          <w:pPr>
            <w:pStyle w:val="TDC3"/>
            <w:tabs>
              <w:tab w:val="right" w:pos="9550"/>
            </w:tabs>
            <w:rPr>
              <w:rFonts w:eastAsiaTheme="minorEastAsia" w:cstheme="minorBidi"/>
              <w:noProof/>
              <w:sz w:val="22"/>
              <w:szCs w:val="22"/>
              <w:lang w:val="es-CO" w:eastAsia="es-CO"/>
            </w:rPr>
          </w:pPr>
          <w:hyperlink w:anchor="_Toc231286824" w:history="1">
            <w:r w:rsidR="00735F2B" w:rsidRPr="00735F2B">
              <w:rPr>
                <w:rStyle w:val="Hipervnculo"/>
                <w:rFonts w:ascii="Humanst521 BT" w:hAnsi="Humanst521 BT"/>
                <w:b/>
                <w:bCs/>
                <w:noProof/>
                <w:color w:val="auto"/>
              </w:rPr>
              <w:t>5.3.4 Priorización de problemas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_Toc231286824 \h </w:instrText>
            </w:r>
            <w:r w:rsidR="00735F2B" w:rsidRPr="00735F2B">
              <w:rPr>
                <w:noProof/>
                <w:webHidden/>
              </w:rPr>
            </w:r>
            <w:r w:rsidR="00735F2B" w:rsidRPr="00735F2B">
              <w:rPr>
                <w:noProof/>
                <w:webHidden/>
              </w:rPr>
              <w:fldChar w:fldCharType="separate"/>
            </w:r>
            <w:r w:rsidR="00735F2B" w:rsidRPr="00735F2B">
              <w:rPr>
                <w:noProof/>
                <w:webHidden/>
              </w:rPr>
              <w:t>94</w:t>
            </w:r>
            <w:r w:rsidR="00735F2B" w:rsidRPr="00735F2B">
              <w:rPr>
                <w:noProof/>
                <w:webHidden/>
              </w:rPr>
              <w:fldChar w:fldCharType="end"/>
            </w:r>
          </w:hyperlink>
        </w:p>
        <w:p w14:paraId="7C350A47" w14:textId="2D058E00" w:rsidR="00735F2B" w:rsidRPr="00735F2B" w:rsidRDefault="007C0226">
          <w:pPr>
            <w:pStyle w:val="TDC3"/>
            <w:tabs>
              <w:tab w:val="right" w:pos="9550"/>
            </w:tabs>
            <w:rPr>
              <w:rFonts w:eastAsiaTheme="minorEastAsia" w:cstheme="minorBidi"/>
              <w:noProof/>
              <w:sz w:val="22"/>
              <w:szCs w:val="22"/>
              <w:lang w:val="es-CO" w:eastAsia="es-CO"/>
            </w:rPr>
          </w:pPr>
          <w:hyperlink w:anchor="_Toc231286825" w:history="1">
            <w:r w:rsidR="00735F2B" w:rsidRPr="00735F2B">
              <w:rPr>
                <w:rStyle w:val="Hipervnculo"/>
                <w:rFonts w:ascii="Humanst521 BT" w:hAnsi="Humanst521 BT"/>
                <w:b/>
                <w:bCs/>
                <w:noProof/>
                <w:color w:val="auto"/>
              </w:rPr>
              <w:t>5.3.5 Problemas priorizados finales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_Toc231286825 \h </w:instrText>
            </w:r>
            <w:r w:rsidR="00735F2B" w:rsidRPr="00735F2B">
              <w:rPr>
                <w:noProof/>
                <w:webHidden/>
              </w:rPr>
            </w:r>
            <w:r w:rsidR="00735F2B" w:rsidRPr="00735F2B">
              <w:rPr>
                <w:noProof/>
                <w:webHidden/>
              </w:rPr>
              <w:fldChar w:fldCharType="separate"/>
            </w:r>
            <w:r w:rsidR="00735F2B" w:rsidRPr="00735F2B">
              <w:rPr>
                <w:noProof/>
                <w:webHidden/>
              </w:rPr>
              <w:t>95</w:t>
            </w:r>
            <w:r w:rsidR="00735F2B" w:rsidRPr="00735F2B">
              <w:rPr>
                <w:noProof/>
                <w:webHidden/>
              </w:rPr>
              <w:fldChar w:fldCharType="end"/>
            </w:r>
          </w:hyperlink>
        </w:p>
        <w:p w14:paraId="19D84074" w14:textId="4E0E469C" w:rsidR="00735F2B" w:rsidRPr="00735F2B" w:rsidRDefault="007C0226">
          <w:pPr>
            <w:pStyle w:val="TDC2"/>
            <w:tabs>
              <w:tab w:val="left" w:pos="660"/>
              <w:tab w:val="right" w:pos="9550"/>
            </w:tabs>
            <w:rPr>
              <w:rFonts w:eastAsiaTheme="minorEastAsia" w:cstheme="minorBidi"/>
              <w:b w:val="0"/>
              <w:bCs w:val="0"/>
              <w:noProof/>
              <w:sz w:val="22"/>
              <w:szCs w:val="22"/>
              <w:lang w:val="es-CO" w:eastAsia="es-CO"/>
            </w:rPr>
          </w:pPr>
          <w:hyperlink w:anchor="_Toc231286826" w:history="1">
            <w:r w:rsidR="00735F2B" w:rsidRPr="00735F2B">
              <w:rPr>
                <w:rStyle w:val="Hipervnculo"/>
                <w:rFonts w:ascii="Humanst521 BT" w:eastAsiaTheme="majorEastAsia" w:hAnsi="Humanst521 BT" w:cstheme="majorBidi"/>
                <w:noProof/>
                <w:color w:val="auto"/>
                <w:lang w:eastAsia="es-CO"/>
              </w:rPr>
              <w:t>5.4.</w:t>
            </w:r>
            <w:r w:rsidR="00735F2B" w:rsidRPr="00735F2B">
              <w:rPr>
                <w:rFonts w:eastAsiaTheme="minorEastAsia" w:cstheme="minorBidi"/>
                <w:b w:val="0"/>
                <w:bCs w:val="0"/>
                <w:noProof/>
                <w:sz w:val="22"/>
                <w:szCs w:val="22"/>
                <w:lang w:val="es-CO" w:eastAsia="es-CO"/>
              </w:rPr>
              <w:tab/>
            </w:r>
            <w:r w:rsidR="00735F2B" w:rsidRPr="00735F2B">
              <w:rPr>
                <w:rStyle w:val="Hipervnculo"/>
                <w:rFonts w:ascii="Humanst521 BT" w:eastAsiaTheme="majorEastAsia" w:hAnsi="Humanst521 BT" w:cstheme="majorBidi"/>
                <w:noProof/>
                <w:color w:val="auto"/>
                <w:lang w:eastAsia="es-CO"/>
              </w:rPr>
              <w:t>CAPITULO 4. ACCIONES QUE LA ENTIDAD ENCARGADA DEL ASEGURAMIENTO EN SALUD REALIZA A PARTIR DEL ANÁLISIS Y EN EL MARCO DEL PLAN DECENAL DE SALUD PÚBLICA 2022-2031.</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_Toc231286826 \h </w:instrText>
            </w:r>
            <w:r w:rsidR="00735F2B" w:rsidRPr="00735F2B">
              <w:rPr>
                <w:noProof/>
                <w:webHidden/>
              </w:rPr>
            </w:r>
            <w:r w:rsidR="00735F2B" w:rsidRPr="00735F2B">
              <w:rPr>
                <w:noProof/>
                <w:webHidden/>
              </w:rPr>
              <w:fldChar w:fldCharType="separate"/>
            </w:r>
            <w:r w:rsidR="00735F2B" w:rsidRPr="00735F2B">
              <w:rPr>
                <w:noProof/>
                <w:webHidden/>
              </w:rPr>
              <w:t>96</w:t>
            </w:r>
            <w:r w:rsidR="00735F2B" w:rsidRPr="00735F2B">
              <w:rPr>
                <w:noProof/>
                <w:webHidden/>
              </w:rPr>
              <w:fldChar w:fldCharType="end"/>
            </w:r>
          </w:hyperlink>
        </w:p>
        <w:p w14:paraId="182D62F5" w14:textId="3DF85199" w:rsidR="00735F2B" w:rsidRPr="00735F2B" w:rsidRDefault="007C0226">
          <w:pPr>
            <w:pStyle w:val="TDC3"/>
            <w:tabs>
              <w:tab w:val="right" w:pos="9550"/>
            </w:tabs>
            <w:rPr>
              <w:rFonts w:eastAsiaTheme="minorEastAsia" w:cstheme="minorBidi"/>
              <w:noProof/>
              <w:sz w:val="22"/>
              <w:szCs w:val="22"/>
              <w:lang w:val="es-CO" w:eastAsia="es-CO"/>
            </w:rPr>
          </w:pPr>
          <w:hyperlink w:anchor="_Toc231286827" w:history="1">
            <w:r w:rsidR="00735F2B" w:rsidRPr="00735F2B">
              <w:rPr>
                <w:rStyle w:val="Hipervnculo"/>
                <w:rFonts w:ascii="Humanst521 BT" w:hAnsi="Humanst521 BT"/>
                <w:b/>
                <w:bCs/>
                <w:noProof/>
                <w:color w:val="auto"/>
              </w:rPr>
              <w:t>5.4.1 Estrategias de Gestión de Riesgo Integral y Plan de Intervención</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_Toc231286827 \h </w:instrText>
            </w:r>
            <w:r w:rsidR="00735F2B" w:rsidRPr="00735F2B">
              <w:rPr>
                <w:noProof/>
                <w:webHidden/>
              </w:rPr>
            </w:r>
            <w:r w:rsidR="00735F2B" w:rsidRPr="00735F2B">
              <w:rPr>
                <w:noProof/>
                <w:webHidden/>
              </w:rPr>
              <w:fldChar w:fldCharType="separate"/>
            </w:r>
            <w:r w:rsidR="00735F2B" w:rsidRPr="00735F2B">
              <w:rPr>
                <w:noProof/>
                <w:webHidden/>
              </w:rPr>
              <w:t>96</w:t>
            </w:r>
            <w:r w:rsidR="00735F2B" w:rsidRPr="00735F2B">
              <w:rPr>
                <w:noProof/>
                <w:webHidden/>
              </w:rPr>
              <w:fldChar w:fldCharType="end"/>
            </w:r>
          </w:hyperlink>
        </w:p>
        <w:p w14:paraId="203A090D" w14:textId="2FDF3256" w:rsidR="00735F2B" w:rsidRPr="00735F2B" w:rsidRDefault="007C0226">
          <w:pPr>
            <w:pStyle w:val="TDC4"/>
            <w:tabs>
              <w:tab w:val="right" w:pos="9550"/>
            </w:tabs>
            <w:rPr>
              <w:rFonts w:eastAsiaTheme="minorEastAsia" w:cstheme="minorBidi"/>
              <w:noProof/>
              <w:sz w:val="22"/>
              <w:szCs w:val="22"/>
              <w:lang w:val="es-CO" w:eastAsia="es-CO"/>
            </w:rPr>
          </w:pPr>
          <w:hyperlink w:anchor="_Toc231286828" w:history="1">
            <w:r w:rsidR="00735F2B" w:rsidRPr="00735F2B">
              <w:rPr>
                <w:rStyle w:val="Hipervnculo"/>
                <w:rFonts w:ascii="Humanst521 BT" w:hAnsi="Humanst521 BT" w:cs="Verdana"/>
                <w:noProof/>
                <w:color w:val="auto"/>
              </w:rPr>
              <w:t>5.4.1.1. Estrategias para el control de Enfermedades Crónicas No Transmisibles (ECNT)</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_Toc231286828 \h </w:instrText>
            </w:r>
            <w:r w:rsidR="00735F2B" w:rsidRPr="00735F2B">
              <w:rPr>
                <w:noProof/>
                <w:webHidden/>
              </w:rPr>
            </w:r>
            <w:r w:rsidR="00735F2B" w:rsidRPr="00735F2B">
              <w:rPr>
                <w:noProof/>
                <w:webHidden/>
              </w:rPr>
              <w:fldChar w:fldCharType="separate"/>
            </w:r>
            <w:r w:rsidR="00735F2B" w:rsidRPr="00735F2B">
              <w:rPr>
                <w:noProof/>
                <w:webHidden/>
              </w:rPr>
              <w:t>96</w:t>
            </w:r>
            <w:r w:rsidR="00735F2B" w:rsidRPr="00735F2B">
              <w:rPr>
                <w:noProof/>
                <w:webHidden/>
              </w:rPr>
              <w:fldChar w:fldCharType="end"/>
            </w:r>
          </w:hyperlink>
        </w:p>
        <w:p w14:paraId="6D7A0C77" w14:textId="61AF8187" w:rsidR="00735F2B" w:rsidRPr="00735F2B" w:rsidRDefault="007C0226">
          <w:pPr>
            <w:pStyle w:val="TDC4"/>
            <w:tabs>
              <w:tab w:val="right" w:pos="9550"/>
            </w:tabs>
            <w:rPr>
              <w:rFonts w:eastAsiaTheme="minorEastAsia" w:cstheme="minorBidi"/>
              <w:noProof/>
              <w:sz w:val="22"/>
              <w:szCs w:val="22"/>
              <w:lang w:val="es-CO" w:eastAsia="es-CO"/>
            </w:rPr>
          </w:pPr>
          <w:hyperlink w:anchor="_Toc231286829" w:history="1">
            <w:r w:rsidR="00735F2B" w:rsidRPr="00735F2B">
              <w:rPr>
                <w:rStyle w:val="Hipervnculo"/>
                <w:rFonts w:ascii="Humanst521 BT" w:hAnsi="Humanst521 BT" w:cs="Verdana"/>
                <w:noProof/>
                <w:color w:val="auto"/>
              </w:rPr>
              <w:t>5.4.1.2. Estrategias para el control de Enfermedades Metabólicas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_Toc231286829 \h </w:instrText>
            </w:r>
            <w:r w:rsidR="00735F2B" w:rsidRPr="00735F2B">
              <w:rPr>
                <w:noProof/>
                <w:webHidden/>
              </w:rPr>
            </w:r>
            <w:r w:rsidR="00735F2B" w:rsidRPr="00735F2B">
              <w:rPr>
                <w:noProof/>
                <w:webHidden/>
              </w:rPr>
              <w:fldChar w:fldCharType="separate"/>
            </w:r>
            <w:r w:rsidR="00735F2B" w:rsidRPr="00735F2B">
              <w:rPr>
                <w:noProof/>
                <w:webHidden/>
              </w:rPr>
              <w:t>96</w:t>
            </w:r>
            <w:r w:rsidR="00735F2B" w:rsidRPr="00735F2B">
              <w:rPr>
                <w:noProof/>
                <w:webHidden/>
              </w:rPr>
              <w:fldChar w:fldCharType="end"/>
            </w:r>
          </w:hyperlink>
        </w:p>
        <w:p w14:paraId="7E3D1BC6" w14:textId="32A441C8" w:rsidR="00735F2B" w:rsidRPr="00735F2B" w:rsidRDefault="007C0226">
          <w:pPr>
            <w:pStyle w:val="TDC4"/>
            <w:tabs>
              <w:tab w:val="right" w:pos="9550"/>
            </w:tabs>
            <w:rPr>
              <w:rFonts w:eastAsiaTheme="minorEastAsia" w:cstheme="minorBidi"/>
              <w:noProof/>
              <w:sz w:val="22"/>
              <w:szCs w:val="22"/>
              <w:lang w:val="es-CO" w:eastAsia="es-CO"/>
            </w:rPr>
          </w:pPr>
          <w:hyperlink w:anchor="_Toc231286830" w:history="1">
            <w:r w:rsidR="00735F2B" w:rsidRPr="00735F2B">
              <w:rPr>
                <w:rStyle w:val="Hipervnculo"/>
                <w:rFonts w:ascii="Humanst521 BT" w:hAnsi="Humanst521 BT" w:cs="Verdana"/>
                <w:noProof/>
                <w:color w:val="auto"/>
              </w:rPr>
              <w:t>5.4.1.3. Estrategias para el control de Condiciones Neuropsiquiátricas y Salud Mental</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_Toc231286830 \h </w:instrText>
            </w:r>
            <w:r w:rsidR="00735F2B" w:rsidRPr="00735F2B">
              <w:rPr>
                <w:noProof/>
                <w:webHidden/>
              </w:rPr>
            </w:r>
            <w:r w:rsidR="00735F2B" w:rsidRPr="00735F2B">
              <w:rPr>
                <w:noProof/>
                <w:webHidden/>
              </w:rPr>
              <w:fldChar w:fldCharType="separate"/>
            </w:r>
            <w:r w:rsidR="00735F2B" w:rsidRPr="00735F2B">
              <w:rPr>
                <w:noProof/>
                <w:webHidden/>
              </w:rPr>
              <w:t>96</w:t>
            </w:r>
            <w:r w:rsidR="00735F2B" w:rsidRPr="00735F2B">
              <w:rPr>
                <w:noProof/>
                <w:webHidden/>
              </w:rPr>
              <w:fldChar w:fldCharType="end"/>
            </w:r>
          </w:hyperlink>
        </w:p>
        <w:p w14:paraId="095F8686" w14:textId="681FC433" w:rsidR="00735F2B" w:rsidRPr="00735F2B" w:rsidRDefault="007C0226">
          <w:pPr>
            <w:pStyle w:val="TDC4"/>
            <w:tabs>
              <w:tab w:val="right" w:pos="9550"/>
            </w:tabs>
            <w:rPr>
              <w:rFonts w:eastAsiaTheme="minorEastAsia" w:cstheme="minorBidi"/>
              <w:noProof/>
              <w:sz w:val="22"/>
              <w:szCs w:val="22"/>
              <w:lang w:val="es-CO" w:eastAsia="es-CO"/>
            </w:rPr>
          </w:pPr>
          <w:hyperlink w:anchor="_Toc231286831" w:history="1">
            <w:r w:rsidR="00735F2B" w:rsidRPr="00735F2B">
              <w:rPr>
                <w:rStyle w:val="Hipervnculo"/>
                <w:rFonts w:ascii="Humanst521 BT" w:hAnsi="Humanst521 BT" w:cs="Verdana"/>
                <w:noProof/>
                <w:color w:val="auto"/>
              </w:rPr>
              <w:t>5.4.1.4. Estrategias frente al Envejecimiento Poblacional y Multimorbilidad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_Toc231286831 \h </w:instrText>
            </w:r>
            <w:r w:rsidR="00735F2B" w:rsidRPr="00735F2B">
              <w:rPr>
                <w:noProof/>
                <w:webHidden/>
              </w:rPr>
            </w:r>
            <w:r w:rsidR="00735F2B" w:rsidRPr="00735F2B">
              <w:rPr>
                <w:noProof/>
                <w:webHidden/>
              </w:rPr>
              <w:fldChar w:fldCharType="separate"/>
            </w:r>
            <w:r w:rsidR="00735F2B" w:rsidRPr="00735F2B">
              <w:rPr>
                <w:noProof/>
                <w:webHidden/>
              </w:rPr>
              <w:t>96</w:t>
            </w:r>
            <w:r w:rsidR="00735F2B" w:rsidRPr="00735F2B">
              <w:rPr>
                <w:noProof/>
                <w:webHidden/>
              </w:rPr>
              <w:fldChar w:fldCharType="end"/>
            </w:r>
          </w:hyperlink>
        </w:p>
        <w:p w14:paraId="30B88571" w14:textId="555C0E41" w:rsidR="00735F2B" w:rsidRPr="00735F2B" w:rsidRDefault="007C0226">
          <w:pPr>
            <w:pStyle w:val="TDC4"/>
            <w:tabs>
              <w:tab w:val="right" w:pos="9550"/>
            </w:tabs>
            <w:rPr>
              <w:rFonts w:eastAsiaTheme="minorEastAsia" w:cstheme="minorBidi"/>
              <w:noProof/>
              <w:sz w:val="22"/>
              <w:szCs w:val="22"/>
              <w:lang w:val="es-CO" w:eastAsia="es-CO"/>
            </w:rPr>
          </w:pPr>
          <w:hyperlink w:anchor="_Toc231286832" w:history="1">
            <w:r w:rsidR="00735F2B" w:rsidRPr="00735F2B">
              <w:rPr>
                <w:rStyle w:val="Hipervnculo"/>
                <w:rFonts w:ascii="Humanst521 BT" w:hAnsi="Humanst521 BT" w:cs="Verdana"/>
                <w:noProof/>
                <w:color w:val="auto"/>
              </w:rPr>
              <w:t>5.4.1.5. Estrategias para el control de Eventos Transmisibles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_Toc231286832 \h </w:instrText>
            </w:r>
            <w:r w:rsidR="00735F2B" w:rsidRPr="00735F2B">
              <w:rPr>
                <w:noProof/>
                <w:webHidden/>
              </w:rPr>
            </w:r>
            <w:r w:rsidR="00735F2B" w:rsidRPr="00735F2B">
              <w:rPr>
                <w:noProof/>
                <w:webHidden/>
              </w:rPr>
              <w:fldChar w:fldCharType="separate"/>
            </w:r>
            <w:r w:rsidR="00735F2B" w:rsidRPr="00735F2B">
              <w:rPr>
                <w:noProof/>
                <w:webHidden/>
              </w:rPr>
              <w:t>97</w:t>
            </w:r>
            <w:r w:rsidR="00735F2B" w:rsidRPr="00735F2B">
              <w:rPr>
                <w:noProof/>
                <w:webHidden/>
              </w:rPr>
              <w:fldChar w:fldCharType="end"/>
            </w:r>
          </w:hyperlink>
        </w:p>
        <w:p w14:paraId="31E413D2" w14:textId="4C3F100C" w:rsidR="00735F2B" w:rsidRPr="00735F2B" w:rsidRDefault="007C0226">
          <w:pPr>
            <w:pStyle w:val="TDC4"/>
            <w:tabs>
              <w:tab w:val="right" w:pos="9550"/>
            </w:tabs>
            <w:rPr>
              <w:rFonts w:eastAsiaTheme="minorEastAsia" w:cstheme="minorBidi"/>
              <w:noProof/>
              <w:sz w:val="22"/>
              <w:szCs w:val="22"/>
              <w:lang w:val="es-CO" w:eastAsia="es-CO"/>
            </w:rPr>
          </w:pPr>
          <w:hyperlink w:anchor="_Toc231286833" w:history="1">
            <w:r w:rsidR="00735F2B" w:rsidRPr="00735F2B">
              <w:rPr>
                <w:rStyle w:val="Hipervnculo"/>
                <w:rFonts w:ascii="Humanst521 BT" w:hAnsi="Humanst521 BT" w:cs="Verdana"/>
                <w:noProof/>
                <w:color w:val="auto"/>
              </w:rPr>
              <w:t>5.4.1.6. Estrategias transversales de fortalecimiento institucional</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_Toc231286833 \h </w:instrText>
            </w:r>
            <w:r w:rsidR="00735F2B" w:rsidRPr="00735F2B">
              <w:rPr>
                <w:noProof/>
                <w:webHidden/>
              </w:rPr>
            </w:r>
            <w:r w:rsidR="00735F2B" w:rsidRPr="00735F2B">
              <w:rPr>
                <w:noProof/>
                <w:webHidden/>
              </w:rPr>
              <w:fldChar w:fldCharType="separate"/>
            </w:r>
            <w:r w:rsidR="00735F2B" w:rsidRPr="00735F2B">
              <w:rPr>
                <w:noProof/>
                <w:webHidden/>
              </w:rPr>
              <w:t>97</w:t>
            </w:r>
            <w:r w:rsidR="00735F2B" w:rsidRPr="00735F2B">
              <w:rPr>
                <w:noProof/>
                <w:webHidden/>
              </w:rPr>
              <w:fldChar w:fldCharType="end"/>
            </w:r>
          </w:hyperlink>
        </w:p>
        <w:p w14:paraId="15D93BFA" w14:textId="3475EEAF" w:rsidR="00735F2B" w:rsidRPr="00735F2B" w:rsidRDefault="007C0226">
          <w:pPr>
            <w:pStyle w:val="TDC2"/>
            <w:tabs>
              <w:tab w:val="right" w:pos="9550"/>
            </w:tabs>
            <w:rPr>
              <w:rFonts w:eastAsiaTheme="minorEastAsia" w:cstheme="minorBidi"/>
              <w:b w:val="0"/>
              <w:bCs w:val="0"/>
              <w:noProof/>
              <w:sz w:val="22"/>
              <w:szCs w:val="22"/>
              <w:lang w:val="es-CO" w:eastAsia="es-CO"/>
            </w:rPr>
          </w:pPr>
          <w:hyperlink w:anchor="_Toc231286834" w:history="1">
            <w:r w:rsidR="00735F2B" w:rsidRPr="00735F2B">
              <w:rPr>
                <w:rStyle w:val="Hipervnculo"/>
                <w:rFonts w:ascii="Humanst521 BT" w:eastAsiaTheme="majorEastAsia" w:hAnsi="Humanst521 BT" w:cstheme="majorBidi"/>
                <w:noProof/>
                <w:color w:val="auto"/>
                <w:lang w:eastAsia="es-CO"/>
              </w:rPr>
              <w:t>Anexo. RESUMEN INFORMACION GENERAL PARA DISEÑO DE INFOGRAFIA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_Toc231286834 \h </w:instrText>
            </w:r>
            <w:r w:rsidR="00735F2B" w:rsidRPr="00735F2B">
              <w:rPr>
                <w:noProof/>
                <w:webHidden/>
              </w:rPr>
            </w:r>
            <w:r w:rsidR="00735F2B" w:rsidRPr="00735F2B">
              <w:rPr>
                <w:noProof/>
                <w:webHidden/>
              </w:rPr>
              <w:fldChar w:fldCharType="separate"/>
            </w:r>
            <w:r w:rsidR="00735F2B" w:rsidRPr="00735F2B">
              <w:rPr>
                <w:noProof/>
                <w:webHidden/>
              </w:rPr>
              <w:t>98</w:t>
            </w:r>
            <w:r w:rsidR="00735F2B" w:rsidRPr="00735F2B">
              <w:rPr>
                <w:noProof/>
                <w:webHidden/>
              </w:rPr>
              <w:fldChar w:fldCharType="end"/>
            </w:r>
          </w:hyperlink>
        </w:p>
        <w:p w14:paraId="49DEB3BF" w14:textId="223EC548" w:rsidR="00735F2B" w:rsidRPr="00735F2B" w:rsidRDefault="007C0226">
          <w:pPr>
            <w:pStyle w:val="TDC3"/>
            <w:tabs>
              <w:tab w:val="left" w:pos="660"/>
              <w:tab w:val="right" w:pos="9550"/>
            </w:tabs>
            <w:rPr>
              <w:rFonts w:eastAsiaTheme="minorEastAsia" w:cstheme="minorBidi"/>
              <w:noProof/>
              <w:sz w:val="22"/>
              <w:szCs w:val="22"/>
              <w:lang w:val="es-CO" w:eastAsia="es-CO"/>
            </w:rPr>
          </w:pPr>
          <w:hyperlink w:anchor="_Toc231286835" w:history="1">
            <w:r w:rsidR="00735F2B" w:rsidRPr="00735F2B">
              <w:rPr>
                <w:rStyle w:val="Hipervnculo"/>
                <w:rFonts w:ascii="Humanst521 BT" w:hAnsi="Humanst521 BT"/>
                <w:noProof/>
                <w:color w:val="auto"/>
                <w:lang w:val="es-CO"/>
              </w:rPr>
              <w:t>1.</w:t>
            </w:r>
            <w:r w:rsidR="00735F2B" w:rsidRPr="00735F2B">
              <w:rPr>
                <w:rFonts w:eastAsiaTheme="minorEastAsia" w:cstheme="minorBidi"/>
                <w:noProof/>
                <w:sz w:val="22"/>
                <w:szCs w:val="22"/>
                <w:lang w:val="es-CO" w:eastAsia="es-CO"/>
              </w:rPr>
              <w:tab/>
            </w:r>
            <w:r w:rsidR="00735F2B" w:rsidRPr="00735F2B">
              <w:rPr>
                <w:rStyle w:val="Hipervnculo"/>
                <w:rFonts w:ascii="Humanst521 BT" w:hAnsi="Humanst521 BT"/>
                <w:noProof/>
                <w:color w:val="auto"/>
              </w:rPr>
              <w:t>Información Demográfica</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_Toc231286835 \h </w:instrText>
            </w:r>
            <w:r w:rsidR="00735F2B" w:rsidRPr="00735F2B">
              <w:rPr>
                <w:noProof/>
                <w:webHidden/>
              </w:rPr>
            </w:r>
            <w:r w:rsidR="00735F2B" w:rsidRPr="00735F2B">
              <w:rPr>
                <w:noProof/>
                <w:webHidden/>
              </w:rPr>
              <w:fldChar w:fldCharType="separate"/>
            </w:r>
            <w:r w:rsidR="00735F2B" w:rsidRPr="00735F2B">
              <w:rPr>
                <w:noProof/>
                <w:webHidden/>
              </w:rPr>
              <w:t>98</w:t>
            </w:r>
            <w:r w:rsidR="00735F2B" w:rsidRPr="00735F2B">
              <w:rPr>
                <w:noProof/>
                <w:webHidden/>
              </w:rPr>
              <w:fldChar w:fldCharType="end"/>
            </w:r>
          </w:hyperlink>
        </w:p>
        <w:p w14:paraId="7FA27CA0" w14:textId="6CB61758" w:rsidR="00735F2B" w:rsidRPr="00735F2B" w:rsidRDefault="007C0226">
          <w:pPr>
            <w:pStyle w:val="TDC3"/>
            <w:tabs>
              <w:tab w:val="right" w:pos="9550"/>
            </w:tabs>
            <w:rPr>
              <w:rFonts w:eastAsiaTheme="minorEastAsia" w:cstheme="minorBidi"/>
              <w:noProof/>
              <w:sz w:val="22"/>
              <w:szCs w:val="22"/>
              <w:lang w:val="es-CO" w:eastAsia="es-CO"/>
            </w:rPr>
          </w:pPr>
          <w:hyperlink w:anchor="_Toc231286836" w:history="1">
            <w:r w:rsidR="00735F2B" w:rsidRPr="00735F2B">
              <w:rPr>
                <w:rStyle w:val="Hipervnculo"/>
                <w:rFonts w:ascii="Humanst521 BT" w:hAnsi="Humanst521 BT"/>
                <w:noProof/>
                <w:color w:val="auto"/>
              </w:rPr>
              <w:t>2. Morbimortalidad</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_Toc231286836 \h </w:instrText>
            </w:r>
            <w:r w:rsidR="00735F2B" w:rsidRPr="00735F2B">
              <w:rPr>
                <w:noProof/>
                <w:webHidden/>
              </w:rPr>
            </w:r>
            <w:r w:rsidR="00735F2B" w:rsidRPr="00735F2B">
              <w:rPr>
                <w:noProof/>
                <w:webHidden/>
              </w:rPr>
              <w:fldChar w:fldCharType="separate"/>
            </w:r>
            <w:r w:rsidR="00735F2B" w:rsidRPr="00735F2B">
              <w:rPr>
                <w:noProof/>
                <w:webHidden/>
              </w:rPr>
              <w:t>98</w:t>
            </w:r>
            <w:r w:rsidR="00735F2B" w:rsidRPr="00735F2B">
              <w:rPr>
                <w:noProof/>
                <w:webHidden/>
              </w:rPr>
              <w:fldChar w:fldCharType="end"/>
            </w:r>
          </w:hyperlink>
        </w:p>
        <w:p w14:paraId="179408F4" w14:textId="49ABAEB8" w:rsidR="00735F2B" w:rsidRPr="00735F2B" w:rsidRDefault="007C0226">
          <w:pPr>
            <w:pStyle w:val="TDC3"/>
            <w:tabs>
              <w:tab w:val="right" w:pos="9550"/>
            </w:tabs>
            <w:rPr>
              <w:rFonts w:eastAsiaTheme="minorEastAsia" w:cstheme="minorBidi"/>
              <w:noProof/>
              <w:sz w:val="22"/>
              <w:szCs w:val="22"/>
              <w:lang w:val="es-CO" w:eastAsia="es-CO"/>
            </w:rPr>
          </w:pPr>
          <w:hyperlink w:anchor="_Toc231286837" w:history="1">
            <w:r w:rsidR="00735F2B" w:rsidRPr="00735F2B">
              <w:rPr>
                <w:rStyle w:val="Hipervnculo"/>
                <w:rFonts w:ascii="Humanst521 BT" w:hAnsi="Humanst521 BT"/>
                <w:noProof/>
                <w:color w:val="auto"/>
              </w:rPr>
              <w:t>3. Prioridades de Intervención</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_Toc231286837 \h </w:instrText>
            </w:r>
            <w:r w:rsidR="00735F2B" w:rsidRPr="00735F2B">
              <w:rPr>
                <w:noProof/>
                <w:webHidden/>
              </w:rPr>
            </w:r>
            <w:r w:rsidR="00735F2B" w:rsidRPr="00735F2B">
              <w:rPr>
                <w:noProof/>
                <w:webHidden/>
              </w:rPr>
              <w:fldChar w:fldCharType="separate"/>
            </w:r>
            <w:r w:rsidR="00735F2B" w:rsidRPr="00735F2B">
              <w:rPr>
                <w:noProof/>
                <w:webHidden/>
              </w:rPr>
              <w:t>98</w:t>
            </w:r>
            <w:r w:rsidR="00735F2B" w:rsidRPr="00735F2B">
              <w:rPr>
                <w:noProof/>
                <w:webHidden/>
              </w:rPr>
              <w:fldChar w:fldCharType="end"/>
            </w:r>
          </w:hyperlink>
        </w:p>
        <w:p w14:paraId="252831D0" w14:textId="2D8CBCAD" w:rsidR="00735F2B" w:rsidRPr="00735F2B" w:rsidRDefault="007C0226">
          <w:pPr>
            <w:pStyle w:val="TDC3"/>
            <w:tabs>
              <w:tab w:val="right" w:pos="9550"/>
            </w:tabs>
            <w:rPr>
              <w:rFonts w:eastAsiaTheme="minorEastAsia" w:cstheme="minorBidi"/>
              <w:noProof/>
              <w:sz w:val="22"/>
              <w:szCs w:val="22"/>
              <w:lang w:val="es-CO" w:eastAsia="es-CO"/>
            </w:rPr>
          </w:pPr>
          <w:hyperlink w:anchor="_Toc231286838" w:history="1">
            <w:r w:rsidR="00735F2B" w:rsidRPr="00735F2B">
              <w:rPr>
                <w:rStyle w:val="Hipervnculo"/>
                <w:rFonts w:ascii="Humanst521 BT" w:hAnsi="Humanst521 BT"/>
                <w:noProof/>
                <w:color w:val="auto"/>
              </w:rPr>
              <w:t>4. Acciones Estratégicas</w:t>
            </w:r>
            <w:r w:rsidR="00735F2B" w:rsidRPr="00735F2B">
              <w:rPr>
                <w:noProof/>
                <w:webHidden/>
              </w:rPr>
              <w:tab/>
            </w:r>
            <w:r w:rsidR="00735F2B" w:rsidRPr="00735F2B">
              <w:rPr>
                <w:noProof/>
                <w:webHidden/>
              </w:rPr>
              <w:fldChar w:fldCharType="begin"/>
            </w:r>
            <w:r w:rsidR="00735F2B" w:rsidRPr="00735F2B">
              <w:rPr>
                <w:noProof/>
                <w:webHidden/>
              </w:rPr>
              <w:instrText xml:space="preserve"> PAGEREF _Toc231286838 \h </w:instrText>
            </w:r>
            <w:r w:rsidR="00735F2B" w:rsidRPr="00735F2B">
              <w:rPr>
                <w:noProof/>
                <w:webHidden/>
              </w:rPr>
            </w:r>
            <w:r w:rsidR="00735F2B" w:rsidRPr="00735F2B">
              <w:rPr>
                <w:noProof/>
                <w:webHidden/>
              </w:rPr>
              <w:fldChar w:fldCharType="separate"/>
            </w:r>
            <w:r w:rsidR="00735F2B" w:rsidRPr="00735F2B">
              <w:rPr>
                <w:noProof/>
                <w:webHidden/>
              </w:rPr>
              <w:t>98</w:t>
            </w:r>
            <w:r w:rsidR="00735F2B" w:rsidRPr="00735F2B">
              <w:rPr>
                <w:noProof/>
                <w:webHidden/>
              </w:rPr>
              <w:fldChar w:fldCharType="end"/>
            </w:r>
          </w:hyperlink>
        </w:p>
        <w:p w14:paraId="21B65CFD" w14:textId="120BC2BF" w:rsidR="00783C35" w:rsidRPr="00E6508D" w:rsidRDefault="0020363D">
          <w:r w:rsidRPr="00735F2B">
            <w:fldChar w:fldCharType="end"/>
          </w:r>
        </w:p>
      </w:sdtContent>
    </w:sdt>
    <w:p w14:paraId="0FC2DE48" w14:textId="77777777" w:rsidR="00244200" w:rsidRPr="00266118" w:rsidRDefault="00244200" w:rsidP="00093B44">
      <w:pPr>
        <w:pStyle w:val="Textoindependiente"/>
        <w:rPr>
          <w:rFonts w:ascii="Humanst521 BT" w:hAnsi="Humanst521 BT"/>
          <w:sz w:val="22"/>
          <w:szCs w:val="22"/>
        </w:rPr>
      </w:pPr>
    </w:p>
    <w:p w14:paraId="41D628E1" w14:textId="77777777" w:rsidR="00244200" w:rsidRPr="00266118" w:rsidRDefault="00244200" w:rsidP="00093B44">
      <w:pPr>
        <w:pStyle w:val="Textoindependiente"/>
        <w:rPr>
          <w:rFonts w:ascii="Humanst521 BT" w:hAnsi="Humanst521 BT"/>
          <w:sz w:val="22"/>
          <w:szCs w:val="22"/>
        </w:rPr>
      </w:pPr>
    </w:p>
    <w:p w14:paraId="4FEB0678" w14:textId="77777777" w:rsidR="00244200" w:rsidRPr="007F0FA7" w:rsidRDefault="00244200" w:rsidP="00093B44">
      <w:pPr>
        <w:pStyle w:val="Textoindependiente"/>
        <w:rPr>
          <w:rFonts w:ascii="Humanst521 BT" w:hAnsi="Humanst521 BT"/>
          <w:sz w:val="22"/>
          <w:szCs w:val="22"/>
        </w:rPr>
      </w:pPr>
    </w:p>
    <w:p w14:paraId="0664156B" w14:textId="77777777" w:rsidR="00244200" w:rsidRPr="007F0FA7" w:rsidRDefault="00244200" w:rsidP="00093B44">
      <w:pPr>
        <w:pStyle w:val="Textoindependiente"/>
        <w:rPr>
          <w:rFonts w:ascii="Humanst521 BT" w:hAnsi="Humanst521 BT"/>
          <w:sz w:val="22"/>
          <w:szCs w:val="22"/>
        </w:rPr>
      </w:pPr>
    </w:p>
    <w:p w14:paraId="48966BF5" w14:textId="77777777" w:rsidR="00244200" w:rsidRPr="007F0FA7" w:rsidRDefault="00244200" w:rsidP="00093B44">
      <w:pPr>
        <w:pStyle w:val="Textoindependiente"/>
        <w:rPr>
          <w:rFonts w:ascii="Humanst521 BT" w:hAnsi="Humanst521 BT"/>
          <w:sz w:val="22"/>
          <w:szCs w:val="22"/>
        </w:rPr>
      </w:pPr>
    </w:p>
    <w:p w14:paraId="1A65D40F" w14:textId="179C4312" w:rsidR="00244200" w:rsidRPr="007F0FA7" w:rsidRDefault="007C1956" w:rsidP="00093B44">
      <w:pPr>
        <w:pStyle w:val="Textoindependiente"/>
        <w:rPr>
          <w:rFonts w:ascii="Humanst521 BT" w:hAnsi="Humanst521 BT"/>
          <w:b/>
          <w:sz w:val="22"/>
          <w:szCs w:val="22"/>
        </w:rPr>
      </w:pPr>
      <w:r w:rsidRPr="007F0FA7">
        <w:rPr>
          <w:rFonts w:ascii="Humanst521 BT" w:hAnsi="Humanst521 BT"/>
          <w:noProof/>
          <w:sz w:val="22"/>
          <w:szCs w:val="22"/>
        </w:rPr>
        <mc:AlternateContent>
          <mc:Choice Requires="wpg">
            <w:drawing>
              <wp:anchor distT="0" distB="0" distL="0" distR="0" simplePos="0" relativeHeight="251457024" behindDoc="0" locked="0" layoutInCell="1" allowOverlap="1" wp14:anchorId="06E49DF8" wp14:editId="31A3F212">
                <wp:simplePos x="0" y="0"/>
                <wp:positionH relativeFrom="page">
                  <wp:posOffset>7636509</wp:posOffset>
                </wp:positionH>
                <wp:positionV relativeFrom="page">
                  <wp:posOffset>0</wp:posOffset>
                </wp:positionV>
                <wp:extent cx="135890" cy="19634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30" name="Graphic 30"/>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31" name="Graphic 31"/>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32" name="Graphic 32"/>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33" name="Graphic 33"/>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65BF2BED" id="Group 29" o:spid="_x0000_s1026" style="position:absolute;margin-left:601.3pt;margin-top:0;width:10.7pt;height:154.6pt;z-index:251457024;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">
                <v:shape id="Graphic 30"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" path="m,473467r135889,1l135889,,,,,473467xe" fillcolor="#33aea3" stroked="f">
                  <v:path arrowok="t"/>
                </v:shape>
                <v:shape id="Graphic 31"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" path="m,l,498641r135889,l135889,,,xe" fillcolor="#5cbeb6" stroked="f">
                  <v:path arrowok="t"/>
                </v:shape>
                <v:shape id="Graphic 32"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" path="m,l,498615r135889,1l135889,,,xe" fillcolor="#85cfc7" stroked="f">
                  <v:path arrowok="t"/>
                </v:shape>
                <v:shape id="Graphic 33"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" path="m,498424r135889,l135889,,,,,498424xe" fillcolor="#d5eeec" stroked="f">
                  <v:path arrowok="t"/>
                </v:shape>
                <w10:wrap anchorx="page" anchory="page"/>
              </v:group>
            </w:pict>
          </mc:Fallback>
        </mc:AlternateContent>
      </w:r>
    </w:p>
    <w:p w14:paraId="2FBF2D28" w14:textId="77777777" w:rsidR="00244200" w:rsidRDefault="00244200" w:rsidP="00093B44">
      <w:pPr>
        <w:pStyle w:val="Textoindependiente"/>
        <w:rPr>
          <w:rFonts w:ascii="Humanst521 BT" w:hAnsi="Humanst521 BT"/>
          <w:sz w:val="22"/>
          <w:szCs w:val="22"/>
        </w:rPr>
      </w:pPr>
    </w:p>
    <w:p w14:paraId="6E29D490" w14:textId="77777777" w:rsidR="00BA3C63" w:rsidRDefault="00BA3C63" w:rsidP="00093B44">
      <w:pPr>
        <w:pStyle w:val="Textoindependiente"/>
        <w:rPr>
          <w:rFonts w:ascii="Humanst521 BT" w:hAnsi="Humanst521 BT"/>
          <w:sz w:val="22"/>
          <w:szCs w:val="22"/>
        </w:rPr>
      </w:pPr>
    </w:p>
    <w:p w14:paraId="222F724B" w14:textId="77777777" w:rsidR="00BA3C63" w:rsidRDefault="00BA3C63" w:rsidP="00093B44">
      <w:pPr>
        <w:pStyle w:val="Textoindependiente"/>
        <w:rPr>
          <w:rFonts w:ascii="Humanst521 BT" w:hAnsi="Humanst521 BT"/>
          <w:sz w:val="22"/>
          <w:szCs w:val="22"/>
        </w:rPr>
      </w:pPr>
    </w:p>
    <w:p w14:paraId="6E46CCF8" w14:textId="77777777" w:rsidR="00BA3C63" w:rsidRDefault="00BA3C63" w:rsidP="00093B44">
      <w:pPr>
        <w:pStyle w:val="Textoindependiente"/>
        <w:rPr>
          <w:rFonts w:ascii="Humanst521 BT" w:hAnsi="Humanst521 BT"/>
          <w:sz w:val="22"/>
          <w:szCs w:val="22"/>
        </w:rPr>
      </w:pPr>
    </w:p>
    <w:p w14:paraId="7B751226" w14:textId="77777777" w:rsidR="00BA3C63" w:rsidRDefault="00BA3C63" w:rsidP="00093B44">
      <w:pPr>
        <w:pStyle w:val="Textoindependiente"/>
        <w:rPr>
          <w:rFonts w:ascii="Humanst521 BT" w:hAnsi="Humanst521 BT"/>
          <w:sz w:val="22"/>
          <w:szCs w:val="22"/>
        </w:rPr>
      </w:pPr>
    </w:p>
    <w:p w14:paraId="046FF3EC" w14:textId="77777777" w:rsidR="00BA3C63" w:rsidRDefault="00BA3C63" w:rsidP="00093B44">
      <w:pPr>
        <w:pStyle w:val="Textoindependiente"/>
        <w:rPr>
          <w:rFonts w:ascii="Humanst521 BT" w:hAnsi="Humanst521 BT"/>
          <w:sz w:val="22"/>
          <w:szCs w:val="22"/>
        </w:rPr>
      </w:pPr>
    </w:p>
    <w:p w14:paraId="0ACB9EE9" w14:textId="77777777" w:rsidR="00BA3C63" w:rsidRDefault="00BA3C63" w:rsidP="00093B44">
      <w:pPr>
        <w:pStyle w:val="Textoindependiente"/>
        <w:rPr>
          <w:rFonts w:ascii="Humanst521 BT" w:hAnsi="Humanst521 BT"/>
          <w:sz w:val="22"/>
          <w:szCs w:val="22"/>
        </w:rPr>
      </w:pPr>
    </w:p>
    <w:p w14:paraId="39F86639" w14:textId="77777777" w:rsidR="00BA3C63" w:rsidRDefault="00BA3C63" w:rsidP="00093B44">
      <w:pPr>
        <w:pStyle w:val="Textoindependiente"/>
        <w:rPr>
          <w:rFonts w:ascii="Humanst521 BT" w:hAnsi="Humanst521 BT"/>
          <w:sz w:val="22"/>
          <w:szCs w:val="22"/>
        </w:rPr>
      </w:pPr>
    </w:p>
    <w:p w14:paraId="1E186D6D" w14:textId="77777777" w:rsidR="00BA3C63" w:rsidRDefault="00BA3C63" w:rsidP="00093B44">
      <w:pPr>
        <w:pStyle w:val="Textoindependiente"/>
        <w:rPr>
          <w:rFonts w:ascii="Humanst521 BT" w:hAnsi="Humanst521 BT"/>
          <w:sz w:val="22"/>
          <w:szCs w:val="22"/>
        </w:rPr>
      </w:pPr>
    </w:p>
    <w:p w14:paraId="409B6472" w14:textId="77777777" w:rsidR="00BA3C63" w:rsidRDefault="00BA3C63" w:rsidP="00093B44">
      <w:pPr>
        <w:pStyle w:val="Textoindependiente"/>
        <w:rPr>
          <w:rFonts w:ascii="Humanst521 BT" w:hAnsi="Humanst521 BT"/>
          <w:sz w:val="22"/>
          <w:szCs w:val="22"/>
        </w:rPr>
      </w:pPr>
    </w:p>
    <w:p w14:paraId="74968E2C" w14:textId="77777777" w:rsidR="00BA3C63" w:rsidRDefault="00BA3C63" w:rsidP="00093B44">
      <w:pPr>
        <w:pStyle w:val="Textoindependiente"/>
        <w:rPr>
          <w:rFonts w:ascii="Humanst521 BT" w:hAnsi="Humanst521 BT"/>
          <w:sz w:val="22"/>
          <w:szCs w:val="22"/>
        </w:rPr>
      </w:pPr>
    </w:p>
    <w:p w14:paraId="7A2A377F" w14:textId="77777777" w:rsidR="00BA3C63" w:rsidRDefault="00BA3C63" w:rsidP="00093B44">
      <w:pPr>
        <w:pStyle w:val="Textoindependiente"/>
        <w:rPr>
          <w:rFonts w:ascii="Humanst521 BT" w:hAnsi="Humanst521 BT"/>
          <w:sz w:val="22"/>
          <w:szCs w:val="22"/>
        </w:rPr>
      </w:pPr>
    </w:p>
    <w:p w14:paraId="57030309" w14:textId="77777777" w:rsidR="00BA3C63" w:rsidRDefault="00BA3C63" w:rsidP="00093B44">
      <w:pPr>
        <w:pStyle w:val="Textoindependiente"/>
        <w:rPr>
          <w:rFonts w:ascii="Humanst521 BT" w:hAnsi="Humanst521 BT"/>
          <w:sz w:val="22"/>
          <w:szCs w:val="22"/>
        </w:rPr>
      </w:pPr>
    </w:p>
    <w:p w14:paraId="55A46035" w14:textId="77777777" w:rsidR="00BA3C63" w:rsidRDefault="00BA3C63" w:rsidP="00093B44">
      <w:pPr>
        <w:pStyle w:val="Textoindependiente"/>
        <w:rPr>
          <w:rFonts w:ascii="Humanst521 BT" w:hAnsi="Humanst521 BT"/>
          <w:sz w:val="22"/>
          <w:szCs w:val="22"/>
        </w:rPr>
      </w:pPr>
    </w:p>
    <w:p w14:paraId="44DFB927" w14:textId="77777777" w:rsidR="00BA3C63" w:rsidRDefault="00BA3C63" w:rsidP="00093B44">
      <w:pPr>
        <w:pStyle w:val="Textoindependiente"/>
        <w:rPr>
          <w:rFonts w:ascii="Humanst521 BT" w:hAnsi="Humanst521 BT"/>
          <w:sz w:val="22"/>
          <w:szCs w:val="22"/>
        </w:rPr>
      </w:pPr>
    </w:p>
    <w:p w14:paraId="7D0B2EB3" w14:textId="77777777" w:rsidR="00BA3C63" w:rsidRDefault="00BA3C63" w:rsidP="00093B44">
      <w:pPr>
        <w:pStyle w:val="Textoindependiente"/>
        <w:rPr>
          <w:rFonts w:ascii="Humanst521 BT" w:hAnsi="Humanst521 BT"/>
          <w:sz w:val="22"/>
          <w:szCs w:val="22"/>
        </w:rPr>
      </w:pPr>
    </w:p>
    <w:p w14:paraId="1F1E7654" w14:textId="77777777" w:rsidR="00BA3C63" w:rsidRDefault="00BA3C63" w:rsidP="00093B44">
      <w:pPr>
        <w:pStyle w:val="Textoindependiente"/>
        <w:rPr>
          <w:rFonts w:ascii="Humanst521 BT" w:hAnsi="Humanst521 BT"/>
          <w:sz w:val="22"/>
          <w:szCs w:val="22"/>
        </w:rPr>
      </w:pPr>
    </w:p>
    <w:p w14:paraId="2C8892B2" w14:textId="77777777" w:rsidR="00BA3C63" w:rsidRDefault="00BA3C63" w:rsidP="00093B44">
      <w:pPr>
        <w:pStyle w:val="Textoindependiente"/>
        <w:rPr>
          <w:rFonts w:ascii="Humanst521 BT" w:hAnsi="Humanst521 BT"/>
          <w:sz w:val="22"/>
          <w:szCs w:val="22"/>
        </w:rPr>
      </w:pPr>
    </w:p>
    <w:p w14:paraId="0AB2EC99" w14:textId="77777777" w:rsidR="00BA3C63" w:rsidRDefault="00BA3C63" w:rsidP="00093B44">
      <w:pPr>
        <w:pStyle w:val="Textoindependiente"/>
        <w:rPr>
          <w:rFonts w:ascii="Humanst521 BT" w:hAnsi="Humanst521 BT"/>
          <w:sz w:val="22"/>
          <w:szCs w:val="22"/>
        </w:rPr>
      </w:pPr>
    </w:p>
    <w:p w14:paraId="52FCE15D" w14:textId="77777777" w:rsidR="00BA3C63" w:rsidRDefault="00BA3C63" w:rsidP="00093B44">
      <w:pPr>
        <w:pStyle w:val="Textoindependiente"/>
        <w:rPr>
          <w:rFonts w:ascii="Humanst521 BT" w:hAnsi="Humanst521 BT"/>
          <w:sz w:val="22"/>
          <w:szCs w:val="22"/>
        </w:rPr>
      </w:pPr>
    </w:p>
    <w:p w14:paraId="2765398A" w14:textId="77777777" w:rsidR="00BA3C63" w:rsidRDefault="00BA3C63" w:rsidP="00093B44">
      <w:pPr>
        <w:pStyle w:val="Textoindependiente"/>
        <w:rPr>
          <w:rFonts w:ascii="Humanst521 BT" w:hAnsi="Humanst521 BT"/>
          <w:sz w:val="22"/>
          <w:szCs w:val="22"/>
        </w:rPr>
      </w:pPr>
    </w:p>
    <w:p w14:paraId="1FAB7D22" w14:textId="77777777" w:rsidR="00BA3C63" w:rsidRDefault="00BA3C63" w:rsidP="00093B44">
      <w:pPr>
        <w:pStyle w:val="Textoindependiente"/>
        <w:rPr>
          <w:rFonts w:ascii="Humanst521 BT" w:hAnsi="Humanst521 BT"/>
          <w:sz w:val="22"/>
          <w:szCs w:val="22"/>
        </w:rPr>
      </w:pPr>
    </w:p>
    <w:p w14:paraId="534E5CAF" w14:textId="77777777" w:rsidR="00BA3C63" w:rsidRDefault="00BA3C63" w:rsidP="00093B44">
      <w:pPr>
        <w:pStyle w:val="Textoindependiente"/>
        <w:rPr>
          <w:rFonts w:ascii="Humanst521 BT" w:hAnsi="Humanst521 BT"/>
          <w:sz w:val="22"/>
          <w:szCs w:val="22"/>
        </w:rPr>
      </w:pPr>
    </w:p>
    <w:p w14:paraId="2BF492C9" w14:textId="77777777" w:rsidR="00BA3C63" w:rsidRDefault="00BA3C63" w:rsidP="00093B44">
      <w:pPr>
        <w:pStyle w:val="Textoindependiente"/>
        <w:rPr>
          <w:rFonts w:ascii="Humanst521 BT" w:hAnsi="Humanst521 BT"/>
          <w:sz w:val="22"/>
          <w:szCs w:val="22"/>
        </w:rPr>
      </w:pPr>
    </w:p>
    <w:p w14:paraId="57993DF3" w14:textId="77777777" w:rsidR="00BA3C63" w:rsidRDefault="00BA3C63" w:rsidP="00093B44">
      <w:pPr>
        <w:pStyle w:val="Textoindependiente"/>
        <w:rPr>
          <w:rFonts w:ascii="Humanst521 BT" w:hAnsi="Humanst521 BT"/>
          <w:sz w:val="22"/>
          <w:szCs w:val="22"/>
        </w:rPr>
      </w:pPr>
    </w:p>
    <w:p w14:paraId="3AA20FF7" w14:textId="77777777" w:rsidR="00BA3C63" w:rsidRDefault="00BA3C63" w:rsidP="00093B44">
      <w:pPr>
        <w:pStyle w:val="Textoindependiente"/>
        <w:rPr>
          <w:rFonts w:ascii="Humanst521 BT" w:hAnsi="Humanst521 BT"/>
          <w:sz w:val="22"/>
          <w:szCs w:val="22"/>
        </w:rPr>
      </w:pPr>
    </w:p>
    <w:p w14:paraId="40C0D556" w14:textId="77777777" w:rsidR="00BA3C63" w:rsidRDefault="00BA3C63" w:rsidP="00093B44">
      <w:pPr>
        <w:pStyle w:val="Textoindependiente"/>
        <w:rPr>
          <w:rFonts w:ascii="Humanst521 BT" w:hAnsi="Humanst521 BT"/>
          <w:sz w:val="22"/>
          <w:szCs w:val="22"/>
        </w:rPr>
      </w:pPr>
    </w:p>
    <w:p w14:paraId="620680FE" w14:textId="77777777" w:rsidR="00BA3C63" w:rsidRDefault="00BA3C63" w:rsidP="00093B44">
      <w:pPr>
        <w:pStyle w:val="Textoindependiente"/>
        <w:rPr>
          <w:rFonts w:ascii="Humanst521 BT" w:hAnsi="Humanst521 BT"/>
          <w:sz w:val="22"/>
          <w:szCs w:val="22"/>
        </w:rPr>
      </w:pPr>
    </w:p>
    <w:p w14:paraId="528FC20C" w14:textId="77777777" w:rsidR="00BA3C63" w:rsidRDefault="00BA3C63" w:rsidP="00093B44">
      <w:pPr>
        <w:pStyle w:val="Textoindependiente"/>
        <w:rPr>
          <w:rFonts w:ascii="Humanst521 BT" w:hAnsi="Humanst521 BT"/>
          <w:sz w:val="22"/>
          <w:szCs w:val="22"/>
        </w:rPr>
      </w:pPr>
    </w:p>
    <w:p w14:paraId="4EF61845" w14:textId="77777777" w:rsidR="00BA3C63" w:rsidRDefault="00BA3C63" w:rsidP="00093B44">
      <w:pPr>
        <w:pStyle w:val="Textoindependiente"/>
        <w:rPr>
          <w:rFonts w:ascii="Humanst521 BT" w:hAnsi="Humanst521 BT"/>
          <w:sz w:val="22"/>
          <w:szCs w:val="22"/>
        </w:rPr>
      </w:pPr>
    </w:p>
    <w:p w14:paraId="79037117" w14:textId="77777777" w:rsidR="00BA3C63" w:rsidRDefault="00BA3C63" w:rsidP="00093B44">
      <w:pPr>
        <w:pStyle w:val="Textoindependiente"/>
        <w:rPr>
          <w:rFonts w:ascii="Humanst521 BT" w:hAnsi="Humanst521 BT"/>
          <w:sz w:val="22"/>
          <w:szCs w:val="22"/>
        </w:rPr>
      </w:pPr>
    </w:p>
    <w:p w14:paraId="3D81AA33" w14:textId="77777777" w:rsidR="00BA3C63" w:rsidRDefault="00BA3C63" w:rsidP="00093B44">
      <w:pPr>
        <w:pStyle w:val="Textoindependiente"/>
        <w:rPr>
          <w:rFonts w:ascii="Humanst521 BT" w:hAnsi="Humanst521 BT"/>
          <w:sz w:val="22"/>
          <w:szCs w:val="22"/>
        </w:rPr>
      </w:pPr>
    </w:p>
    <w:p w14:paraId="541EAF86" w14:textId="77777777" w:rsidR="00BA3C63" w:rsidRDefault="00BA3C63" w:rsidP="00093B44">
      <w:pPr>
        <w:pStyle w:val="Textoindependiente"/>
        <w:rPr>
          <w:rFonts w:ascii="Humanst521 BT" w:hAnsi="Humanst521 BT"/>
          <w:sz w:val="22"/>
          <w:szCs w:val="22"/>
        </w:rPr>
      </w:pPr>
    </w:p>
    <w:p w14:paraId="0A9CD569" w14:textId="77777777" w:rsidR="00381B27" w:rsidRPr="007F0FA7" w:rsidRDefault="00381B27" w:rsidP="00093B44">
      <w:pPr>
        <w:pStyle w:val="Textoindependiente"/>
        <w:rPr>
          <w:rFonts w:ascii="Humanst521 BT" w:hAnsi="Humanst521 BT"/>
          <w:sz w:val="22"/>
          <w:szCs w:val="22"/>
        </w:rPr>
      </w:pPr>
    </w:p>
    <w:p w14:paraId="6F1AD4EB" w14:textId="77777777" w:rsidR="00244200" w:rsidRPr="007F0FA7" w:rsidRDefault="00244200" w:rsidP="00093B44">
      <w:pPr>
        <w:pStyle w:val="Textoindependiente"/>
        <w:rPr>
          <w:rFonts w:ascii="Humanst521 BT" w:hAnsi="Humanst521 BT"/>
          <w:sz w:val="22"/>
          <w:szCs w:val="22"/>
        </w:rPr>
      </w:pPr>
    </w:p>
    <w:p w14:paraId="4E507AC8" w14:textId="2743E766" w:rsidR="00DA4AD3" w:rsidRPr="00BA3C63" w:rsidRDefault="00BA3C63" w:rsidP="00BA3C63">
      <w:pPr>
        <w:jc w:val="center"/>
        <w:rPr>
          <w:rFonts w:ascii="Humanst521 BT" w:eastAsiaTheme="majorEastAsia" w:hAnsi="Humanst521 BT" w:cstheme="majorBidi"/>
          <w:b/>
          <w:bCs/>
          <w:color w:val="2F5496" w:themeColor="accent1" w:themeShade="BF"/>
          <w:sz w:val="32"/>
          <w:szCs w:val="32"/>
          <w:lang w:eastAsia="es-CO"/>
        </w:rPr>
      </w:pPr>
      <w:r w:rsidRPr="00BA3C63">
        <w:rPr>
          <w:rFonts w:ascii="Humanst521 BT" w:eastAsiaTheme="majorEastAsia" w:hAnsi="Humanst521 BT" w:cstheme="majorBidi"/>
          <w:b/>
          <w:bCs/>
          <w:color w:val="2F5496" w:themeColor="accent1" w:themeShade="BF"/>
          <w:sz w:val="32"/>
          <w:szCs w:val="32"/>
          <w:lang w:eastAsia="es-CO"/>
        </w:rPr>
        <w:t>LISTA DE TABLAS</w:t>
      </w:r>
    </w:p>
    <w:p w14:paraId="00832147" w14:textId="77777777" w:rsidR="00DA4AD3" w:rsidRPr="007F0FA7" w:rsidRDefault="00DA4AD3" w:rsidP="00093B44">
      <w:pPr>
        <w:rPr>
          <w:rFonts w:ascii="Humanst521 BT" w:hAnsi="Humanst521 BT"/>
        </w:rPr>
      </w:pPr>
    </w:p>
    <w:p w14:paraId="41A0535F" w14:textId="77777777" w:rsidR="00DA4AD3" w:rsidRPr="007F0FA7" w:rsidRDefault="00DA4AD3" w:rsidP="00093B44">
      <w:pPr>
        <w:rPr>
          <w:rFonts w:ascii="Humanst521 BT" w:hAnsi="Humanst521 BT"/>
        </w:rPr>
      </w:pPr>
    </w:p>
    <w:p w14:paraId="7CDB478B" w14:textId="24715891" w:rsidR="00E20FAA" w:rsidRDefault="00DA4AD3">
      <w:pPr>
        <w:pStyle w:val="Tabladeilustraciones"/>
        <w:tabs>
          <w:tab w:val="right" w:leader="dot" w:pos="9550"/>
        </w:tabs>
        <w:rPr>
          <w:rFonts w:eastAsiaTheme="minorEastAsia"/>
          <w:noProof/>
          <w:sz w:val="22"/>
          <w:lang w:eastAsia="es-CO"/>
        </w:rPr>
      </w:pPr>
      <w:r w:rsidRPr="007F0FA7">
        <w:rPr>
          <w:rFonts w:ascii="Humanst521 BT" w:hAnsi="Humanst521 BT"/>
          <w:sz w:val="18"/>
          <w:szCs w:val="18"/>
        </w:rPr>
        <w:fldChar w:fldCharType="begin"/>
      </w:r>
      <w:r w:rsidRPr="007F0FA7">
        <w:rPr>
          <w:rFonts w:ascii="Humanst521 BT" w:hAnsi="Humanst521 BT"/>
          <w:sz w:val="18"/>
          <w:szCs w:val="18"/>
        </w:rPr>
        <w:instrText xml:space="preserve"> TOC \h \z \c "Tabla" </w:instrText>
      </w:r>
      <w:r w:rsidRPr="007F0FA7">
        <w:rPr>
          <w:rFonts w:ascii="Humanst521 BT" w:hAnsi="Humanst521 BT"/>
          <w:sz w:val="18"/>
          <w:szCs w:val="18"/>
        </w:rPr>
        <w:fldChar w:fldCharType="separate"/>
      </w:r>
      <w:hyperlink w:anchor="_Toc231286246" w:history="1">
        <w:r w:rsidR="00E20FAA" w:rsidRPr="00726BF4">
          <w:rPr>
            <w:rStyle w:val="Hipervnculo"/>
            <w:rFonts w:ascii="Humanst521 BT" w:hAnsi="Humanst521 BT"/>
            <w:noProof/>
          </w:rPr>
          <w:t>Tabla 1.Objetivos específicos de los ejes estratégicos PDSP 2022-2031</w:t>
        </w:r>
        <w:r w:rsidR="00E20FAA">
          <w:rPr>
            <w:noProof/>
            <w:webHidden/>
          </w:rPr>
          <w:tab/>
        </w:r>
        <w:r w:rsidR="00E20FAA">
          <w:rPr>
            <w:noProof/>
            <w:webHidden/>
          </w:rPr>
          <w:fldChar w:fldCharType="begin"/>
        </w:r>
        <w:r w:rsidR="00E20FAA">
          <w:rPr>
            <w:noProof/>
            <w:webHidden/>
          </w:rPr>
          <w:instrText xml:space="preserve"> PAGEREF _Toc231286246 \h </w:instrText>
        </w:r>
        <w:r w:rsidR="00E20FAA">
          <w:rPr>
            <w:noProof/>
            <w:webHidden/>
          </w:rPr>
        </w:r>
        <w:r w:rsidR="00E20FAA">
          <w:rPr>
            <w:noProof/>
            <w:webHidden/>
          </w:rPr>
          <w:fldChar w:fldCharType="separate"/>
        </w:r>
        <w:r w:rsidR="00E20FAA">
          <w:rPr>
            <w:noProof/>
            <w:webHidden/>
          </w:rPr>
          <w:t>12</w:t>
        </w:r>
        <w:r w:rsidR="00E20FAA">
          <w:rPr>
            <w:noProof/>
            <w:webHidden/>
          </w:rPr>
          <w:fldChar w:fldCharType="end"/>
        </w:r>
      </w:hyperlink>
    </w:p>
    <w:p w14:paraId="0354A9AB" w14:textId="69538B2A" w:rsidR="00E20FAA" w:rsidRDefault="007C0226">
      <w:pPr>
        <w:pStyle w:val="Tabladeilustraciones"/>
        <w:tabs>
          <w:tab w:val="right" w:leader="dot" w:pos="9550"/>
        </w:tabs>
        <w:rPr>
          <w:rFonts w:eastAsiaTheme="minorEastAsia"/>
          <w:noProof/>
          <w:sz w:val="22"/>
          <w:lang w:eastAsia="es-CO"/>
        </w:rPr>
      </w:pPr>
      <w:hyperlink w:anchor="_Toc231286247" w:history="1">
        <w:r w:rsidR="00E20FAA" w:rsidRPr="00726BF4">
          <w:rPr>
            <w:rStyle w:val="Hipervnculo"/>
            <w:rFonts w:ascii="Humanst521 BT" w:hAnsi="Humanst521 BT"/>
            <w:noProof/>
          </w:rPr>
          <w:t>Tabla 2. Distribución de los afiliados UISALUD por departamento de residencia.</w:t>
        </w:r>
        <w:r w:rsidR="00E20FAA">
          <w:rPr>
            <w:noProof/>
            <w:webHidden/>
          </w:rPr>
          <w:tab/>
        </w:r>
        <w:r w:rsidR="00E20FAA">
          <w:rPr>
            <w:noProof/>
            <w:webHidden/>
          </w:rPr>
          <w:fldChar w:fldCharType="begin"/>
        </w:r>
        <w:r w:rsidR="00E20FAA">
          <w:rPr>
            <w:noProof/>
            <w:webHidden/>
          </w:rPr>
          <w:instrText xml:space="preserve"> PAGEREF _Toc231286247 \h </w:instrText>
        </w:r>
        <w:r w:rsidR="00E20FAA">
          <w:rPr>
            <w:noProof/>
            <w:webHidden/>
          </w:rPr>
        </w:r>
        <w:r w:rsidR="00E20FAA">
          <w:rPr>
            <w:noProof/>
            <w:webHidden/>
          </w:rPr>
          <w:fldChar w:fldCharType="separate"/>
        </w:r>
        <w:r w:rsidR="00E20FAA">
          <w:rPr>
            <w:noProof/>
            <w:webHidden/>
          </w:rPr>
          <w:t>18</w:t>
        </w:r>
        <w:r w:rsidR="00E20FAA">
          <w:rPr>
            <w:noProof/>
            <w:webHidden/>
          </w:rPr>
          <w:fldChar w:fldCharType="end"/>
        </w:r>
      </w:hyperlink>
    </w:p>
    <w:p w14:paraId="61FDB67F" w14:textId="02190615" w:rsidR="00E20FAA" w:rsidRDefault="007C0226">
      <w:pPr>
        <w:pStyle w:val="Tabladeilustraciones"/>
        <w:tabs>
          <w:tab w:val="right" w:leader="dot" w:pos="9550"/>
        </w:tabs>
        <w:rPr>
          <w:rFonts w:eastAsiaTheme="minorEastAsia"/>
          <w:noProof/>
          <w:sz w:val="22"/>
          <w:lang w:eastAsia="es-CO"/>
        </w:rPr>
      </w:pPr>
      <w:hyperlink w:anchor="_Toc231286248" w:history="1">
        <w:r w:rsidR="00E20FAA" w:rsidRPr="00726BF4">
          <w:rPr>
            <w:rStyle w:val="Hipervnculo"/>
            <w:rFonts w:ascii="Humanst521 BT" w:hAnsi="Humanst521 BT"/>
            <w:noProof/>
          </w:rPr>
          <w:t>Tabla 3. Proporción de la población por ciclo vital, UISALUD</w:t>
        </w:r>
        <w:r w:rsidR="00E20FAA">
          <w:rPr>
            <w:noProof/>
            <w:webHidden/>
          </w:rPr>
          <w:tab/>
        </w:r>
        <w:r w:rsidR="00E20FAA">
          <w:rPr>
            <w:noProof/>
            <w:webHidden/>
          </w:rPr>
          <w:fldChar w:fldCharType="begin"/>
        </w:r>
        <w:r w:rsidR="00E20FAA">
          <w:rPr>
            <w:noProof/>
            <w:webHidden/>
          </w:rPr>
          <w:instrText xml:space="preserve"> PAGEREF _Toc231286248 \h </w:instrText>
        </w:r>
        <w:r w:rsidR="00E20FAA">
          <w:rPr>
            <w:noProof/>
            <w:webHidden/>
          </w:rPr>
        </w:r>
        <w:r w:rsidR="00E20FAA">
          <w:rPr>
            <w:noProof/>
            <w:webHidden/>
          </w:rPr>
          <w:fldChar w:fldCharType="separate"/>
        </w:r>
        <w:r w:rsidR="00E20FAA">
          <w:rPr>
            <w:noProof/>
            <w:webHidden/>
          </w:rPr>
          <w:t>21</w:t>
        </w:r>
        <w:r w:rsidR="00E20FAA">
          <w:rPr>
            <w:noProof/>
            <w:webHidden/>
          </w:rPr>
          <w:fldChar w:fldCharType="end"/>
        </w:r>
      </w:hyperlink>
    </w:p>
    <w:p w14:paraId="5D4F1AE0" w14:textId="6E237C05" w:rsidR="00E20FAA" w:rsidRDefault="007C0226">
      <w:pPr>
        <w:pStyle w:val="Tabladeilustraciones"/>
        <w:tabs>
          <w:tab w:val="right" w:leader="dot" w:pos="9550"/>
        </w:tabs>
        <w:rPr>
          <w:rFonts w:eastAsiaTheme="minorEastAsia"/>
          <w:noProof/>
          <w:sz w:val="22"/>
          <w:lang w:eastAsia="es-CO"/>
        </w:rPr>
      </w:pPr>
      <w:hyperlink w:anchor="_Toc231286249" w:history="1">
        <w:r w:rsidR="00E20FAA" w:rsidRPr="00726BF4">
          <w:rPr>
            <w:rStyle w:val="Hipervnculo"/>
            <w:rFonts w:ascii="Humanst521 BT" w:eastAsia="Verdana" w:hAnsi="Humanst521 BT" w:cs="Verdana"/>
            <w:noProof/>
            <w:lang w:val="es-ES"/>
          </w:rPr>
          <w:t>Tabla 4. Proporción de la población por ciclo vital, UISALUD – Otros departamentos</w:t>
        </w:r>
        <w:r w:rsidR="00E20FAA">
          <w:rPr>
            <w:noProof/>
            <w:webHidden/>
          </w:rPr>
          <w:tab/>
        </w:r>
        <w:r w:rsidR="00E20FAA">
          <w:rPr>
            <w:noProof/>
            <w:webHidden/>
          </w:rPr>
          <w:fldChar w:fldCharType="begin"/>
        </w:r>
        <w:r w:rsidR="00E20FAA">
          <w:rPr>
            <w:noProof/>
            <w:webHidden/>
          </w:rPr>
          <w:instrText xml:space="preserve"> PAGEREF _Toc231286249 \h </w:instrText>
        </w:r>
        <w:r w:rsidR="00E20FAA">
          <w:rPr>
            <w:noProof/>
            <w:webHidden/>
          </w:rPr>
        </w:r>
        <w:r w:rsidR="00E20FAA">
          <w:rPr>
            <w:noProof/>
            <w:webHidden/>
          </w:rPr>
          <w:fldChar w:fldCharType="separate"/>
        </w:r>
        <w:r w:rsidR="00E20FAA">
          <w:rPr>
            <w:noProof/>
            <w:webHidden/>
          </w:rPr>
          <w:t>23</w:t>
        </w:r>
        <w:r w:rsidR="00E20FAA">
          <w:rPr>
            <w:noProof/>
            <w:webHidden/>
          </w:rPr>
          <w:fldChar w:fldCharType="end"/>
        </w:r>
      </w:hyperlink>
    </w:p>
    <w:p w14:paraId="3EC6F411" w14:textId="1F558E79" w:rsidR="00E20FAA" w:rsidRDefault="007C0226">
      <w:pPr>
        <w:pStyle w:val="Tabladeilustraciones"/>
        <w:tabs>
          <w:tab w:val="right" w:leader="dot" w:pos="9550"/>
        </w:tabs>
        <w:rPr>
          <w:rFonts w:eastAsiaTheme="minorEastAsia"/>
          <w:noProof/>
          <w:sz w:val="22"/>
          <w:lang w:eastAsia="es-CO"/>
        </w:rPr>
      </w:pPr>
      <w:hyperlink w:anchor="_Toc231286250" w:history="1">
        <w:r w:rsidR="00E20FAA" w:rsidRPr="00726BF4">
          <w:rPr>
            <w:rStyle w:val="Hipervnculo"/>
            <w:rFonts w:ascii="Humanst521 BT" w:eastAsia="Verdana" w:hAnsi="Humanst521 BT" w:cs="Verdana"/>
            <w:noProof/>
            <w:lang w:val="es-ES"/>
          </w:rPr>
          <w:t>Tabla 5. Características de la Población víctima del conflicto armado, UISALUD</w:t>
        </w:r>
        <w:r w:rsidR="00E20FAA">
          <w:rPr>
            <w:noProof/>
            <w:webHidden/>
          </w:rPr>
          <w:tab/>
        </w:r>
        <w:r w:rsidR="00E20FAA">
          <w:rPr>
            <w:noProof/>
            <w:webHidden/>
          </w:rPr>
          <w:fldChar w:fldCharType="begin"/>
        </w:r>
        <w:r w:rsidR="00E20FAA">
          <w:rPr>
            <w:noProof/>
            <w:webHidden/>
          </w:rPr>
          <w:instrText xml:space="preserve"> PAGEREF _Toc231286250 \h </w:instrText>
        </w:r>
        <w:r w:rsidR="00E20FAA">
          <w:rPr>
            <w:noProof/>
            <w:webHidden/>
          </w:rPr>
        </w:r>
        <w:r w:rsidR="00E20FAA">
          <w:rPr>
            <w:noProof/>
            <w:webHidden/>
          </w:rPr>
          <w:fldChar w:fldCharType="separate"/>
        </w:r>
        <w:r w:rsidR="00E20FAA">
          <w:rPr>
            <w:noProof/>
            <w:webHidden/>
          </w:rPr>
          <w:t>27</w:t>
        </w:r>
        <w:r w:rsidR="00E20FAA">
          <w:rPr>
            <w:noProof/>
            <w:webHidden/>
          </w:rPr>
          <w:fldChar w:fldCharType="end"/>
        </w:r>
      </w:hyperlink>
    </w:p>
    <w:p w14:paraId="718E1135" w14:textId="457FBB03" w:rsidR="00E20FAA" w:rsidRDefault="007C0226">
      <w:pPr>
        <w:pStyle w:val="Tabladeilustraciones"/>
        <w:tabs>
          <w:tab w:val="right" w:leader="dot" w:pos="9550"/>
        </w:tabs>
        <w:rPr>
          <w:rFonts w:eastAsiaTheme="minorEastAsia"/>
          <w:noProof/>
          <w:sz w:val="22"/>
          <w:lang w:eastAsia="es-CO"/>
        </w:rPr>
      </w:pPr>
      <w:hyperlink w:anchor="_Toc231286251" w:history="1">
        <w:r w:rsidR="00E20FAA" w:rsidRPr="00726BF4">
          <w:rPr>
            <w:rStyle w:val="Hipervnculo"/>
            <w:rFonts w:ascii="Humanst521 BT" w:eastAsia="Verdana" w:hAnsi="Humanst521 BT" w:cs="Verdana"/>
            <w:noProof/>
            <w:lang w:val="es-ES"/>
          </w:rPr>
          <w:t>Tabla 6.  Afiliados en condición de discapacidad por ciclo vital  y sexo UISALUD</w:t>
        </w:r>
        <w:r w:rsidR="00E20FAA">
          <w:rPr>
            <w:noProof/>
            <w:webHidden/>
          </w:rPr>
          <w:tab/>
        </w:r>
        <w:r w:rsidR="00E20FAA">
          <w:rPr>
            <w:noProof/>
            <w:webHidden/>
          </w:rPr>
          <w:fldChar w:fldCharType="begin"/>
        </w:r>
        <w:r w:rsidR="00E20FAA">
          <w:rPr>
            <w:noProof/>
            <w:webHidden/>
          </w:rPr>
          <w:instrText xml:space="preserve"> PAGEREF _Toc231286251 \h </w:instrText>
        </w:r>
        <w:r w:rsidR="00E20FAA">
          <w:rPr>
            <w:noProof/>
            <w:webHidden/>
          </w:rPr>
        </w:r>
        <w:r w:rsidR="00E20FAA">
          <w:rPr>
            <w:noProof/>
            <w:webHidden/>
          </w:rPr>
          <w:fldChar w:fldCharType="separate"/>
        </w:r>
        <w:r w:rsidR="00E20FAA">
          <w:rPr>
            <w:noProof/>
            <w:webHidden/>
          </w:rPr>
          <w:t>27</w:t>
        </w:r>
        <w:r w:rsidR="00E20FAA">
          <w:rPr>
            <w:noProof/>
            <w:webHidden/>
          </w:rPr>
          <w:fldChar w:fldCharType="end"/>
        </w:r>
      </w:hyperlink>
    </w:p>
    <w:p w14:paraId="723700B5" w14:textId="5A7F6882" w:rsidR="00E20FAA" w:rsidRDefault="007C0226">
      <w:pPr>
        <w:pStyle w:val="Tabladeilustraciones"/>
        <w:tabs>
          <w:tab w:val="right" w:leader="dot" w:pos="9550"/>
        </w:tabs>
        <w:rPr>
          <w:rFonts w:eastAsiaTheme="minorEastAsia"/>
          <w:noProof/>
          <w:sz w:val="22"/>
          <w:lang w:eastAsia="es-CO"/>
        </w:rPr>
      </w:pPr>
      <w:hyperlink w:anchor="_Toc231286252" w:history="1">
        <w:r w:rsidR="00E20FAA" w:rsidRPr="00726BF4">
          <w:rPr>
            <w:rStyle w:val="Hipervnculo"/>
            <w:rFonts w:ascii="Humanst521 BT" w:eastAsia="Verdana" w:hAnsi="Humanst521 BT" w:cs="Verdana"/>
            <w:noProof/>
            <w:lang w:val="es-ES"/>
          </w:rPr>
          <w:t>Tabla 7. Afiliados en condición de discapacidad por ciclo vital  y sexo UISALUD</w:t>
        </w:r>
        <w:r w:rsidR="00E20FAA">
          <w:rPr>
            <w:noProof/>
            <w:webHidden/>
          </w:rPr>
          <w:tab/>
        </w:r>
        <w:r w:rsidR="00E20FAA">
          <w:rPr>
            <w:noProof/>
            <w:webHidden/>
          </w:rPr>
          <w:fldChar w:fldCharType="begin"/>
        </w:r>
        <w:r w:rsidR="00E20FAA">
          <w:rPr>
            <w:noProof/>
            <w:webHidden/>
          </w:rPr>
          <w:instrText xml:space="preserve"> PAGEREF _Toc231286252 \h </w:instrText>
        </w:r>
        <w:r w:rsidR="00E20FAA">
          <w:rPr>
            <w:noProof/>
            <w:webHidden/>
          </w:rPr>
        </w:r>
        <w:r w:rsidR="00E20FAA">
          <w:rPr>
            <w:noProof/>
            <w:webHidden/>
          </w:rPr>
          <w:fldChar w:fldCharType="separate"/>
        </w:r>
        <w:r w:rsidR="00E20FAA">
          <w:rPr>
            <w:noProof/>
            <w:webHidden/>
          </w:rPr>
          <w:t>28</w:t>
        </w:r>
        <w:r w:rsidR="00E20FAA">
          <w:rPr>
            <w:noProof/>
            <w:webHidden/>
          </w:rPr>
          <w:fldChar w:fldCharType="end"/>
        </w:r>
      </w:hyperlink>
    </w:p>
    <w:p w14:paraId="432313AB" w14:textId="382B1D67" w:rsidR="00E20FAA" w:rsidRDefault="007C0226">
      <w:pPr>
        <w:pStyle w:val="Tabladeilustraciones"/>
        <w:tabs>
          <w:tab w:val="right" w:leader="dot" w:pos="9550"/>
        </w:tabs>
        <w:rPr>
          <w:rFonts w:eastAsiaTheme="minorEastAsia"/>
          <w:noProof/>
          <w:sz w:val="22"/>
          <w:lang w:eastAsia="es-CO"/>
        </w:rPr>
      </w:pPr>
      <w:hyperlink w:anchor="_Toc231286253" w:history="1">
        <w:r w:rsidR="00E20FAA" w:rsidRPr="00726BF4">
          <w:rPr>
            <w:rStyle w:val="Hipervnculo"/>
            <w:rFonts w:ascii="Humanst521 BT" w:eastAsia="Verdana" w:hAnsi="Humanst521 BT" w:cs="Verdana"/>
            <w:noProof/>
            <w:lang w:val="es-ES"/>
          </w:rPr>
          <w:t>Tabla 8. Afiliados en condición de discapacidad por zona de residencia UISALUD</w:t>
        </w:r>
        <w:r w:rsidR="00E20FAA">
          <w:rPr>
            <w:noProof/>
            <w:webHidden/>
          </w:rPr>
          <w:tab/>
        </w:r>
        <w:r w:rsidR="00E20FAA">
          <w:rPr>
            <w:noProof/>
            <w:webHidden/>
          </w:rPr>
          <w:fldChar w:fldCharType="begin"/>
        </w:r>
        <w:r w:rsidR="00E20FAA">
          <w:rPr>
            <w:noProof/>
            <w:webHidden/>
          </w:rPr>
          <w:instrText xml:space="preserve"> PAGEREF _Toc231286253 \h </w:instrText>
        </w:r>
        <w:r w:rsidR="00E20FAA">
          <w:rPr>
            <w:noProof/>
            <w:webHidden/>
          </w:rPr>
        </w:r>
        <w:r w:rsidR="00E20FAA">
          <w:rPr>
            <w:noProof/>
            <w:webHidden/>
          </w:rPr>
          <w:fldChar w:fldCharType="separate"/>
        </w:r>
        <w:r w:rsidR="00E20FAA">
          <w:rPr>
            <w:noProof/>
            <w:webHidden/>
          </w:rPr>
          <w:t>29</w:t>
        </w:r>
        <w:r w:rsidR="00E20FAA">
          <w:rPr>
            <w:noProof/>
            <w:webHidden/>
          </w:rPr>
          <w:fldChar w:fldCharType="end"/>
        </w:r>
      </w:hyperlink>
    </w:p>
    <w:p w14:paraId="33B660F6" w14:textId="0B89424B" w:rsidR="00E20FAA" w:rsidRDefault="007C0226">
      <w:pPr>
        <w:pStyle w:val="Tabladeilustraciones"/>
        <w:tabs>
          <w:tab w:val="right" w:leader="dot" w:pos="9550"/>
        </w:tabs>
        <w:rPr>
          <w:rFonts w:eastAsiaTheme="minorEastAsia"/>
          <w:noProof/>
          <w:sz w:val="22"/>
          <w:lang w:eastAsia="es-CO"/>
        </w:rPr>
      </w:pPr>
      <w:hyperlink w:anchor="_Toc231286254" w:history="1">
        <w:r w:rsidR="00E20FAA" w:rsidRPr="00726BF4">
          <w:rPr>
            <w:rStyle w:val="Hipervnculo"/>
            <w:rFonts w:ascii="Humanst521 BT" w:eastAsia="Verdana" w:hAnsi="Humanst521 BT" w:cs="Verdana"/>
            <w:noProof/>
            <w:lang w:val="es-ES"/>
          </w:rPr>
          <w:t>Tabla 9. Características de la población con enfermedad laboral UISALUD</w:t>
        </w:r>
        <w:r w:rsidR="00E20FAA">
          <w:rPr>
            <w:noProof/>
            <w:webHidden/>
          </w:rPr>
          <w:tab/>
        </w:r>
        <w:r w:rsidR="00E20FAA">
          <w:rPr>
            <w:noProof/>
            <w:webHidden/>
          </w:rPr>
          <w:fldChar w:fldCharType="begin"/>
        </w:r>
        <w:r w:rsidR="00E20FAA">
          <w:rPr>
            <w:noProof/>
            <w:webHidden/>
          </w:rPr>
          <w:instrText xml:space="preserve"> PAGEREF _Toc231286254 \h </w:instrText>
        </w:r>
        <w:r w:rsidR="00E20FAA">
          <w:rPr>
            <w:noProof/>
            <w:webHidden/>
          </w:rPr>
        </w:r>
        <w:r w:rsidR="00E20FAA">
          <w:rPr>
            <w:noProof/>
            <w:webHidden/>
          </w:rPr>
          <w:fldChar w:fldCharType="separate"/>
        </w:r>
        <w:r w:rsidR="00E20FAA">
          <w:rPr>
            <w:noProof/>
            <w:webHidden/>
          </w:rPr>
          <w:t>29</w:t>
        </w:r>
        <w:r w:rsidR="00E20FAA">
          <w:rPr>
            <w:noProof/>
            <w:webHidden/>
          </w:rPr>
          <w:fldChar w:fldCharType="end"/>
        </w:r>
      </w:hyperlink>
    </w:p>
    <w:p w14:paraId="76B28F09" w14:textId="0412CBEC" w:rsidR="00E20FAA" w:rsidRDefault="007C0226">
      <w:pPr>
        <w:pStyle w:val="Tabladeilustraciones"/>
        <w:tabs>
          <w:tab w:val="right" w:leader="dot" w:pos="9550"/>
        </w:tabs>
        <w:rPr>
          <w:rFonts w:eastAsiaTheme="minorEastAsia"/>
          <w:noProof/>
          <w:sz w:val="22"/>
          <w:lang w:eastAsia="es-CO"/>
        </w:rPr>
      </w:pPr>
      <w:hyperlink w:anchor="_Toc231286255" w:history="1">
        <w:r w:rsidR="00E20FAA" w:rsidRPr="00726BF4">
          <w:rPr>
            <w:rStyle w:val="Hipervnculo"/>
            <w:rFonts w:ascii="Humanst521 BT" w:eastAsia="Verdana" w:hAnsi="Humanst521 BT" w:cs="Verdana"/>
            <w:noProof/>
            <w:lang w:val="es-ES"/>
          </w:rPr>
          <w:t>Tabla 10. Indicadores de estructura demográfica UISALUD Nacional, Colombia, Santander.</w:t>
        </w:r>
        <w:r w:rsidR="00E20FAA">
          <w:rPr>
            <w:noProof/>
            <w:webHidden/>
          </w:rPr>
          <w:tab/>
        </w:r>
        <w:r w:rsidR="00E20FAA">
          <w:rPr>
            <w:noProof/>
            <w:webHidden/>
          </w:rPr>
          <w:fldChar w:fldCharType="begin"/>
        </w:r>
        <w:r w:rsidR="00E20FAA">
          <w:rPr>
            <w:noProof/>
            <w:webHidden/>
          </w:rPr>
          <w:instrText xml:space="preserve"> PAGEREF _Toc231286255 \h </w:instrText>
        </w:r>
        <w:r w:rsidR="00E20FAA">
          <w:rPr>
            <w:noProof/>
            <w:webHidden/>
          </w:rPr>
        </w:r>
        <w:r w:rsidR="00E20FAA">
          <w:rPr>
            <w:noProof/>
            <w:webHidden/>
          </w:rPr>
          <w:fldChar w:fldCharType="separate"/>
        </w:r>
        <w:r w:rsidR="00E20FAA">
          <w:rPr>
            <w:noProof/>
            <w:webHidden/>
          </w:rPr>
          <w:t>30</w:t>
        </w:r>
        <w:r w:rsidR="00E20FAA">
          <w:rPr>
            <w:noProof/>
            <w:webHidden/>
          </w:rPr>
          <w:fldChar w:fldCharType="end"/>
        </w:r>
      </w:hyperlink>
    </w:p>
    <w:p w14:paraId="3B264C06" w14:textId="7F78F4D3" w:rsidR="00E20FAA" w:rsidRDefault="007C0226">
      <w:pPr>
        <w:pStyle w:val="Tabladeilustraciones"/>
        <w:tabs>
          <w:tab w:val="right" w:leader="dot" w:pos="9550"/>
        </w:tabs>
        <w:rPr>
          <w:rFonts w:eastAsiaTheme="minorEastAsia"/>
          <w:noProof/>
          <w:sz w:val="22"/>
          <w:lang w:eastAsia="es-CO"/>
        </w:rPr>
      </w:pPr>
      <w:hyperlink w:anchor="_Toc231286256" w:history="1">
        <w:r w:rsidR="00E20FAA" w:rsidRPr="00726BF4">
          <w:rPr>
            <w:rStyle w:val="Hipervnculo"/>
            <w:rFonts w:ascii="Humanst521 BT" w:eastAsia="Verdana" w:hAnsi="Humanst521 BT" w:cs="Verdana"/>
            <w:noProof/>
            <w:lang w:val="es-ES"/>
          </w:rPr>
          <w:t>Tabla 11. Interpretación Indicadores de estructura demográfica en UISALUD</w:t>
        </w:r>
        <w:r w:rsidR="00E20FAA">
          <w:rPr>
            <w:noProof/>
            <w:webHidden/>
          </w:rPr>
          <w:tab/>
        </w:r>
        <w:r w:rsidR="00E20FAA">
          <w:rPr>
            <w:noProof/>
            <w:webHidden/>
          </w:rPr>
          <w:fldChar w:fldCharType="begin"/>
        </w:r>
        <w:r w:rsidR="00E20FAA">
          <w:rPr>
            <w:noProof/>
            <w:webHidden/>
          </w:rPr>
          <w:instrText xml:space="preserve"> PAGEREF _Toc231286256 \h </w:instrText>
        </w:r>
        <w:r w:rsidR="00E20FAA">
          <w:rPr>
            <w:noProof/>
            <w:webHidden/>
          </w:rPr>
        </w:r>
        <w:r w:rsidR="00E20FAA">
          <w:rPr>
            <w:noProof/>
            <w:webHidden/>
          </w:rPr>
          <w:fldChar w:fldCharType="separate"/>
        </w:r>
        <w:r w:rsidR="00E20FAA">
          <w:rPr>
            <w:noProof/>
            <w:webHidden/>
          </w:rPr>
          <w:t>30</w:t>
        </w:r>
        <w:r w:rsidR="00E20FAA">
          <w:rPr>
            <w:noProof/>
            <w:webHidden/>
          </w:rPr>
          <w:fldChar w:fldCharType="end"/>
        </w:r>
      </w:hyperlink>
    </w:p>
    <w:p w14:paraId="473F507B" w14:textId="60E063A7" w:rsidR="00E20FAA" w:rsidRDefault="007C0226">
      <w:pPr>
        <w:pStyle w:val="Tabladeilustraciones"/>
        <w:tabs>
          <w:tab w:val="right" w:leader="dot" w:pos="9550"/>
        </w:tabs>
        <w:rPr>
          <w:rFonts w:eastAsiaTheme="minorEastAsia"/>
          <w:noProof/>
          <w:sz w:val="22"/>
          <w:lang w:eastAsia="es-CO"/>
        </w:rPr>
      </w:pPr>
      <w:hyperlink w:anchor="_Toc231286257" w:history="1">
        <w:r w:rsidR="00E20FAA" w:rsidRPr="00726BF4">
          <w:rPr>
            <w:rStyle w:val="Hipervnculo"/>
            <w:rFonts w:ascii="Humanst521 BT" w:eastAsia="Verdana" w:hAnsi="Humanst521 BT" w:cs="Verdana"/>
            <w:noProof/>
            <w:lang w:val="es-ES"/>
          </w:rPr>
          <w:t>Tabla 12. Índice de envejecimiento de la población UISALUD vs ente territorial 2025</w:t>
        </w:r>
        <w:r w:rsidR="00E20FAA">
          <w:rPr>
            <w:noProof/>
            <w:webHidden/>
          </w:rPr>
          <w:tab/>
        </w:r>
        <w:r w:rsidR="00E20FAA">
          <w:rPr>
            <w:noProof/>
            <w:webHidden/>
          </w:rPr>
          <w:fldChar w:fldCharType="begin"/>
        </w:r>
        <w:r w:rsidR="00E20FAA">
          <w:rPr>
            <w:noProof/>
            <w:webHidden/>
          </w:rPr>
          <w:instrText xml:space="preserve"> PAGEREF _Toc231286257 \h </w:instrText>
        </w:r>
        <w:r w:rsidR="00E20FAA">
          <w:rPr>
            <w:noProof/>
            <w:webHidden/>
          </w:rPr>
        </w:r>
        <w:r w:rsidR="00E20FAA">
          <w:rPr>
            <w:noProof/>
            <w:webHidden/>
          </w:rPr>
          <w:fldChar w:fldCharType="separate"/>
        </w:r>
        <w:r w:rsidR="00E20FAA">
          <w:rPr>
            <w:noProof/>
            <w:webHidden/>
          </w:rPr>
          <w:t>31</w:t>
        </w:r>
        <w:r w:rsidR="00E20FAA">
          <w:rPr>
            <w:noProof/>
            <w:webHidden/>
          </w:rPr>
          <w:fldChar w:fldCharType="end"/>
        </w:r>
      </w:hyperlink>
    </w:p>
    <w:p w14:paraId="62FF5167" w14:textId="1661C7E7" w:rsidR="00E20FAA" w:rsidRDefault="007C0226">
      <w:pPr>
        <w:pStyle w:val="Tabladeilustraciones"/>
        <w:tabs>
          <w:tab w:val="right" w:leader="dot" w:pos="9550"/>
        </w:tabs>
        <w:rPr>
          <w:rFonts w:eastAsiaTheme="minorEastAsia"/>
          <w:noProof/>
          <w:sz w:val="22"/>
          <w:lang w:eastAsia="es-CO"/>
        </w:rPr>
      </w:pPr>
      <w:hyperlink w:anchor="_Toc231286258" w:history="1">
        <w:r w:rsidR="00E20FAA" w:rsidRPr="00726BF4">
          <w:rPr>
            <w:rStyle w:val="Hipervnculo"/>
            <w:rFonts w:ascii="Humanst521 BT" w:eastAsia="Verdana" w:hAnsi="Humanst521 BT" w:cs="Verdana"/>
            <w:noProof/>
            <w:lang w:val="es-ES"/>
          </w:rPr>
          <w:t>Tabla 13. Distribución de IPS Primaria UISALUD por municipio de residencia de población afiliada</w:t>
        </w:r>
        <w:r w:rsidR="00E20FAA">
          <w:rPr>
            <w:noProof/>
            <w:webHidden/>
          </w:rPr>
          <w:tab/>
        </w:r>
        <w:r w:rsidR="00E20FAA">
          <w:rPr>
            <w:noProof/>
            <w:webHidden/>
          </w:rPr>
          <w:fldChar w:fldCharType="begin"/>
        </w:r>
        <w:r w:rsidR="00E20FAA">
          <w:rPr>
            <w:noProof/>
            <w:webHidden/>
          </w:rPr>
          <w:instrText xml:space="preserve"> PAGEREF _Toc231286258 \h </w:instrText>
        </w:r>
        <w:r w:rsidR="00E20FAA">
          <w:rPr>
            <w:noProof/>
            <w:webHidden/>
          </w:rPr>
        </w:r>
        <w:r w:rsidR="00E20FAA">
          <w:rPr>
            <w:noProof/>
            <w:webHidden/>
          </w:rPr>
          <w:fldChar w:fldCharType="separate"/>
        </w:r>
        <w:r w:rsidR="00E20FAA">
          <w:rPr>
            <w:noProof/>
            <w:webHidden/>
          </w:rPr>
          <w:t>33</w:t>
        </w:r>
        <w:r w:rsidR="00E20FAA">
          <w:rPr>
            <w:noProof/>
            <w:webHidden/>
          </w:rPr>
          <w:fldChar w:fldCharType="end"/>
        </w:r>
      </w:hyperlink>
    </w:p>
    <w:p w14:paraId="77E2CAA2" w14:textId="11712A41" w:rsidR="00E20FAA" w:rsidRDefault="007C0226">
      <w:pPr>
        <w:pStyle w:val="Tabladeilustraciones"/>
        <w:tabs>
          <w:tab w:val="right" w:leader="dot" w:pos="9550"/>
        </w:tabs>
        <w:rPr>
          <w:rFonts w:eastAsiaTheme="minorEastAsia"/>
          <w:noProof/>
          <w:sz w:val="22"/>
          <w:lang w:eastAsia="es-CO"/>
        </w:rPr>
      </w:pPr>
      <w:hyperlink w:anchor="_Toc231286259" w:history="1">
        <w:r w:rsidR="00E20FAA" w:rsidRPr="00726BF4">
          <w:rPr>
            <w:rStyle w:val="Hipervnculo"/>
            <w:rFonts w:ascii="Humanst521 BT" w:hAnsi="Humanst521 BT"/>
            <w:noProof/>
          </w:rPr>
          <w:t>Tabla 14: Determinantes estructurales de las inequidades en salud</w:t>
        </w:r>
        <w:r w:rsidR="00E20FAA">
          <w:rPr>
            <w:noProof/>
            <w:webHidden/>
          </w:rPr>
          <w:tab/>
        </w:r>
        <w:r w:rsidR="00E20FAA">
          <w:rPr>
            <w:noProof/>
            <w:webHidden/>
          </w:rPr>
          <w:fldChar w:fldCharType="begin"/>
        </w:r>
        <w:r w:rsidR="00E20FAA">
          <w:rPr>
            <w:noProof/>
            <w:webHidden/>
          </w:rPr>
          <w:instrText xml:space="preserve"> PAGEREF _Toc231286259 \h </w:instrText>
        </w:r>
        <w:r w:rsidR="00E20FAA">
          <w:rPr>
            <w:noProof/>
            <w:webHidden/>
          </w:rPr>
        </w:r>
        <w:r w:rsidR="00E20FAA">
          <w:rPr>
            <w:noProof/>
            <w:webHidden/>
          </w:rPr>
          <w:fldChar w:fldCharType="separate"/>
        </w:r>
        <w:r w:rsidR="00E20FAA">
          <w:rPr>
            <w:noProof/>
            <w:webHidden/>
          </w:rPr>
          <w:t>39</w:t>
        </w:r>
        <w:r w:rsidR="00E20FAA">
          <w:rPr>
            <w:noProof/>
            <w:webHidden/>
          </w:rPr>
          <w:fldChar w:fldCharType="end"/>
        </w:r>
      </w:hyperlink>
    </w:p>
    <w:p w14:paraId="5284B079" w14:textId="0387B9C2" w:rsidR="00E20FAA" w:rsidRDefault="007C0226">
      <w:pPr>
        <w:pStyle w:val="Tabladeilustraciones"/>
        <w:tabs>
          <w:tab w:val="right" w:leader="dot" w:pos="9550"/>
        </w:tabs>
        <w:rPr>
          <w:rFonts w:eastAsiaTheme="minorEastAsia"/>
          <w:noProof/>
          <w:sz w:val="22"/>
          <w:lang w:eastAsia="es-CO"/>
        </w:rPr>
      </w:pPr>
      <w:hyperlink w:anchor="_Toc231286260" w:history="1">
        <w:r w:rsidR="00E20FAA" w:rsidRPr="00726BF4">
          <w:rPr>
            <w:rStyle w:val="Hipervnculo"/>
            <w:rFonts w:ascii="Humanst521 BT" w:hAnsi="Humanst521 BT"/>
            <w:noProof/>
          </w:rPr>
          <w:t>Tabla 15. R</w:t>
        </w:r>
        <w:r w:rsidR="00E20FAA" w:rsidRPr="00726BF4">
          <w:rPr>
            <w:rStyle w:val="Hipervnculo"/>
            <w:rFonts w:ascii="Humanst521 BT" w:eastAsia="Humanst521 BT" w:hAnsi="Humanst521 BT" w:cs="Humanst521 BT"/>
            <w:noProof/>
          </w:rPr>
          <w:t>ed de Prestadores Servicios de Salud UISALUD 2025 por Departamento</w:t>
        </w:r>
        <w:r w:rsidR="00E20FAA">
          <w:rPr>
            <w:noProof/>
            <w:webHidden/>
          </w:rPr>
          <w:tab/>
        </w:r>
        <w:r w:rsidR="00E20FAA">
          <w:rPr>
            <w:noProof/>
            <w:webHidden/>
          </w:rPr>
          <w:fldChar w:fldCharType="begin"/>
        </w:r>
        <w:r w:rsidR="00E20FAA">
          <w:rPr>
            <w:noProof/>
            <w:webHidden/>
          </w:rPr>
          <w:instrText xml:space="preserve"> PAGEREF _Toc231286260 \h </w:instrText>
        </w:r>
        <w:r w:rsidR="00E20FAA">
          <w:rPr>
            <w:noProof/>
            <w:webHidden/>
          </w:rPr>
        </w:r>
        <w:r w:rsidR="00E20FAA">
          <w:rPr>
            <w:noProof/>
            <w:webHidden/>
          </w:rPr>
          <w:fldChar w:fldCharType="separate"/>
        </w:r>
        <w:r w:rsidR="00E20FAA">
          <w:rPr>
            <w:noProof/>
            <w:webHidden/>
          </w:rPr>
          <w:t>40</w:t>
        </w:r>
        <w:r w:rsidR="00E20FAA">
          <w:rPr>
            <w:noProof/>
            <w:webHidden/>
          </w:rPr>
          <w:fldChar w:fldCharType="end"/>
        </w:r>
      </w:hyperlink>
    </w:p>
    <w:p w14:paraId="4772E31B" w14:textId="58C64807" w:rsidR="00E20FAA" w:rsidRDefault="007C0226">
      <w:pPr>
        <w:pStyle w:val="Tabladeilustraciones"/>
        <w:tabs>
          <w:tab w:val="right" w:leader="dot" w:pos="9550"/>
        </w:tabs>
        <w:rPr>
          <w:rFonts w:eastAsiaTheme="minorEastAsia"/>
          <w:noProof/>
          <w:sz w:val="22"/>
          <w:lang w:eastAsia="es-CO"/>
        </w:rPr>
      </w:pPr>
      <w:hyperlink w:anchor="_Toc231286261" w:history="1">
        <w:r w:rsidR="00E20FAA" w:rsidRPr="00726BF4">
          <w:rPr>
            <w:rStyle w:val="Hipervnculo"/>
            <w:rFonts w:ascii="Humanst521 BT" w:hAnsi="Humanst521 BT"/>
            <w:noProof/>
          </w:rPr>
          <w:t>Tabla 16. Red de Prestadores de Servicios de Salud según Nivel de Complejidad</w:t>
        </w:r>
        <w:r w:rsidR="00E20FAA">
          <w:rPr>
            <w:noProof/>
            <w:webHidden/>
          </w:rPr>
          <w:tab/>
        </w:r>
        <w:r w:rsidR="00E20FAA">
          <w:rPr>
            <w:noProof/>
            <w:webHidden/>
          </w:rPr>
          <w:fldChar w:fldCharType="begin"/>
        </w:r>
        <w:r w:rsidR="00E20FAA">
          <w:rPr>
            <w:noProof/>
            <w:webHidden/>
          </w:rPr>
          <w:instrText xml:space="preserve"> PAGEREF _Toc231286261 \h </w:instrText>
        </w:r>
        <w:r w:rsidR="00E20FAA">
          <w:rPr>
            <w:noProof/>
            <w:webHidden/>
          </w:rPr>
        </w:r>
        <w:r w:rsidR="00E20FAA">
          <w:rPr>
            <w:noProof/>
            <w:webHidden/>
          </w:rPr>
          <w:fldChar w:fldCharType="separate"/>
        </w:r>
        <w:r w:rsidR="00E20FAA">
          <w:rPr>
            <w:noProof/>
            <w:webHidden/>
          </w:rPr>
          <w:t>40</w:t>
        </w:r>
        <w:r w:rsidR="00E20FAA">
          <w:rPr>
            <w:noProof/>
            <w:webHidden/>
          </w:rPr>
          <w:fldChar w:fldCharType="end"/>
        </w:r>
      </w:hyperlink>
    </w:p>
    <w:p w14:paraId="1D7F51C9" w14:textId="4866B941" w:rsidR="00E20FAA" w:rsidRDefault="007C0226">
      <w:pPr>
        <w:pStyle w:val="Tabladeilustraciones"/>
        <w:tabs>
          <w:tab w:val="right" w:leader="dot" w:pos="9550"/>
        </w:tabs>
        <w:rPr>
          <w:rFonts w:eastAsiaTheme="minorEastAsia"/>
          <w:noProof/>
          <w:sz w:val="22"/>
          <w:lang w:eastAsia="es-CO"/>
        </w:rPr>
      </w:pPr>
      <w:hyperlink w:anchor="_Toc231286262" w:history="1">
        <w:r w:rsidR="00E20FAA" w:rsidRPr="00726BF4">
          <w:rPr>
            <w:rStyle w:val="Hipervnculo"/>
            <w:rFonts w:ascii="Humanst521 BT" w:hAnsi="Humanst521 BT"/>
            <w:noProof/>
          </w:rPr>
          <w:t>Tabla 17. Relación servicios ambulatorios UISALUD</w:t>
        </w:r>
        <w:r w:rsidR="00E20FAA">
          <w:rPr>
            <w:noProof/>
            <w:webHidden/>
          </w:rPr>
          <w:tab/>
        </w:r>
        <w:r w:rsidR="00E20FAA">
          <w:rPr>
            <w:noProof/>
            <w:webHidden/>
          </w:rPr>
          <w:fldChar w:fldCharType="begin"/>
        </w:r>
        <w:r w:rsidR="00E20FAA">
          <w:rPr>
            <w:noProof/>
            <w:webHidden/>
          </w:rPr>
          <w:instrText xml:space="preserve"> PAGEREF _Toc231286262 \h </w:instrText>
        </w:r>
        <w:r w:rsidR="00E20FAA">
          <w:rPr>
            <w:noProof/>
            <w:webHidden/>
          </w:rPr>
        </w:r>
        <w:r w:rsidR="00E20FAA">
          <w:rPr>
            <w:noProof/>
            <w:webHidden/>
          </w:rPr>
          <w:fldChar w:fldCharType="separate"/>
        </w:r>
        <w:r w:rsidR="00E20FAA">
          <w:rPr>
            <w:noProof/>
            <w:webHidden/>
          </w:rPr>
          <w:t>41</w:t>
        </w:r>
        <w:r w:rsidR="00E20FAA">
          <w:rPr>
            <w:noProof/>
            <w:webHidden/>
          </w:rPr>
          <w:fldChar w:fldCharType="end"/>
        </w:r>
      </w:hyperlink>
    </w:p>
    <w:p w14:paraId="387150BB" w14:textId="2C616C7F" w:rsidR="00E20FAA" w:rsidRDefault="007C0226">
      <w:pPr>
        <w:pStyle w:val="Tabladeilustraciones"/>
        <w:tabs>
          <w:tab w:val="right" w:leader="dot" w:pos="9550"/>
        </w:tabs>
        <w:rPr>
          <w:rFonts w:eastAsiaTheme="minorEastAsia"/>
          <w:noProof/>
          <w:sz w:val="22"/>
          <w:lang w:eastAsia="es-CO"/>
        </w:rPr>
      </w:pPr>
      <w:hyperlink w:anchor="_Toc231286263" w:history="1">
        <w:r w:rsidR="00E20FAA" w:rsidRPr="00726BF4">
          <w:rPr>
            <w:rStyle w:val="Hipervnculo"/>
            <w:rFonts w:ascii="Humanst521 BT" w:eastAsia="Times New Roman" w:hAnsi="Humanst521 BT" w:cs="Calibri"/>
            <w:noProof/>
            <w:lang w:eastAsia="es-CO"/>
          </w:rPr>
          <w:t>Tabla 18. Morbilidad por grandes causas en la población afiliada UISALUD.</w:t>
        </w:r>
        <w:r w:rsidR="00E20FAA">
          <w:rPr>
            <w:noProof/>
            <w:webHidden/>
          </w:rPr>
          <w:tab/>
        </w:r>
        <w:r w:rsidR="00E20FAA">
          <w:rPr>
            <w:noProof/>
            <w:webHidden/>
          </w:rPr>
          <w:fldChar w:fldCharType="begin"/>
        </w:r>
        <w:r w:rsidR="00E20FAA">
          <w:rPr>
            <w:noProof/>
            <w:webHidden/>
          </w:rPr>
          <w:instrText xml:space="preserve"> PAGEREF _Toc231286263 \h </w:instrText>
        </w:r>
        <w:r w:rsidR="00E20FAA">
          <w:rPr>
            <w:noProof/>
            <w:webHidden/>
          </w:rPr>
        </w:r>
        <w:r w:rsidR="00E20FAA">
          <w:rPr>
            <w:noProof/>
            <w:webHidden/>
          </w:rPr>
          <w:fldChar w:fldCharType="separate"/>
        </w:r>
        <w:r w:rsidR="00E20FAA">
          <w:rPr>
            <w:noProof/>
            <w:webHidden/>
          </w:rPr>
          <w:t>46</w:t>
        </w:r>
        <w:r w:rsidR="00E20FAA">
          <w:rPr>
            <w:noProof/>
            <w:webHidden/>
          </w:rPr>
          <w:fldChar w:fldCharType="end"/>
        </w:r>
      </w:hyperlink>
    </w:p>
    <w:p w14:paraId="6E32DF10" w14:textId="02BCB68D" w:rsidR="00E20FAA" w:rsidRDefault="007C0226">
      <w:pPr>
        <w:pStyle w:val="Tabladeilustraciones"/>
        <w:tabs>
          <w:tab w:val="right" w:leader="dot" w:pos="9550"/>
        </w:tabs>
        <w:rPr>
          <w:rFonts w:eastAsiaTheme="minorEastAsia"/>
          <w:noProof/>
          <w:sz w:val="22"/>
          <w:lang w:eastAsia="es-CO"/>
        </w:rPr>
      </w:pPr>
      <w:hyperlink w:anchor="_Toc231286264" w:history="1">
        <w:r w:rsidR="00E20FAA" w:rsidRPr="00726BF4">
          <w:rPr>
            <w:rStyle w:val="Hipervnculo"/>
            <w:rFonts w:ascii="Humanst521 BT" w:eastAsia="Verdana" w:hAnsi="Humanst521 BT" w:cs="Verdana"/>
            <w:noProof/>
            <w:lang w:val="es-ES"/>
          </w:rPr>
          <w:t>Tabla 19. Morbilidad por grandes causas en población afiliada UISALUD por ciclo vital.</w:t>
        </w:r>
        <w:r w:rsidR="00E20FAA">
          <w:rPr>
            <w:noProof/>
            <w:webHidden/>
          </w:rPr>
          <w:tab/>
        </w:r>
        <w:r w:rsidR="00E20FAA">
          <w:rPr>
            <w:noProof/>
            <w:webHidden/>
          </w:rPr>
          <w:fldChar w:fldCharType="begin"/>
        </w:r>
        <w:r w:rsidR="00E20FAA">
          <w:rPr>
            <w:noProof/>
            <w:webHidden/>
          </w:rPr>
          <w:instrText xml:space="preserve"> PAGEREF _Toc231286264 \h </w:instrText>
        </w:r>
        <w:r w:rsidR="00E20FAA">
          <w:rPr>
            <w:noProof/>
            <w:webHidden/>
          </w:rPr>
        </w:r>
        <w:r w:rsidR="00E20FAA">
          <w:rPr>
            <w:noProof/>
            <w:webHidden/>
          </w:rPr>
          <w:fldChar w:fldCharType="separate"/>
        </w:r>
        <w:r w:rsidR="00E20FAA">
          <w:rPr>
            <w:noProof/>
            <w:webHidden/>
          </w:rPr>
          <w:t>48</w:t>
        </w:r>
        <w:r w:rsidR="00E20FAA">
          <w:rPr>
            <w:noProof/>
            <w:webHidden/>
          </w:rPr>
          <w:fldChar w:fldCharType="end"/>
        </w:r>
      </w:hyperlink>
    </w:p>
    <w:p w14:paraId="30A44D71" w14:textId="017DCD44" w:rsidR="00E20FAA" w:rsidRDefault="007C0226">
      <w:pPr>
        <w:pStyle w:val="Tabladeilustraciones"/>
        <w:tabs>
          <w:tab w:val="right" w:leader="dot" w:pos="9550"/>
        </w:tabs>
        <w:rPr>
          <w:rFonts w:eastAsiaTheme="minorEastAsia"/>
          <w:noProof/>
          <w:sz w:val="22"/>
          <w:lang w:eastAsia="es-CO"/>
        </w:rPr>
      </w:pPr>
      <w:hyperlink w:anchor="_Toc231286265" w:history="1">
        <w:r w:rsidR="00E20FAA" w:rsidRPr="00726BF4">
          <w:rPr>
            <w:rStyle w:val="Hipervnculo"/>
            <w:rFonts w:ascii="Humanst521 BT" w:eastAsia="Verdana" w:hAnsi="Humanst521 BT" w:cs="Verdana"/>
            <w:noProof/>
            <w:lang w:val="es-ES"/>
          </w:rPr>
          <w:t>Tabla 20. Principales causas de atención por subgrupo.</w:t>
        </w:r>
        <w:r w:rsidR="00E20FAA">
          <w:rPr>
            <w:noProof/>
            <w:webHidden/>
          </w:rPr>
          <w:tab/>
        </w:r>
        <w:r w:rsidR="00E20FAA">
          <w:rPr>
            <w:noProof/>
            <w:webHidden/>
          </w:rPr>
          <w:fldChar w:fldCharType="begin"/>
        </w:r>
        <w:r w:rsidR="00E20FAA">
          <w:rPr>
            <w:noProof/>
            <w:webHidden/>
          </w:rPr>
          <w:instrText xml:space="preserve"> PAGEREF _Toc231286265 \h </w:instrText>
        </w:r>
        <w:r w:rsidR="00E20FAA">
          <w:rPr>
            <w:noProof/>
            <w:webHidden/>
          </w:rPr>
        </w:r>
        <w:r w:rsidR="00E20FAA">
          <w:rPr>
            <w:noProof/>
            <w:webHidden/>
          </w:rPr>
          <w:fldChar w:fldCharType="separate"/>
        </w:r>
        <w:r w:rsidR="00E20FAA">
          <w:rPr>
            <w:noProof/>
            <w:webHidden/>
          </w:rPr>
          <w:t>49</w:t>
        </w:r>
        <w:r w:rsidR="00E20FAA">
          <w:rPr>
            <w:noProof/>
            <w:webHidden/>
          </w:rPr>
          <w:fldChar w:fldCharType="end"/>
        </w:r>
      </w:hyperlink>
    </w:p>
    <w:p w14:paraId="2A3BBFCB" w14:textId="577981C6" w:rsidR="00E20FAA" w:rsidRDefault="007C0226">
      <w:pPr>
        <w:pStyle w:val="Tabladeilustraciones"/>
        <w:tabs>
          <w:tab w:val="right" w:leader="dot" w:pos="9550"/>
        </w:tabs>
        <w:rPr>
          <w:rFonts w:eastAsiaTheme="minorEastAsia"/>
          <w:noProof/>
          <w:sz w:val="22"/>
          <w:lang w:eastAsia="es-CO"/>
        </w:rPr>
      </w:pPr>
      <w:hyperlink w:anchor="_Toc231286266" w:history="1">
        <w:r w:rsidR="00E20FAA" w:rsidRPr="00726BF4">
          <w:rPr>
            <w:rStyle w:val="Hipervnculo"/>
            <w:rFonts w:ascii="Humanst521 BT" w:eastAsia="Verdana" w:hAnsi="Humanst521 BT" w:cs="Verdana"/>
            <w:noProof/>
            <w:lang w:val="es-ES"/>
          </w:rPr>
          <w:t>Tabla 21. Indicadores de morbilidad trazadora, UISALUD- SISPRO, 2016-2026</w:t>
        </w:r>
        <w:r w:rsidR="00E20FAA">
          <w:rPr>
            <w:noProof/>
            <w:webHidden/>
          </w:rPr>
          <w:tab/>
        </w:r>
        <w:r w:rsidR="00E20FAA">
          <w:rPr>
            <w:noProof/>
            <w:webHidden/>
          </w:rPr>
          <w:fldChar w:fldCharType="begin"/>
        </w:r>
        <w:r w:rsidR="00E20FAA">
          <w:rPr>
            <w:noProof/>
            <w:webHidden/>
          </w:rPr>
          <w:instrText xml:space="preserve"> PAGEREF _Toc231286266 \h </w:instrText>
        </w:r>
        <w:r w:rsidR="00E20FAA">
          <w:rPr>
            <w:noProof/>
            <w:webHidden/>
          </w:rPr>
        </w:r>
        <w:r w:rsidR="00E20FAA">
          <w:rPr>
            <w:noProof/>
            <w:webHidden/>
          </w:rPr>
          <w:fldChar w:fldCharType="separate"/>
        </w:r>
        <w:r w:rsidR="00E20FAA">
          <w:rPr>
            <w:noProof/>
            <w:webHidden/>
          </w:rPr>
          <w:t>51</w:t>
        </w:r>
        <w:r w:rsidR="00E20FAA">
          <w:rPr>
            <w:noProof/>
            <w:webHidden/>
          </w:rPr>
          <w:fldChar w:fldCharType="end"/>
        </w:r>
      </w:hyperlink>
    </w:p>
    <w:p w14:paraId="51399D1F" w14:textId="46110126" w:rsidR="00E20FAA" w:rsidRDefault="007C0226">
      <w:pPr>
        <w:pStyle w:val="Tabladeilustraciones"/>
        <w:tabs>
          <w:tab w:val="right" w:leader="dot" w:pos="9550"/>
        </w:tabs>
        <w:rPr>
          <w:rFonts w:eastAsiaTheme="minorEastAsia"/>
          <w:noProof/>
          <w:sz w:val="22"/>
          <w:lang w:eastAsia="es-CO"/>
        </w:rPr>
      </w:pPr>
      <w:hyperlink w:anchor="_Toc231286267" w:history="1">
        <w:r w:rsidR="00E20FAA" w:rsidRPr="00726BF4">
          <w:rPr>
            <w:rStyle w:val="Hipervnculo"/>
            <w:rFonts w:ascii="Humanst521 BT" w:eastAsia="Verdana" w:hAnsi="Humanst521 BT" w:cs="Verdana"/>
            <w:noProof/>
            <w:lang w:val="es-ES"/>
          </w:rPr>
          <w:t>Tabla 22. Indicadores de morbilidad trazadora - VIH, UISALUD, 2025</w:t>
        </w:r>
        <w:r w:rsidR="00E20FAA">
          <w:rPr>
            <w:noProof/>
            <w:webHidden/>
          </w:rPr>
          <w:tab/>
        </w:r>
        <w:r w:rsidR="00E20FAA">
          <w:rPr>
            <w:noProof/>
            <w:webHidden/>
          </w:rPr>
          <w:fldChar w:fldCharType="begin"/>
        </w:r>
        <w:r w:rsidR="00E20FAA">
          <w:rPr>
            <w:noProof/>
            <w:webHidden/>
          </w:rPr>
          <w:instrText xml:space="preserve"> PAGEREF _Toc231286267 \h </w:instrText>
        </w:r>
        <w:r w:rsidR="00E20FAA">
          <w:rPr>
            <w:noProof/>
            <w:webHidden/>
          </w:rPr>
        </w:r>
        <w:r w:rsidR="00E20FAA">
          <w:rPr>
            <w:noProof/>
            <w:webHidden/>
          </w:rPr>
          <w:fldChar w:fldCharType="separate"/>
        </w:r>
        <w:r w:rsidR="00E20FAA">
          <w:rPr>
            <w:noProof/>
            <w:webHidden/>
          </w:rPr>
          <w:t>52</w:t>
        </w:r>
        <w:r w:rsidR="00E20FAA">
          <w:rPr>
            <w:noProof/>
            <w:webHidden/>
          </w:rPr>
          <w:fldChar w:fldCharType="end"/>
        </w:r>
      </w:hyperlink>
    </w:p>
    <w:p w14:paraId="2A4D87F4" w14:textId="441C9342" w:rsidR="00E20FAA" w:rsidRDefault="007C0226">
      <w:pPr>
        <w:pStyle w:val="Tabladeilustraciones"/>
        <w:tabs>
          <w:tab w:val="right" w:leader="dot" w:pos="9550"/>
        </w:tabs>
        <w:rPr>
          <w:rFonts w:eastAsiaTheme="minorEastAsia"/>
          <w:noProof/>
          <w:sz w:val="22"/>
          <w:lang w:eastAsia="es-CO"/>
        </w:rPr>
      </w:pPr>
      <w:hyperlink w:anchor="_Toc231286268" w:history="1">
        <w:r w:rsidR="00E20FAA" w:rsidRPr="00726BF4">
          <w:rPr>
            <w:rStyle w:val="Hipervnculo"/>
            <w:rFonts w:ascii="Humanst521 BT" w:eastAsia="Verdana" w:hAnsi="Humanst521 BT" w:cs="Verdana"/>
            <w:noProof/>
            <w:lang w:val="es-ES"/>
          </w:rPr>
          <w:t>Tabla 23. Prevalencia cruda del VIH según el sexo y edad Colombia vs UISALUD 2025.</w:t>
        </w:r>
        <w:r w:rsidR="00E20FAA">
          <w:rPr>
            <w:noProof/>
            <w:webHidden/>
          </w:rPr>
          <w:tab/>
        </w:r>
        <w:r w:rsidR="00E20FAA">
          <w:rPr>
            <w:noProof/>
            <w:webHidden/>
          </w:rPr>
          <w:fldChar w:fldCharType="begin"/>
        </w:r>
        <w:r w:rsidR="00E20FAA">
          <w:rPr>
            <w:noProof/>
            <w:webHidden/>
          </w:rPr>
          <w:instrText xml:space="preserve"> PAGEREF _Toc231286268 \h </w:instrText>
        </w:r>
        <w:r w:rsidR="00E20FAA">
          <w:rPr>
            <w:noProof/>
            <w:webHidden/>
          </w:rPr>
        </w:r>
        <w:r w:rsidR="00E20FAA">
          <w:rPr>
            <w:noProof/>
            <w:webHidden/>
          </w:rPr>
          <w:fldChar w:fldCharType="separate"/>
        </w:r>
        <w:r w:rsidR="00E20FAA">
          <w:rPr>
            <w:noProof/>
            <w:webHidden/>
          </w:rPr>
          <w:t>53</w:t>
        </w:r>
        <w:r w:rsidR="00E20FAA">
          <w:rPr>
            <w:noProof/>
            <w:webHidden/>
          </w:rPr>
          <w:fldChar w:fldCharType="end"/>
        </w:r>
      </w:hyperlink>
    </w:p>
    <w:p w14:paraId="7B655F5F" w14:textId="4E366503" w:rsidR="00E20FAA" w:rsidRDefault="007C0226">
      <w:pPr>
        <w:pStyle w:val="Tabladeilustraciones"/>
        <w:tabs>
          <w:tab w:val="right" w:leader="dot" w:pos="9550"/>
        </w:tabs>
        <w:rPr>
          <w:rFonts w:eastAsiaTheme="minorEastAsia"/>
          <w:noProof/>
          <w:sz w:val="22"/>
          <w:lang w:eastAsia="es-CO"/>
        </w:rPr>
      </w:pPr>
      <w:hyperlink w:anchor="_Toc231286269" w:history="1">
        <w:r w:rsidR="00E20FAA" w:rsidRPr="00726BF4">
          <w:rPr>
            <w:rStyle w:val="Hipervnculo"/>
            <w:rFonts w:ascii="Humanst521 BT" w:eastAsia="Verdana" w:hAnsi="Humanst521 BT" w:cs="Verdana"/>
            <w:noProof/>
            <w:lang w:val="es-ES"/>
          </w:rPr>
          <w:t>Tabla 24. Morbilidad Trazadora – RCV</w:t>
        </w:r>
        <w:r w:rsidR="00E20FAA">
          <w:rPr>
            <w:noProof/>
            <w:webHidden/>
          </w:rPr>
          <w:tab/>
        </w:r>
        <w:r w:rsidR="00E20FAA">
          <w:rPr>
            <w:noProof/>
            <w:webHidden/>
          </w:rPr>
          <w:fldChar w:fldCharType="begin"/>
        </w:r>
        <w:r w:rsidR="00E20FAA">
          <w:rPr>
            <w:noProof/>
            <w:webHidden/>
          </w:rPr>
          <w:instrText xml:space="preserve"> PAGEREF _Toc231286269 \h </w:instrText>
        </w:r>
        <w:r w:rsidR="00E20FAA">
          <w:rPr>
            <w:noProof/>
            <w:webHidden/>
          </w:rPr>
        </w:r>
        <w:r w:rsidR="00E20FAA">
          <w:rPr>
            <w:noProof/>
            <w:webHidden/>
          </w:rPr>
          <w:fldChar w:fldCharType="separate"/>
        </w:r>
        <w:r w:rsidR="00E20FAA">
          <w:rPr>
            <w:noProof/>
            <w:webHidden/>
          </w:rPr>
          <w:t>54</w:t>
        </w:r>
        <w:r w:rsidR="00E20FAA">
          <w:rPr>
            <w:noProof/>
            <w:webHidden/>
          </w:rPr>
          <w:fldChar w:fldCharType="end"/>
        </w:r>
      </w:hyperlink>
    </w:p>
    <w:p w14:paraId="7B08C781" w14:textId="30C61BF1" w:rsidR="00E20FAA" w:rsidRDefault="007C0226">
      <w:pPr>
        <w:pStyle w:val="Tabladeilustraciones"/>
        <w:tabs>
          <w:tab w:val="right" w:leader="dot" w:pos="9550"/>
        </w:tabs>
        <w:rPr>
          <w:rFonts w:eastAsiaTheme="minorEastAsia"/>
          <w:noProof/>
          <w:sz w:val="22"/>
          <w:lang w:eastAsia="es-CO"/>
        </w:rPr>
      </w:pPr>
      <w:hyperlink w:anchor="_Toc231286270" w:history="1">
        <w:r w:rsidR="00E20FAA" w:rsidRPr="00726BF4">
          <w:rPr>
            <w:rStyle w:val="Hipervnculo"/>
            <w:rFonts w:ascii="Humanst521 BT" w:eastAsia="Verdana" w:hAnsi="Humanst521 BT" w:cs="Verdana"/>
            <w:noProof/>
            <w:lang w:val="es-ES"/>
          </w:rPr>
          <w:t>Tabla 25. Prevalencia de obesidad en población atendida UISALUD, 2021-2025</w:t>
        </w:r>
        <w:r w:rsidR="00E20FAA">
          <w:rPr>
            <w:noProof/>
            <w:webHidden/>
          </w:rPr>
          <w:tab/>
        </w:r>
        <w:r w:rsidR="00E20FAA">
          <w:rPr>
            <w:noProof/>
            <w:webHidden/>
          </w:rPr>
          <w:fldChar w:fldCharType="begin"/>
        </w:r>
        <w:r w:rsidR="00E20FAA">
          <w:rPr>
            <w:noProof/>
            <w:webHidden/>
          </w:rPr>
          <w:instrText xml:space="preserve"> PAGEREF _Toc231286270 \h </w:instrText>
        </w:r>
        <w:r w:rsidR="00E20FAA">
          <w:rPr>
            <w:noProof/>
            <w:webHidden/>
          </w:rPr>
        </w:r>
        <w:r w:rsidR="00E20FAA">
          <w:rPr>
            <w:noProof/>
            <w:webHidden/>
          </w:rPr>
          <w:fldChar w:fldCharType="separate"/>
        </w:r>
        <w:r w:rsidR="00E20FAA">
          <w:rPr>
            <w:noProof/>
            <w:webHidden/>
          </w:rPr>
          <w:t>55</w:t>
        </w:r>
        <w:r w:rsidR="00E20FAA">
          <w:rPr>
            <w:noProof/>
            <w:webHidden/>
          </w:rPr>
          <w:fldChar w:fldCharType="end"/>
        </w:r>
      </w:hyperlink>
    </w:p>
    <w:p w14:paraId="1ADA93C8" w14:textId="616E4D7E" w:rsidR="00E20FAA" w:rsidRDefault="007C0226">
      <w:pPr>
        <w:pStyle w:val="Tabladeilustraciones"/>
        <w:tabs>
          <w:tab w:val="right" w:leader="dot" w:pos="9550"/>
        </w:tabs>
        <w:rPr>
          <w:rFonts w:eastAsiaTheme="minorEastAsia"/>
          <w:noProof/>
          <w:sz w:val="22"/>
          <w:lang w:eastAsia="es-CO"/>
        </w:rPr>
      </w:pPr>
      <w:hyperlink w:anchor="_Toc231286271" w:history="1">
        <w:r w:rsidR="00E20FAA" w:rsidRPr="00726BF4">
          <w:rPr>
            <w:rStyle w:val="Hipervnculo"/>
            <w:rFonts w:ascii="Humanst521 BT" w:hAnsi="Humanst521 BT"/>
            <w:noProof/>
          </w:rPr>
          <w:t>Tabla 26</w:t>
        </w:r>
        <w:r w:rsidR="00E20FAA" w:rsidRPr="00726BF4">
          <w:rPr>
            <w:rStyle w:val="Hipervnculo"/>
            <w:rFonts w:ascii="Humanst521 BT" w:eastAsia="Humanst521 BT" w:hAnsi="Humanst521 BT" w:cs="Humanst521 BT"/>
            <w:noProof/>
            <w:lang w:val="es"/>
          </w:rPr>
          <w:t>. Casos prevalentes de cáncer en UISALUD – 2025</w:t>
        </w:r>
        <w:r w:rsidR="00E20FAA">
          <w:rPr>
            <w:noProof/>
            <w:webHidden/>
          </w:rPr>
          <w:tab/>
        </w:r>
        <w:r w:rsidR="00E20FAA">
          <w:rPr>
            <w:noProof/>
            <w:webHidden/>
          </w:rPr>
          <w:fldChar w:fldCharType="begin"/>
        </w:r>
        <w:r w:rsidR="00E20FAA">
          <w:rPr>
            <w:noProof/>
            <w:webHidden/>
          </w:rPr>
          <w:instrText xml:space="preserve"> PAGEREF _Toc231286271 \h </w:instrText>
        </w:r>
        <w:r w:rsidR="00E20FAA">
          <w:rPr>
            <w:noProof/>
            <w:webHidden/>
          </w:rPr>
        </w:r>
        <w:r w:rsidR="00E20FAA">
          <w:rPr>
            <w:noProof/>
            <w:webHidden/>
          </w:rPr>
          <w:fldChar w:fldCharType="separate"/>
        </w:r>
        <w:r w:rsidR="00E20FAA">
          <w:rPr>
            <w:noProof/>
            <w:webHidden/>
          </w:rPr>
          <w:t>55</w:t>
        </w:r>
        <w:r w:rsidR="00E20FAA">
          <w:rPr>
            <w:noProof/>
            <w:webHidden/>
          </w:rPr>
          <w:fldChar w:fldCharType="end"/>
        </w:r>
      </w:hyperlink>
    </w:p>
    <w:p w14:paraId="4E641322" w14:textId="59CD9520" w:rsidR="00E20FAA" w:rsidRDefault="007C0226">
      <w:pPr>
        <w:pStyle w:val="Tabladeilustraciones"/>
        <w:tabs>
          <w:tab w:val="right" w:leader="dot" w:pos="9550"/>
        </w:tabs>
        <w:rPr>
          <w:rFonts w:eastAsiaTheme="minorEastAsia"/>
          <w:noProof/>
          <w:sz w:val="22"/>
          <w:lang w:eastAsia="es-CO"/>
        </w:rPr>
      </w:pPr>
      <w:hyperlink w:anchor="_Toc231286272" w:history="1">
        <w:r w:rsidR="00E20FAA" w:rsidRPr="00726BF4">
          <w:rPr>
            <w:rStyle w:val="Hipervnculo"/>
            <w:rFonts w:ascii="Humanst521 BT" w:hAnsi="Humanst521 BT"/>
            <w:noProof/>
          </w:rPr>
          <w:t>Tabla 27</w:t>
        </w:r>
        <w:r w:rsidR="00E20FAA" w:rsidRPr="00726BF4">
          <w:rPr>
            <w:rStyle w:val="Hipervnculo"/>
            <w:rFonts w:ascii="Humanst521 BT" w:eastAsia="Times New Roman" w:hAnsi="Humanst521 BT" w:cs="Segoe UI"/>
            <w:noProof/>
            <w:lang w:eastAsia="es-CO"/>
          </w:rPr>
          <w:t>. </w:t>
        </w:r>
        <w:r w:rsidR="00E20FAA" w:rsidRPr="00726BF4">
          <w:rPr>
            <w:rStyle w:val="Hipervnculo"/>
            <w:rFonts w:ascii="Humanst521 BT" w:hAnsi="Humanst521 BT"/>
            <w:noProof/>
          </w:rPr>
          <w:t>Prevalencia de enfermedades de alto costo según diagnóstico, UISALUD, 2025</w:t>
        </w:r>
        <w:r w:rsidR="00E20FAA">
          <w:rPr>
            <w:noProof/>
            <w:webHidden/>
          </w:rPr>
          <w:tab/>
        </w:r>
        <w:r w:rsidR="00E20FAA">
          <w:rPr>
            <w:noProof/>
            <w:webHidden/>
          </w:rPr>
          <w:fldChar w:fldCharType="begin"/>
        </w:r>
        <w:r w:rsidR="00E20FAA">
          <w:rPr>
            <w:noProof/>
            <w:webHidden/>
          </w:rPr>
          <w:instrText xml:space="preserve"> PAGEREF _Toc231286272 \h </w:instrText>
        </w:r>
        <w:r w:rsidR="00E20FAA">
          <w:rPr>
            <w:noProof/>
            <w:webHidden/>
          </w:rPr>
        </w:r>
        <w:r w:rsidR="00E20FAA">
          <w:rPr>
            <w:noProof/>
            <w:webHidden/>
          </w:rPr>
          <w:fldChar w:fldCharType="separate"/>
        </w:r>
        <w:r w:rsidR="00E20FAA">
          <w:rPr>
            <w:noProof/>
            <w:webHidden/>
          </w:rPr>
          <w:t>59</w:t>
        </w:r>
        <w:r w:rsidR="00E20FAA">
          <w:rPr>
            <w:noProof/>
            <w:webHidden/>
          </w:rPr>
          <w:fldChar w:fldCharType="end"/>
        </w:r>
      </w:hyperlink>
    </w:p>
    <w:p w14:paraId="703ED105" w14:textId="205C5442" w:rsidR="00E20FAA" w:rsidRDefault="007C0226">
      <w:pPr>
        <w:pStyle w:val="Tabladeilustraciones"/>
        <w:tabs>
          <w:tab w:val="right" w:leader="dot" w:pos="9550"/>
        </w:tabs>
        <w:rPr>
          <w:rFonts w:eastAsiaTheme="minorEastAsia"/>
          <w:noProof/>
          <w:sz w:val="22"/>
          <w:lang w:eastAsia="es-CO"/>
        </w:rPr>
      </w:pPr>
      <w:hyperlink w:anchor="_Toc231286273" w:history="1">
        <w:r w:rsidR="00E20FAA" w:rsidRPr="00726BF4">
          <w:rPr>
            <w:rStyle w:val="Hipervnculo"/>
            <w:rFonts w:ascii="Humanst521 BT" w:hAnsi="Humanst521 BT"/>
            <w:noProof/>
          </w:rPr>
          <w:t>Tabla 28. Distribución del gasto total por diagnóstico UISALUD 2025</w:t>
        </w:r>
        <w:r w:rsidR="00E20FAA">
          <w:rPr>
            <w:noProof/>
            <w:webHidden/>
          </w:rPr>
          <w:tab/>
        </w:r>
        <w:r w:rsidR="00E20FAA">
          <w:rPr>
            <w:noProof/>
            <w:webHidden/>
          </w:rPr>
          <w:fldChar w:fldCharType="begin"/>
        </w:r>
        <w:r w:rsidR="00E20FAA">
          <w:rPr>
            <w:noProof/>
            <w:webHidden/>
          </w:rPr>
          <w:instrText xml:space="preserve"> PAGEREF _Toc231286273 \h </w:instrText>
        </w:r>
        <w:r w:rsidR="00E20FAA">
          <w:rPr>
            <w:noProof/>
            <w:webHidden/>
          </w:rPr>
        </w:r>
        <w:r w:rsidR="00E20FAA">
          <w:rPr>
            <w:noProof/>
            <w:webHidden/>
          </w:rPr>
          <w:fldChar w:fldCharType="separate"/>
        </w:r>
        <w:r w:rsidR="00E20FAA">
          <w:rPr>
            <w:noProof/>
            <w:webHidden/>
          </w:rPr>
          <w:t>60</w:t>
        </w:r>
        <w:r w:rsidR="00E20FAA">
          <w:rPr>
            <w:noProof/>
            <w:webHidden/>
          </w:rPr>
          <w:fldChar w:fldCharType="end"/>
        </w:r>
      </w:hyperlink>
    </w:p>
    <w:p w14:paraId="34E5AC92" w14:textId="57739541" w:rsidR="00E20FAA" w:rsidRDefault="007C0226">
      <w:pPr>
        <w:pStyle w:val="Tabladeilustraciones"/>
        <w:tabs>
          <w:tab w:val="right" w:leader="dot" w:pos="9550"/>
        </w:tabs>
        <w:rPr>
          <w:rFonts w:eastAsiaTheme="minorEastAsia"/>
          <w:noProof/>
          <w:sz w:val="22"/>
          <w:lang w:eastAsia="es-CO"/>
        </w:rPr>
      </w:pPr>
      <w:hyperlink w:anchor="_Toc231286274" w:history="1">
        <w:r w:rsidR="00E20FAA" w:rsidRPr="00726BF4">
          <w:rPr>
            <w:rStyle w:val="Hipervnculo"/>
            <w:rFonts w:ascii="Humanst521 BT" w:hAnsi="Humanst521 BT"/>
            <w:noProof/>
          </w:rPr>
          <w:t>Tabla 29. Distribución del gasto total por diagnóstico UISALUD 2025</w:t>
        </w:r>
        <w:r w:rsidR="00E20FAA">
          <w:rPr>
            <w:noProof/>
            <w:webHidden/>
          </w:rPr>
          <w:tab/>
        </w:r>
        <w:r w:rsidR="00E20FAA">
          <w:rPr>
            <w:noProof/>
            <w:webHidden/>
          </w:rPr>
          <w:fldChar w:fldCharType="begin"/>
        </w:r>
        <w:r w:rsidR="00E20FAA">
          <w:rPr>
            <w:noProof/>
            <w:webHidden/>
          </w:rPr>
          <w:instrText xml:space="preserve"> PAGEREF _Toc231286274 \h </w:instrText>
        </w:r>
        <w:r w:rsidR="00E20FAA">
          <w:rPr>
            <w:noProof/>
            <w:webHidden/>
          </w:rPr>
        </w:r>
        <w:r w:rsidR="00E20FAA">
          <w:rPr>
            <w:noProof/>
            <w:webHidden/>
          </w:rPr>
          <w:fldChar w:fldCharType="separate"/>
        </w:r>
        <w:r w:rsidR="00E20FAA">
          <w:rPr>
            <w:noProof/>
            <w:webHidden/>
          </w:rPr>
          <w:t>61</w:t>
        </w:r>
        <w:r w:rsidR="00E20FAA">
          <w:rPr>
            <w:noProof/>
            <w:webHidden/>
          </w:rPr>
          <w:fldChar w:fldCharType="end"/>
        </w:r>
      </w:hyperlink>
    </w:p>
    <w:p w14:paraId="6A1A2B56" w14:textId="6544C7B9" w:rsidR="00E20FAA" w:rsidRDefault="007C0226">
      <w:pPr>
        <w:pStyle w:val="Tabladeilustraciones"/>
        <w:tabs>
          <w:tab w:val="right" w:leader="dot" w:pos="9550"/>
        </w:tabs>
        <w:rPr>
          <w:rFonts w:eastAsiaTheme="minorEastAsia"/>
          <w:noProof/>
          <w:sz w:val="22"/>
          <w:lang w:eastAsia="es-CO"/>
        </w:rPr>
      </w:pPr>
      <w:hyperlink w:anchor="_Toc231286275" w:history="1">
        <w:r w:rsidR="00E20FAA" w:rsidRPr="00726BF4">
          <w:rPr>
            <w:rStyle w:val="Hipervnculo"/>
            <w:rFonts w:ascii="Humanst521 BT" w:hAnsi="Humanst521 BT" w:cstheme="minorHAnsi"/>
            <w:noProof/>
          </w:rPr>
          <w:t>Tabla 30. Indicadores Salud Mental - ASIS</w:t>
        </w:r>
        <w:r w:rsidR="00E20FAA">
          <w:rPr>
            <w:noProof/>
            <w:webHidden/>
          </w:rPr>
          <w:tab/>
        </w:r>
        <w:r w:rsidR="00E20FAA">
          <w:rPr>
            <w:noProof/>
            <w:webHidden/>
          </w:rPr>
          <w:fldChar w:fldCharType="begin"/>
        </w:r>
        <w:r w:rsidR="00E20FAA">
          <w:rPr>
            <w:noProof/>
            <w:webHidden/>
          </w:rPr>
          <w:instrText xml:space="preserve"> PAGEREF _Toc231286275 \h </w:instrText>
        </w:r>
        <w:r w:rsidR="00E20FAA">
          <w:rPr>
            <w:noProof/>
            <w:webHidden/>
          </w:rPr>
        </w:r>
        <w:r w:rsidR="00E20FAA">
          <w:rPr>
            <w:noProof/>
            <w:webHidden/>
          </w:rPr>
          <w:fldChar w:fldCharType="separate"/>
        </w:r>
        <w:r w:rsidR="00E20FAA">
          <w:rPr>
            <w:noProof/>
            <w:webHidden/>
          </w:rPr>
          <w:t>61</w:t>
        </w:r>
        <w:r w:rsidR="00E20FAA">
          <w:rPr>
            <w:noProof/>
            <w:webHidden/>
          </w:rPr>
          <w:fldChar w:fldCharType="end"/>
        </w:r>
      </w:hyperlink>
    </w:p>
    <w:p w14:paraId="08FD7B54" w14:textId="71BD2F8C" w:rsidR="00E20FAA" w:rsidRDefault="007C0226">
      <w:pPr>
        <w:pStyle w:val="Tabladeilustraciones"/>
        <w:tabs>
          <w:tab w:val="right" w:leader="dot" w:pos="9550"/>
        </w:tabs>
        <w:rPr>
          <w:rFonts w:eastAsiaTheme="minorEastAsia"/>
          <w:noProof/>
          <w:sz w:val="22"/>
          <w:lang w:eastAsia="es-CO"/>
        </w:rPr>
      </w:pPr>
      <w:hyperlink w:anchor="_Toc231286276" w:history="1">
        <w:r w:rsidR="00E20FAA" w:rsidRPr="00726BF4">
          <w:rPr>
            <w:rStyle w:val="Hipervnculo"/>
            <w:rFonts w:ascii="Humanst521 BT" w:hAnsi="Humanst521 BT" w:cstheme="minorHAnsi"/>
            <w:noProof/>
          </w:rPr>
          <w:t xml:space="preserve">Tabla 31. Promedio días y valor de las </w:t>
        </w:r>
        <w:r w:rsidR="00E20FAA" w:rsidRPr="00726BF4">
          <w:rPr>
            <w:rStyle w:val="Hipervnculo"/>
            <w:rFonts w:ascii="Humanst521 BT" w:hAnsi="Humanst521 BT" w:cstheme="minorHAnsi"/>
            <w:bCs/>
            <w:noProof/>
          </w:rPr>
          <w:t>incapacidades UISALUD – enfermedad Común / Licencias</w:t>
        </w:r>
        <w:r w:rsidR="00E20FAA">
          <w:rPr>
            <w:noProof/>
            <w:webHidden/>
          </w:rPr>
          <w:tab/>
        </w:r>
        <w:r w:rsidR="00E20FAA">
          <w:rPr>
            <w:noProof/>
            <w:webHidden/>
          </w:rPr>
          <w:fldChar w:fldCharType="begin"/>
        </w:r>
        <w:r w:rsidR="00E20FAA">
          <w:rPr>
            <w:noProof/>
            <w:webHidden/>
          </w:rPr>
          <w:instrText xml:space="preserve"> PAGEREF _Toc231286276 \h </w:instrText>
        </w:r>
        <w:r w:rsidR="00E20FAA">
          <w:rPr>
            <w:noProof/>
            <w:webHidden/>
          </w:rPr>
        </w:r>
        <w:r w:rsidR="00E20FAA">
          <w:rPr>
            <w:noProof/>
            <w:webHidden/>
          </w:rPr>
          <w:fldChar w:fldCharType="separate"/>
        </w:r>
        <w:r w:rsidR="00E20FAA">
          <w:rPr>
            <w:noProof/>
            <w:webHidden/>
          </w:rPr>
          <w:t>62</w:t>
        </w:r>
        <w:r w:rsidR="00E20FAA">
          <w:rPr>
            <w:noProof/>
            <w:webHidden/>
          </w:rPr>
          <w:fldChar w:fldCharType="end"/>
        </w:r>
      </w:hyperlink>
    </w:p>
    <w:p w14:paraId="7F710D5E" w14:textId="48ABBC88" w:rsidR="00E20FAA" w:rsidRDefault="007C0226">
      <w:pPr>
        <w:pStyle w:val="Tabladeilustraciones"/>
        <w:tabs>
          <w:tab w:val="right" w:leader="dot" w:pos="9550"/>
        </w:tabs>
        <w:rPr>
          <w:rFonts w:eastAsiaTheme="minorEastAsia"/>
          <w:noProof/>
          <w:sz w:val="22"/>
          <w:lang w:eastAsia="es-CO"/>
        </w:rPr>
      </w:pPr>
      <w:hyperlink w:anchor="_Toc231286277" w:history="1">
        <w:r w:rsidR="00E20FAA" w:rsidRPr="00726BF4">
          <w:rPr>
            <w:rStyle w:val="Hipervnculo"/>
            <w:rFonts w:ascii="Humanst521 BT" w:hAnsi="Humanst521 BT" w:cstheme="minorHAnsi"/>
            <w:noProof/>
          </w:rPr>
          <w:t>Tabla 32. Causa agrupada de la incapacidad según número de días – evento común</w:t>
        </w:r>
        <w:r w:rsidR="00E20FAA">
          <w:rPr>
            <w:noProof/>
            <w:webHidden/>
          </w:rPr>
          <w:tab/>
        </w:r>
        <w:r w:rsidR="00E20FAA">
          <w:rPr>
            <w:noProof/>
            <w:webHidden/>
          </w:rPr>
          <w:fldChar w:fldCharType="begin"/>
        </w:r>
        <w:r w:rsidR="00E20FAA">
          <w:rPr>
            <w:noProof/>
            <w:webHidden/>
          </w:rPr>
          <w:instrText xml:space="preserve"> PAGEREF _Toc231286277 \h </w:instrText>
        </w:r>
        <w:r w:rsidR="00E20FAA">
          <w:rPr>
            <w:noProof/>
            <w:webHidden/>
          </w:rPr>
        </w:r>
        <w:r w:rsidR="00E20FAA">
          <w:rPr>
            <w:noProof/>
            <w:webHidden/>
          </w:rPr>
          <w:fldChar w:fldCharType="separate"/>
        </w:r>
        <w:r w:rsidR="00E20FAA">
          <w:rPr>
            <w:noProof/>
            <w:webHidden/>
          </w:rPr>
          <w:t>63</w:t>
        </w:r>
        <w:r w:rsidR="00E20FAA">
          <w:rPr>
            <w:noProof/>
            <w:webHidden/>
          </w:rPr>
          <w:fldChar w:fldCharType="end"/>
        </w:r>
      </w:hyperlink>
    </w:p>
    <w:p w14:paraId="2F1AD6C5" w14:textId="50BDEEA0" w:rsidR="00E20FAA" w:rsidRDefault="007C0226">
      <w:pPr>
        <w:pStyle w:val="Tabladeilustraciones"/>
        <w:tabs>
          <w:tab w:val="right" w:leader="dot" w:pos="9550"/>
        </w:tabs>
        <w:rPr>
          <w:rFonts w:eastAsiaTheme="minorEastAsia"/>
          <w:noProof/>
          <w:sz w:val="22"/>
          <w:lang w:eastAsia="es-CO"/>
        </w:rPr>
      </w:pPr>
      <w:hyperlink w:anchor="_Toc231286278" w:history="1">
        <w:r w:rsidR="00E20FAA" w:rsidRPr="00726BF4">
          <w:rPr>
            <w:rStyle w:val="Hipervnculo"/>
            <w:rFonts w:ascii="Humanst521 BT" w:hAnsi="Humanst521 BT" w:cstheme="minorHAnsi"/>
            <w:noProof/>
          </w:rPr>
          <w:t>Tabla 33. Causa agrupada de la incapacidad según número de días.</w:t>
        </w:r>
        <w:r w:rsidR="00E20FAA">
          <w:rPr>
            <w:noProof/>
            <w:webHidden/>
          </w:rPr>
          <w:tab/>
        </w:r>
        <w:r w:rsidR="00E20FAA">
          <w:rPr>
            <w:noProof/>
            <w:webHidden/>
          </w:rPr>
          <w:fldChar w:fldCharType="begin"/>
        </w:r>
        <w:r w:rsidR="00E20FAA">
          <w:rPr>
            <w:noProof/>
            <w:webHidden/>
          </w:rPr>
          <w:instrText xml:space="preserve"> PAGEREF _Toc231286278 \h </w:instrText>
        </w:r>
        <w:r w:rsidR="00E20FAA">
          <w:rPr>
            <w:noProof/>
            <w:webHidden/>
          </w:rPr>
        </w:r>
        <w:r w:rsidR="00E20FAA">
          <w:rPr>
            <w:noProof/>
            <w:webHidden/>
          </w:rPr>
          <w:fldChar w:fldCharType="separate"/>
        </w:r>
        <w:r w:rsidR="00E20FAA">
          <w:rPr>
            <w:noProof/>
            <w:webHidden/>
          </w:rPr>
          <w:t>65</w:t>
        </w:r>
        <w:r w:rsidR="00E20FAA">
          <w:rPr>
            <w:noProof/>
            <w:webHidden/>
          </w:rPr>
          <w:fldChar w:fldCharType="end"/>
        </w:r>
      </w:hyperlink>
    </w:p>
    <w:p w14:paraId="33AE14B7" w14:textId="7414337E" w:rsidR="00E20FAA" w:rsidRDefault="007C0226">
      <w:pPr>
        <w:pStyle w:val="Tabladeilustraciones"/>
        <w:tabs>
          <w:tab w:val="right" w:leader="dot" w:pos="9550"/>
        </w:tabs>
        <w:rPr>
          <w:rFonts w:eastAsiaTheme="minorEastAsia"/>
          <w:noProof/>
          <w:sz w:val="22"/>
          <w:lang w:eastAsia="es-CO"/>
        </w:rPr>
      </w:pPr>
      <w:hyperlink w:anchor="_Toc231286279" w:history="1">
        <w:r w:rsidR="00E20FAA" w:rsidRPr="00726BF4">
          <w:rPr>
            <w:rStyle w:val="Hipervnculo"/>
            <w:rFonts w:ascii="Humanst521 BT" w:eastAsia="Verdana" w:hAnsi="Humanst521 BT" w:cs="Verdana"/>
            <w:noProof/>
            <w:lang w:val="es-ES"/>
          </w:rPr>
          <w:t>Tabla 34. Tasa ajustada de mortalidad por grandes causas UISALUD, 2024</w:t>
        </w:r>
        <w:r w:rsidR="00E20FAA">
          <w:rPr>
            <w:noProof/>
            <w:webHidden/>
          </w:rPr>
          <w:tab/>
        </w:r>
        <w:r w:rsidR="00E20FAA">
          <w:rPr>
            <w:noProof/>
            <w:webHidden/>
          </w:rPr>
          <w:fldChar w:fldCharType="begin"/>
        </w:r>
        <w:r w:rsidR="00E20FAA">
          <w:rPr>
            <w:noProof/>
            <w:webHidden/>
          </w:rPr>
          <w:instrText xml:space="preserve"> PAGEREF _Toc231286279 \h </w:instrText>
        </w:r>
        <w:r w:rsidR="00E20FAA">
          <w:rPr>
            <w:noProof/>
            <w:webHidden/>
          </w:rPr>
        </w:r>
        <w:r w:rsidR="00E20FAA">
          <w:rPr>
            <w:noProof/>
            <w:webHidden/>
          </w:rPr>
          <w:fldChar w:fldCharType="separate"/>
        </w:r>
        <w:r w:rsidR="00E20FAA">
          <w:rPr>
            <w:noProof/>
            <w:webHidden/>
          </w:rPr>
          <w:t>68</w:t>
        </w:r>
        <w:r w:rsidR="00E20FAA">
          <w:rPr>
            <w:noProof/>
            <w:webHidden/>
          </w:rPr>
          <w:fldChar w:fldCharType="end"/>
        </w:r>
      </w:hyperlink>
    </w:p>
    <w:p w14:paraId="385D7F75" w14:textId="6FE19BF9" w:rsidR="00E20FAA" w:rsidRDefault="007C0226">
      <w:pPr>
        <w:pStyle w:val="Tabladeilustraciones"/>
        <w:tabs>
          <w:tab w:val="right" w:leader="dot" w:pos="9550"/>
        </w:tabs>
        <w:rPr>
          <w:rFonts w:eastAsiaTheme="minorEastAsia"/>
          <w:noProof/>
          <w:sz w:val="22"/>
          <w:lang w:eastAsia="es-CO"/>
        </w:rPr>
      </w:pPr>
      <w:hyperlink w:anchor="_Toc231286280" w:history="1">
        <w:r w:rsidR="00E20FAA" w:rsidRPr="00726BF4">
          <w:rPr>
            <w:rStyle w:val="Hipervnculo"/>
            <w:rFonts w:ascii="Humanst521 BT" w:eastAsia="Verdana" w:hAnsi="Humanst521 BT" w:cs="Verdana"/>
            <w:noProof/>
            <w:lang w:val="es-ES"/>
          </w:rPr>
          <w:t>Tabla 35. Tasa ajustada de mortalidad en hombres grandes causas, UISALUD 2024</w:t>
        </w:r>
        <w:r w:rsidR="00E20FAA">
          <w:rPr>
            <w:noProof/>
            <w:webHidden/>
          </w:rPr>
          <w:tab/>
        </w:r>
        <w:r w:rsidR="00E20FAA">
          <w:rPr>
            <w:noProof/>
            <w:webHidden/>
          </w:rPr>
          <w:fldChar w:fldCharType="begin"/>
        </w:r>
        <w:r w:rsidR="00E20FAA">
          <w:rPr>
            <w:noProof/>
            <w:webHidden/>
          </w:rPr>
          <w:instrText xml:space="preserve"> PAGEREF _Toc231286280 \h </w:instrText>
        </w:r>
        <w:r w:rsidR="00E20FAA">
          <w:rPr>
            <w:noProof/>
            <w:webHidden/>
          </w:rPr>
        </w:r>
        <w:r w:rsidR="00E20FAA">
          <w:rPr>
            <w:noProof/>
            <w:webHidden/>
          </w:rPr>
          <w:fldChar w:fldCharType="separate"/>
        </w:r>
        <w:r w:rsidR="00E20FAA">
          <w:rPr>
            <w:noProof/>
            <w:webHidden/>
          </w:rPr>
          <w:t>70</w:t>
        </w:r>
        <w:r w:rsidR="00E20FAA">
          <w:rPr>
            <w:noProof/>
            <w:webHidden/>
          </w:rPr>
          <w:fldChar w:fldCharType="end"/>
        </w:r>
      </w:hyperlink>
    </w:p>
    <w:p w14:paraId="75EF7036" w14:textId="53F3FA9D" w:rsidR="00E20FAA" w:rsidRDefault="007C0226">
      <w:pPr>
        <w:pStyle w:val="Tabladeilustraciones"/>
        <w:tabs>
          <w:tab w:val="right" w:leader="dot" w:pos="9550"/>
        </w:tabs>
        <w:rPr>
          <w:rFonts w:eastAsiaTheme="minorEastAsia"/>
          <w:noProof/>
          <w:sz w:val="22"/>
          <w:lang w:eastAsia="es-CO"/>
        </w:rPr>
      </w:pPr>
      <w:hyperlink w:anchor="_Toc231286281" w:history="1">
        <w:r w:rsidR="00E20FAA" w:rsidRPr="00726BF4">
          <w:rPr>
            <w:rStyle w:val="Hipervnculo"/>
            <w:rFonts w:ascii="Humanst521 BT" w:eastAsia="Verdana" w:hAnsi="Humanst521 BT" w:cs="Verdana"/>
            <w:noProof/>
            <w:lang w:val="es-ES"/>
          </w:rPr>
          <w:t>Tabla 36. Tasa ajustada de mortalidad en mujeres grandes causas, UISALUD  2024</w:t>
        </w:r>
        <w:r w:rsidR="00E20FAA">
          <w:rPr>
            <w:noProof/>
            <w:webHidden/>
          </w:rPr>
          <w:tab/>
        </w:r>
        <w:r w:rsidR="00E20FAA">
          <w:rPr>
            <w:noProof/>
            <w:webHidden/>
          </w:rPr>
          <w:fldChar w:fldCharType="begin"/>
        </w:r>
        <w:r w:rsidR="00E20FAA">
          <w:rPr>
            <w:noProof/>
            <w:webHidden/>
          </w:rPr>
          <w:instrText xml:space="preserve"> PAGEREF _Toc231286281 \h </w:instrText>
        </w:r>
        <w:r w:rsidR="00E20FAA">
          <w:rPr>
            <w:noProof/>
            <w:webHidden/>
          </w:rPr>
        </w:r>
        <w:r w:rsidR="00E20FAA">
          <w:rPr>
            <w:noProof/>
            <w:webHidden/>
          </w:rPr>
          <w:fldChar w:fldCharType="separate"/>
        </w:r>
        <w:r w:rsidR="00E20FAA">
          <w:rPr>
            <w:noProof/>
            <w:webHidden/>
          </w:rPr>
          <w:t>71</w:t>
        </w:r>
        <w:r w:rsidR="00E20FAA">
          <w:rPr>
            <w:noProof/>
            <w:webHidden/>
          </w:rPr>
          <w:fldChar w:fldCharType="end"/>
        </w:r>
      </w:hyperlink>
    </w:p>
    <w:p w14:paraId="7DB0B71B" w14:textId="277A979F" w:rsidR="00E20FAA" w:rsidRDefault="007C0226">
      <w:pPr>
        <w:pStyle w:val="Tabladeilustraciones"/>
        <w:tabs>
          <w:tab w:val="right" w:leader="dot" w:pos="9550"/>
        </w:tabs>
        <w:rPr>
          <w:rFonts w:eastAsiaTheme="minorEastAsia"/>
          <w:noProof/>
          <w:sz w:val="22"/>
          <w:lang w:eastAsia="es-CO"/>
        </w:rPr>
      </w:pPr>
      <w:hyperlink w:anchor="_Toc231286282" w:history="1">
        <w:r w:rsidR="00E20FAA" w:rsidRPr="00726BF4">
          <w:rPr>
            <w:rStyle w:val="Hipervnculo"/>
            <w:rFonts w:ascii="Humanst521 BT" w:eastAsia="Verdana" w:hAnsi="Humanst521 BT" w:cs="Verdana"/>
            <w:noProof/>
            <w:lang w:val="es-ES"/>
          </w:rPr>
          <w:t>Tabla 37. Tasa de mortalidad ajustada por edad, según subgrupos de muerte, UISALUD Santander, 2024</w:t>
        </w:r>
        <w:r w:rsidR="00E20FAA">
          <w:rPr>
            <w:noProof/>
            <w:webHidden/>
          </w:rPr>
          <w:tab/>
        </w:r>
        <w:r w:rsidR="00E20FAA">
          <w:rPr>
            <w:noProof/>
            <w:webHidden/>
          </w:rPr>
          <w:fldChar w:fldCharType="begin"/>
        </w:r>
        <w:r w:rsidR="00E20FAA">
          <w:rPr>
            <w:noProof/>
            <w:webHidden/>
          </w:rPr>
          <w:instrText xml:space="preserve"> PAGEREF _Toc231286282 \h </w:instrText>
        </w:r>
        <w:r w:rsidR="00E20FAA">
          <w:rPr>
            <w:noProof/>
            <w:webHidden/>
          </w:rPr>
        </w:r>
        <w:r w:rsidR="00E20FAA">
          <w:rPr>
            <w:noProof/>
            <w:webHidden/>
          </w:rPr>
          <w:fldChar w:fldCharType="separate"/>
        </w:r>
        <w:r w:rsidR="00E20FAA">
          <w:rPr>
            <w:noProof/>
            <w:webHidden/>
          </w:rPr>
          <w:t>73</w:t>
        </w:r>
        <w:r w:rsidR="00E20FAA">
          <w:rPr>
            <w:noProof/>
            <w:webHidden/>
          </w:rPr>
          <w:fldChar w:fldCharType="end"/>
        </w:r>
      </w:hyperlink>
    </w:p>
    <w:p w14:paraId="7F6D91CC" w14:textId="79BFD3D0" w:rsidR="00E20FAA" w:rsidRDefault="007C0226">
      <w:pPr>
        <w:pStyle w:val="Tabladeilustraciones"/>
        <w:tabs>
          <w:tab w:val="right" w:leader="dot" w:pos="9550"/>
        </w:tabs>
        <w:rPr>
          <w:rFonts w:eastAsiaTheme="minorEastAsia"/>
          <w:noProof/>
          <w:sz w:val="22"/>
          <w:lang w:eastAsia="es-CO"/>
        </w:rPr>
      </w:pPr>
      <w:hyperlink w:anchor="_Toc231286283" w:history="1">
        <w:r w:rsidR="00E20FAA" w:rsidRPr="00726BF4">
          <w:rPr>
            <w:rStyle w:val="Hipervnculo"/>
            <w:rFonts w:ascii="Humanst521 BT" w:eastAsia="Verdana" w:hAnsi="Humanst521 BT" w:cs="Verdana"/>
            <w:noProof/>
            <w:lang w:val="es-ES"/>
          </w:rPr>
          <w:t>Tabla 38. Tasa de mortalidad ajustada por edad, según subgrupos de muerte en hombres, UISALUD Santander, 2024</w:t>
        </w:r>
        <w:r w:rsidR="00E20FAA">
          <w:rPr>
            <w:noProof/>
            <w:webHidden/>
          </w:rPr>
          <w:tab/>
        </w:r>
        <w:r w:rsidR="00E20FAA">
          <w:rPr>
            <w:noProof/>
            <w:webHidden/>
          </w:rPr>
          <w:fldChar w:fldCharType="begin"/>
        </w:r>
        <w:r w:rsidR="00E20FAA">
          <w:rPr>
            <w:noProof/>
            <w:webHidden/>
          </w:rPr>
          <w:instrText xml:space="preserve"> PAGEREF _Toc231286283 \h </w:instrText>
        </w:r>
        <w:r w:rsidR="00E20FAA">
          <w:rPr>
            <w:noProof/>
            <w:webHidden/>
          </w:rPr>
        </w:r>
        <w:r w:rsidR="00E20FAA">
          <w:rPr>
            <w:noProof/>
            <w:webHidden/>
          </w:rPr>
          <w:fldChar w:fldCharType="separate"/>
        </w:r>
        <w:r w:rsidR="00E20FAA">
          <w:rPr>
            <w:noProof/>
            <w:webHidden/>
          </w:rPr>
          <w:t>76</w:t>
        </w:r>
        <w:r w:rsidR="00E20FAA">
          <w:rPr>
            <w:noProof/>
            <w:webHidden/>
          </w:rPr>
          <w:fldChar w:fldCharType="end"/>
        </w:r>
      </w:hyperlink>
    </w:p>
    <w:p w14:paraId="297F3D37" w14:textId="1E3168D8" w:rsidR="00E20FAA" w:rsidRDefault="007C0226">
      <w:pPr>
        <w:pStyle w:val="Tabladeilustraciones"/>
        <w:tabs>
          <w:tab w:val="right" w:leader="dot" w:pos="9550"/>
        </w:tabs>
        <w:rPr>
          <w:rFonts w:eastAsiaTheme="minorEastAsia"/>
          <w:noProof/>
          <w:sz w:val="22"/>
          <w:lang w:eastAsia="es-CO"/>
        </w:rPr>
      </w:pPr>
      <w:hyperlink w:anchor="_Toc231286284" w:history="1">
        <w:r w:rsidR="00E20FAA" w:rsidRPr="00726BF4">
          <w:rPr>
            <w:rStyle w:val="Hipervnculo"/>
            <w:rFonts w:ascii="Humanst521 BT" w:eastAsia="Verdana" w:hAnsi="Humanst521 BT" w:cs="Verdana"/>
            <w:noProof/>
            <w:lang w:val="es-ES"/>
          </w:rPr>
          <w:t>Tabla 39.Tasa de mortalidad ajustada por edad según subgrupos de muerte en mujeres, UISALUD Santander 2024.</w:t>
        </w:r>
        <w:r w:rsidR="00E20FAA">
          <w:rPr>
            <w:noProof/>
            <w:webHidden/>
          </w:rPr>
          <w:tab/>
        </w:r>
        <w:r w:rsidR="00E20FAA">
          <w:rPr>
            <w:noProof/>
            <w:webHidden/>
          </w:rPr>
          <w:fldChar w:fldCharType="begin"/>
        </w:r>
        <w:r w:rsidR="00E20FAA">
          <w:rPr>
            <w:noProof/>
            <w:webHidden/>
          </w:rPr>
          <w:instrText xml:space="preserve"> PAGEREF _Toc231286284 \h </w:instrText>
        </w:r>
        <w:r w:rsidR="00E20FAA">
          <w:rPr>
            <w:noProof/>
            <w:webHidden/>
          </w:rPr>
        </w:r>
        <w:r w:rsidR="00E20FAA">
          <w:rPr>
            <w:noProof/>
            <w:webHidden/>
          </w:rPr>
          <w:fldChar w:fldCharType="separate"/>
        </w:r>
        <w:r w:rsidR="00E20FAA">
          <w:rPr>
            <w:noProof/>
            <w:webHidden/>
          </w:rPr>
          <w:t>78</w:t>
        </w:r>
        <w:r w:rsidR="00E20FAA">
          <w:rPr>
            <w:noProof/>
            <w:webHidden/>
          </w:rPr>
          <w:fldChar w:fldCharType="end"/>
        </w:r>
      </w:hyperlink>
    </w:p>
    <w:p w14:paraId="115C356F" w14:textId="5391CA3E" w:rsidR="00E20FAA" w:rsidRDefault="007C0226">
      <w:pPr>
        <w:pStyle w:val="Tabladeilustraciones"/>
        <w:tabs>
          <w:tab w:val="right" w:leader="dot" w:pos="9550"/>
        </w:tabs>
        <w:rPr>
          <w:rFonts w:eastAsiaTheme="minorEastAsia"/>
          <w:noProof/>
          <w:sz w:val="22"/>
          <w:lang w:eastAsia="es-CO"/>
        </w:rPr>
      </w:pPr>
      <w:hyperlink w:anchor="_Toc231286285" w:history="1">
        <w:r w:rsidR="00E20FAA" w:rsidRPr="00726BF4">
          <w:rPr>
            <w:rStyle w:val="Hipervnculo"/>
            <w:rFonts w:ascii="Humanst521 BT" w:eastAsia="Verdana" w:hAnsi="Humanst521 BT" w:cs="Verdana"/>
            <w:noProof/>
            <w:lang w:val="es-ES"/>
          </w:rPr>
          <w:t>Tabla 40. Tasas ajustadas de AVPP en población total, UISALUD 2024</w:t>
        </w:r>
        <w:r w:rsidR="00E20FAA">
          <w:rPr>
            <w:noProof/>
            <w:webHidden/>
          </w:rPr>
          <w:tab/>
        </w:r>
        <w:r w:rsidR="00E20FAA">
          <w:rPr>
            <w:noProof/>
            <w:webHidden/>
          </w:rPr>
          <w:fldChar w:fldCharType="begin"/>
        </w:r>
        <w:r w:rsidR="00E20FAA">
          <w:rPr>
            <w:noProof/>
            <w:webHidden/>
          </w:rPr>
          <w:instrText xml:space="preserve"> PAGEREF _Toc231286285 \h </w:instrText>
        </w:r>
        <w:r w:rsidR="00E20FAA">
          <w:rPr>
            <w:noProof/>
            <w:webHidden/>
          </w:rPr>
        </w:r>
        <w:r w:rsidR="00E20FAA">
          <w:rPr>
            <w:noProof/>
            <w:webHidden/>
          </w:rPr>
          <w:fldChar w:fldCharType="separate"/>
        </w:r>
        <w:r w:rsidR="00E20FAA">
          <w:rPr>
            <w:noProof/>
            <w:webHidden/>
          </w:rPr>
          <w:t>81</w:t>
        </w:r>
        <w:r w:rsidR="00E20FAA">
          <w:rPr>
            <w:noProof/>
            <w:webHidden/>
          </w:rPr>
          <w:fldChar w:fldCharType="end"/>
        </w:r>
      </w:hyperlink>
    </w:p>
    <w:p w14:paraId="197A9D9F" w14:textId="4FABC5DA" w:rsidR="00E20FAA" w:rsidRDefault="007C0226">
      <w:pPr>
        <w:pStyle w:val="Tabladeilustraciones"/>
        <w:tabs>
          <w:tab w:val="right" w:leader="dot" w:pos="9550"/>
        </w:tabs>
        <w:rPr>
          <w:rFonts w:eastAsiaTheme="minorEastAsia"/>
          <w:noProof/>
          <w:sz w:val="22"/>
          <w:lang w:eastAsia="es-CO"/>
        </w:rPr>
      </w:pPr>
      <w:hyperlink w:anchor="_Toc231286286" w:history="1">
        <w:r w:rsidR="00E20FAA" w:rsidRPr="00726BF4">
          <w:rPr>
            <w:rStyle w:val="Hipervnculo"/>
            <w:rFonts w:ascii="Humanst521 BT" w:eastAsia="Verdana" w:hAnsi="Humanst521 BT" w:cs="Verdana"/>
            <w:noProof/>
            <w:lang w:val="es-ES"/>
          </w:rPr>
          <w:t>Tabla 41. Tasas ajustadas de AVPP en hombres, UISALUD 2024</w:t>
        </w:r>
        <w:r w:rsidR="00E20FAA">
          <w:rPr>
            <w:noProof/>
            <w:webHidden/>
          </w:rPr>
          <w:tab/>
        </w:r>
        <w:r w:rsidR="00E20FAA">
          <w:rPr>
            <w:noProof/>
            <w:webHidden/>
          </w:rPr>
          <w:fldChar w:fldCharType="begin"/>
        </w:r>
        <w:r w:rsidR="00E20FAA">
          <w:rPr>
            <w:noProof/>
            <w:webHidden/>
          </w:rPr>
          <w:instrText xml:space="preserve"> PAGEREF _Toc231286286 \h </w:instrText>
        </w:r>
        <w:r w:rsidR="00E20FAA">
          <w:rPr>
            <w:noProof/>
            <w:webHidden/>
          </w:rPr>
        </w:r>
        <w:r w:rsidR="00E20FAA">
          <w:rPr>
            <w:noProof/>
            <w:webHidden/>
          </w:rPr>
          <w:fldChar w:fldCharType="separate"/>
        </w:r>
        <w:r w:rsidR="00E20FAA">
          <w:rPr>
            <w:noProof/>
            <w:webHidden/>
          </w:rPr>
          <w:t>83</w:t>
        </w:r>
        <w:r w:rsidR="00E20FAA">
          <w:rPr>
            <w:noProof/>
            <w:webHidden/>
          </w:rPr>
          <w:fldChar w:fldCharType="end"/>
        </w:r>
      </w:hyperlink>
    </w:p>
    <w:p w14:paraId="0FFD9C61" w14:textId="63D37CF2" w:rsidR="00E20FAA" w:rsidRDefault="007C0226">
      <w:pPr>
        <w:pStyle w:val="Tabladeilustraciones"/>
        <w:tabs>
          <w:tab w:val="right" w:leader="dot" w:pos="9550"/>
        </w:tabs>
        <w:rPr>
          <w:rFonts w:eastAsiaTheme="minorEastAsia"/>
          <w:noProof/>
          <w:sz w:val="22"/>
          <w:lang w:eastAsia="es-CO"/>
        </w:rPr>
      </w:pPr>
      <w:hyperlink w:anchor="_Toc231286287" w:history="1">
        <w:r w:rsidR="00E20FAA" w:rsidRPr="00726BF4">
          <w:rPr>
            <w:rStyle w:val="Hipervnculo"/>
            <w:rFonts w:ascii="Humanst521 BT" w:eastAsia="Verdana" w:hAnsi="Humanst521 BT" w:cs="Verdana"/>
            <w:noProof/>
            <w:lang w:val="es-ES"/>
          </w:rPr>
          <w:t>Tabla 42.Tasas ajustadas de AVPP en mujeres, UISALUD 2024</w:t>
        </w:r>
        <w:r w:rsidR="00E20FAA">
          <w:rPr>
            <w:noProof/>
            <w:webHidden/>
          </w:rPr>
          <w:tab/>
        </w:r>
        <w:r w:rsidR="00E20FAA">
          <w:rPr>
            <w:noProof/>
            <w:webHidden/>
          </w:rPr>
          <w:fldChar w:fldCharType="begin"/>
        </w:r>
        <w:r w:rsidR="00E20FAA">
          <w:rPr>
            <w:noProof/>
            <w:webHidden/>
          </w:rPr>
          <w:instrText xml:space="preserve"> PAGEREF _Toc231286287 \h </w:instrText>
        </w:r>
        <w:r w:rsidR="00E20FAA">
          <w:rPr>
            <w:noProof/>
            <w:webHidden/>
          </w:rPr>
        </w:r>
        <w:r w:rsidR="00E20FAA">
          <w:rPr>
            <w:noProof/>
            <w:webHidden/>
          </w:rPr>
          <w:fldChar w:fldCharType="separate"/>
        </w:r>
        <w:r w:rsidR="00E20FAA">
          <w:rPr>
            <w:noProof/>
            <w:webHidden/>
          </w:rPr>
          <w:t>85</w:t>
        </w:r>
        <w:r w:rsidR="00E20FAA">
          <w:rPr>
            <w:noProof/>
            <w:webHidden/>
          </w:rPr>
          <w:fldChar w:fldCharType="end"/>
        </w:r>
      </w:hyperlink>
    </w:p>
    <w:p w14:paraId="0F64F0E2" w14:textId="0FDD3E5B" w:rsidR="00E20FAA" w:rsidRDefault="007C0226">
      <w:pPr>
        <w:pStyle w:val="Tabladeilustraciones"/>
        <w:tabs>
          <w:tab w:val="right" w:leader="dot" w:pos="9550"/>
        </w:tabs>
        <w:rPr>
          <w:rFonts w:eastAsiaTheme="minorEastAsia"/>
          <w:noProof/>
          <w:sz w:val="22"/>
          <w:lang w:eastAsia="es-CO"/>
        </w:rPr>
      </w:pPr>
      <w:hyperlink w:anchor="_Toc231286288" w:history="1">
        <w:r w:rsidR="00E20FAA" w:rsidRPr="00726BF4">
          <w:rPr>
            <w:rStyle w:val="Hipervnculo"/>
            <w:rFonts w:ascii="Humanst521 BT" w:eastAsia="Verdana" w:hAnsi="Humanst521 BT" w:cs="Verdana"/>
            <w:noProof/>
            <w:lang w:val="es-ES"/>
          </w:rPr>
          <w:t>Tabla 43. Indicadores de mortalidad materno infantil y niñez UISALUD, 2021-2024</w:t>
        </w:r>
        <w:r w:rsidR="00E20FAA">
          <w:rPr>
            <w:noProof/>
            <w:webHidden/>
          </w:rPr>
          <w:tab/>
        </w:r>
        <w:r w:rsidR="00E20FAA">
          <w:rPr>
            <w:noProof/>
            <w:webHidden/>
          </w:rPr>
          <w:fldChar w:fldCharType="begin"/>
        </w:r>
        <w:r w:rsidR="00E20FAA">
          <w:rPr>
            <w:noProof/>
            <w:webHidden/>
          </w:rPr>
          <w:instrText xml:space="preserve"> PAGEREF _Toc231286288 \h </w:instrText>
        </w:r>
        <w:r w:rsidR="00E20FAA">
          <w:rPr>
            <w:noProof/>
            <w:webHidden/>
          </w:rPr>
        </w:r>
        <w:r w:rsidR="00E20FAA">
          <w:rPr>
            <w:noProof/>
            <w:webHidden/>
          </w:rPr>
          <w:fldChar w:fldCharType="separate"/>
        </w:r>
        <w:r w:rsidR="00E20FAA">
          <w:rPr>
            <w:noProof/>
            <w:webHidden/>
          </w:rPr>
          <w:t>87</w:t>
        </w:r>
        <w:r w:rsidR="00E20FAA">
          <w:rPr>
            <w:noProof/>
            <w:webHidden/>
          </w:rPr>
          <w:fldChar w:fldCharType="end"/>
        </w:r>
      </w:hyperlink>
    </w:p>
    <w:p w14:paraId="2E79D80F" w14:textId="7C53F4F2" w:rsidR="00E20FAA" w:rsidRDefault="007C0226">
      <w:pPr>
        <w:pStyle w:val="Tabladeilustraciones"/>
        <w:tabs>
          <w:tab w:val="right" w:leader="dot" w:pos="9550"/>
        </w:tabs>
        <w:rPr>
          <w:rFonts w:eastAsiaTheme="minorEastAsia"/>
          <w:noProof/>
          <w:sz w:val="22"/>
          <w:lang w:eastAsia="es-CO"/>
        </w:rPr>
      </w:pPr>
      <w:hyperlink w:anchor="_Toc231286289" w:history="1">
        <w:r w:rsidR="00E20FAA" w:rsidRPr="00726BF4">
          <w:rPr>
            <w:rStyle w:val="Hipervnculo"/>
            <w:rFonts w:ascii="Humanst521 BT" w:eastAsia="Verdana" w:hAnsi="Humanst521 BT" w:cs="Verdana"/>
            <w:noProof/>
            <w:lang w:val="es-ES"/>
          </w:rPr>
          <w:t>Tabla 44. Tasa específica de mortalidad en la niñez por (grupos lista niñez) UISALUD Santander, 2024</w:t>
        </w:r>
        <w:r w:rsidR="00E20FAA">
          <w:rPr>
            <w:noProof/>
            <w:webHidden/>
          </w:rPr>
          <w:tab/>
        </w:r>
        <w:r w:rsidR="00E20FAA">
          <w:rPr>
            <w:noProof/>
            <w:webHidden/>
          </w:rPr>
          <w:fldChar w:fldCharType="begin"/>
        </w:r>
        <w:r w:rsidR="00E20FAA">
          <w:rPr>
            <w:noProof/>
            <w:webHidden/>
          </w:rPr>
          <w:instrText xml:space="preserve"> PAGEREF _Toc231286289 \h </w:instrText>
        </w:r>
        <w:r w:rsidR="00E20FAA">
          <w:rPr>
            <w:noProof/>
            <w:webHidden/>
          </w:rPr>
        </w:r>
        <w:r w:rsidR="00E20FAA">
          <w:rPr>
            <w:noProof/>
            <w:webHidden/>
          </w:rPr>
          <w:fldChar w:fldCharType="separate"/>
        </w:r>
        <w:r w:rsidR="00E20FAA">
          <w:rPr>
            <w:noProof/>
            <w:webHidden/>
          </w:rPr>
          <w:t>88</w:t>
        </w:r>
        <w:r w:rsidR="00E20FAA">
          <w:rPr>
            <w:noProof/>
            <w:webHidden/>
          </w:rPr>
          <w:fldChar w:fldCharType="end"/>
        </w:r>
      </w:hyperlink>
    </w:p>
    <w:p w14:paraId="136275A5" w14:textId="0E86DBF9" w:rsidR="00E20FAA" w:rsidRDefault="007C0226">
      <w:pPr>
        <w:pStyle w:val="Tabladeilustraciones"/>
        <w:tabs>
          <w:tab w:val="right" w:leader="dot" w:pos="9550"/>
        </w:tabs>
        <w:rPr>
          <w:rFonts w:eastAsiaTheme="minorEastAsia"/>
          <w:noProof/>
          <w:sz w:val="22"/>
          <w:lang w:eastAsia="es-CO"/>
        </w:rPr>
      </w:pPr>
      <w:hyperlink w:anchor="_Toc231286290" w:history="1">
        <w:r w:rsidR="00E20FAA" w:rsidRPr="00726BF4">
          <w:rPr>
            <w:rStyle w:val="Hipervnculo"/>
            <w:rFonts w:ascii="Humanst521 BT" w:eastAsia="Verdana" w:hAnsi="Humanst521 BT" w:cs="Verdana"/>
            <w:noProof/>
            <w:lang w:val="es-ES"/>
          </w:rPr>
          <w:t>Tabla 45. Mortalidad – Grandes causas y subgrupos - UISALUD Santander, 2024</w:t>
        </w:r>
        <w:r w:rsidR="00E20FAA">
          <w:rPr>
            <w:noProof/>
            <w:webHidden/>
          </w:rPr>
          <w:tab/>
        </w:r>
        <w:r w:rsidR="00E20FAA">
          <w:rPr>
            <w:noProof/>
            <w:webHidden/>
          </w:rPr>
          <w:fldChar w:fldCharType="begin"/>
        </w:r>
        <w:r w:rsidR="00E20FAA">
          <w:rPr>
            <w:noProof/>
            <w:webHidden/>
          </w:rPr>
          <w:instrText xml:space="preserve"> PAGEREF _Toc231286290 \h </w:instrText>
        </w:r>
        <w:r w:rsidR="00E20FAA">
          <w:rPr>
            <w:noProof/>
            <w:webHidden/>
          </w:rPr>
        </w:r>
        <w:r w:rsidR="00E20FAA">
          <w:rPr>
            <w:noProof/>
            <w:webHidden/>
          </w:rPr>
          <w:fldChar w:fldCharType="separate"/>
        </w:r>
        <w:r w:rsidR="00E20FAA">
          <w:rPr>
            <w:noProof/>
            <w:webHidden/>
          </w:rPr>
          <w:t>90</w:t>
        </w:r>
        <w:r w:rsidR="00E20FAA">
          <w:rPr>
            <w:noProof/>
            <w:webHidden/>
          </w:rPr>
          <w:fldChar w:fldCharType="end"/>
        </w:r>
      </w:hyperlink>
    </w:p>
    <w:p w14:paraId="4347E547" w14:textId="7527180F" w:rsidR="00E20FAA" w:rsidRDefault="007C0226">
      <w:pPr>
        <w:pStyle w:val="Tabladeilustraciones"/>
        <w:tabs>
          <w:tab w:val="right" w:leader="dot" w:pos="9550"/>
        </w:tabs>
        <w:rPr>
          <w:rFonts w:eastAsiaTheme="minorEastAsia"/>
          <w:noProof/>
          <w:sz w:val="22"/>
          <w:lang w:eastAsia="es-CO"/>
        </w:rPr>
      </w:pPr>
      <w:hyperlink w:anchor="_Toc231286291" w:history="1">
        <w:r w:rsidR="00E20FAA" w:rsidRPr="00726BF4">
          <w:rPr>
            <w:rStyle w:val="Hipervnculo"/>
            <w:rFonts w:ascii="Humanst521 BT" w:eastAsia="Verdana" w:hAnsi="Humanst521 BT"/>
            <w:noProof/>
            <w:lang w:val="es-ES"/>
          </w:rPr>
          <w:t>Tabla 46. Criterios de evaluación de los problemas identificados</w:t>
        </w:r>
        <w:r w:rsidR="00E20FAA">
          <w:rPr>
            <w:noProof/>
            <w:webHidden/>
          </w:rPr>
          <w:tab/>
        </w:r>
        <w:r w:rsidR="00E20FAA">
          <w:rPr>
            <w:noProof/>
            <w:webHidden/>
          </w:rPr>
          <w:fldChar w:fldCharType="begin"/>
        </w:r>
        <w:r w:rsidR="00E20FAA">
          <w:rPr>
            <w:noProof/>
            <w:webHidden/>
          </w:rPr>
          <w:instrText xml:space="preserve"> PAGEREF _Toc231286291 \h </w:instrText>
        </w:r>
        <w:r w:rsidR="00E20FAA">
          <w:rPr>
            <w:noProof/>
            <w:webHidden/>
          </w:rPr>
        </w:r>
        <w:r w:rsidR="00E20FAA">
          <w:rPr>
            <w:noProof/>
            <w:webHidden/>
          </w:rPr>
          <w:fldChar w:fldCharType="separate"/>
        </w:r>
        <w:r w:rsidR="00E20FAA">
          <w:rPr>
            <w:noProof/>
            <w:webHidden/>
          </w:rPr>
          <w:t>93</w:t>
        </w:r>
        <w:r w:rsidR="00E20FAA">
          <w:rPr>
            <w:noProof/>
            <w:webHidden/>
          </w:rPr>
          <w:fldChar w:fldCharType="end"/>
        </w:r>
      </w:hyperlink>
    </w:p>
    <w:p w14:paraId="3833A052" w14:textId="0561FF4E" w:rsidR="00E20FAA" w:rsidRDefault="007C0226">
      <w:pPr>
        <w:pStyle w:val="Tabladeilustraciones"/>
        <w:tabs>
          <w:tab w:val="right" w:leader="dot" w:pos="9550"/>
        </w:tabs>
        <w:rPr>
          <w:rFonts w:eastAsiaTheme="minorEastAsia"/>
          <w:noProof/>
          <w:sz w:val="22"/>
          <w:lang w:eastAsia="es-CO"/>
        </w:rPr>
      </w:pPr>
      <w:hyperlink w:anchor="_Toc231286292" w:history="1">
        <w:r w:rsidR="00E20FAA" w:rsidRPr="00726BF4">
          <w:rPr>
            <w:rStyle w:val="Hipervnculo"/>
            <w:rFonts w:ascii="Humanst521 BT" w:hAnsi="Humanst521 BT"/>
            <w:noProof/>
          </w:rPr>
          <w:t>Tabla 47. Problemas identificados Configuración del territorio desde la perspectiva de los determinantes sociales de la salud y el enfoque diferencial</w:t>
        </w:r>
        <w:r w:rsidR="00E20FAA">
          <w:rPr>
            <w:noProof/>
            <w:webHidden/>
          </w:rPr>
          <w:tab/>
        </w:r>
        <w:r w:rsidR="00E20FAA">
          <w:rPr>
            <w:noProof/>
            <w:webHidden/>
          </w:rPr>
          <w:fldChar w:fldCharType="begin"/>
        </w:r>
        <w:r w:rsidR="00E20FAA">
          <w:rPr>
            <w:noProof/>
            <w:webHidden/>
          </w:rPr>
          <w:instrText xml:space="preserve"> PAGEREF _Toc231286292 \h </w:instrText>
        </w:r>
        <w:r w:rsidR="00E20FAA">
          <w:rPr>
            <w:noProof/>
            <w:webHidden/>
          </w:rPr>
        </w:r>
        <w:r w:rsidR="00E20FAA">
          <w:rPr>
            <w:noProof/>
            <w:webHidden/>
          </w:rPr>
          <w:fldChar w:fldCharType="separate"/>
        </w:r>
        <w:r w:rsidR="00E20FAA">
          <w:rPr>
            <w:noProof/>
            <w:webHidden/>
          </w:rPr>
          <w:t>95</w:t>
        </w:r>
        <w:r w:rsidR="00E20FAA">
          <w:rPr>
            <w:noProof/>
            <w:webHidden/>
          </w:rPr>
          <w:fldChar w:fldCharType="end"/>
        </w:r>
      </w:hyperlink>
    </w:p>
    <w:p w14:paraId="65950235" w14:textId="2F9A473A" w:rsidR="00244200" w:rsidRPr="007F0FA7" w:rsidRDefault="00DA4AD3" w:rsidP="00093B44">
      <w:pPr>
        <w:pStyle w:val="Textoindependiente"/>
        <w:rPr>
          <w:rFonts w:ascii="Humanst521 BT" w:hAnsi="Humanst521 BT"/>
          <w:sz w:val="22"/>
          <w:szCs w:val="22"/>
        </w:rPr>
      </w:pPr>
      <w:r w:rsidRPr="007F0FA7">
        <w:rPr>
          <w:rFonts w:ascii="Humanst521 BT" w:hAnsi="Humanst521 BT"/>
          <w:sz w:val="18"/>
          <w:szCs w:val="18"/>
        </w:rPr>
        <w:fldChar w:fldCharType="end"/>
      </w:r>
    </w:p>
    <w:p w14:paraId="029EDCB3" w14:textId="7486D59E" w:rsidR="00673C58" w:rsidRPr="007F0FA7" w:rsidRDefault="00673C58" w:rsidP="00093B44">
      <w:pPr>
        <w:pStyle w:val="Textoindependiente"/>
        <w:rPr>
          <w:rFonts w:ascii="Humanst521 BT" w:hAnsi="Humanst521 BT"/>
          <w:sz w:val="22"/>
          <w:szCs w:val="22"/>
        </w:rPr>
      </w:pPr>
    </w:p>
    <w:p w14:paraId="0334FA1A" w14:textId="77777777" w:rsidR="002247F1" w:rsidRPr="007F0FA7" w:rsidRDefault="002247F1" w:rsidP="00093B44">
      <w:pPr>
        <w:pStyle w:val="Textoindependiente"/>
        <w:rPr>
          <w:rFonts w:ascii="Humanst521 BT" w:hAnsi="Humanst521 BT"/>
          <w:sz w:val="22"/>
          <w:szCs w:val="22"/>
        </w:rPr>
      </w:pPr>
    </w:p>
    <w:p w14:paraId="0CA72049" w14:textId="77777777" w:rsidR="002247F1" w:rsidRPr="007F0FA7" w:rsidRDefault="002247F1" w:rsidP="00093B44">
      <w:pPr>
        <w:pStyle w:val="Textoindependiente"/>
        <w:rPr>
          <w:rFonts w:ascii="Humanst521 BT" w:hAnsi="Humanst521 BT"/>
          <w:sz w:val="22"/>
          <w:szCs w:val="22"/>
        </w:rPr>
      </w:pPr>
    </w:p>
    <w:p w14:paraId="267D2331" w14:textId="77777777" w:rsidR="002247F1" w:rsidRPr="007F0FA7" w:rsidRDefault="002247F1" w:rsidP="00093B44">
      <w:pPr>
        <w:pStyle w:val="Textoindependiente"/>
        <w:rPr>
          <w:rFonts w:ascii="Humanst521 BT" w:hAnsi="Humanst521 BT"/>
          <w:sz w:val="22"/>
          <w:szCs w:val="22"/>
        </w:rPr>
      </w:pPr>
    </w:p>
    <w:p w14:paraId="244F7881" w14:textId="77777777" w:rsidR="002247F1" w:rsidRPr="007F0FA7" w:rsidRDefault="002247F1" w:rsidP="00093B44">
      <w:pPr>
        <w:pStyle w:val="Textoindependiente"/>
        <w:rPr>
          <w:rFonts w:ascii="Humanst521 BT" w:hAnsi="Humanst521 BT"/>
          <w:sz w:val="22"/>
          <w:szCs w:val="22"/>
        </w:rPr>
      </w:pPr>
    </w:p>
    <w:p w14:paraId="6DC75151" w14:textId="77777777" w:rsidR="002247F1" w:rsidRPr="007F0FA7" w:rsidRDefault="002247F1" w:rsidP="00093B44">
      <w:pPr>
        <w:pStyle w:val="Textoindependiente"/>
        <w:rPr>
          <w:rFonts w:ascii="Humanst521 BT" w:hAnsi="Humanst521 BT"/>
          <w:sz w:val="22"/>
          <w:szCs w:val="22"/>
        </w:rPr>
      </w:pPr>
    </w:p>
    <w:p w14:paraId="7423750F" w14:textId="77777777" w:rsidR="002247F1" w:rsidRPr="007F0FA7" w:rsidRDefault="002247F1" w:rsidP="00093B44">
      <w:pPr>
        <w:pStyle w:val="Textoindependiente"/>
        <w:rPr>
          <w:rFonts w:ascii="Humanst521 BT" w:hAnsi="Humanst521 BT"/>
          <w:sz w:val="22"/>
          <w:szCs w:val="22"/>
        </w:rPr>
      </w:pPr>
    </w:p>
    <w:p w14:paraId="5AD73D46" w14:textId="77777777" w:rsidR="002247F1" w:rsidRPr="007F0FA7" w:rsidRDefault="002247F1" w:rsidP="00093B44">
      <w:pPr>
        <w:pStyle w:val="Textoindependiente"/>
        <w:rPr>
          <w:rFonts w:ascii="Humanst521 BT" w:hAnsi="Humanst521 BT"/>
          <w:sz w:val="22"/>
          <w:szCs w:val="22"/>
        </w:rPr>
      </w:pPr>
    </w:p>
    <w:p w14:paraId="2963B324" w14:textId="77777777" w:rsidR="002247F1" w:rsidRPr="007F0FA7" w:rsidRDefault="002247F1" w:rsidP="00093B44">
      <w:pPr>
        <w:pStyle w:val="Textoindependiente"/>
        <w:rPr>
          <w:rFonts w:ascii="Humanst521 BT" w:hAnsi="Humanst521 BT"/>
          <w:sz w:val="22"/>
          <w:szCs w:val="22"/>
        </w:rPr>
      </w:pPr>
    </w:p>
    <w:p w14:paraId="4DBAF6CF" w14:textId="77777777" w:rsidR="002247F1" w:rsidRPr="007F0FA7" w:rsidRDefault="002247F1" w:rsidP="00093B44">
      <w:pPr>
        <w:pStyle w:val="Textoindependiente"/>
        <w:rPr>
          <w:rFonts w:ascii="Humanst521 BT" w:hAnsi="Humanst521 BT"/>
          <w:sz w:val="22"/>
          <w:szCs w:val="22"/>
        </w:rPr>
      </w:pPr>
    </w:p>
    <w:p w14:paraId="1841E622" w14:textId="77777777" w:rsidR="002247F1" w:rsidRPr="007F0FA7" w:rsidRDefault="002247F1" w:rsidP="00093B44">
      <w:pPr>
        <w:pStyle w:val="Textoindependiente"/>
        <w:rPr>
          <w:rFonts w:ascii="Humanst521 BT" w:hAnsi="Humanst521 BT"/>
          <w:sz w:val="22"/>
          <w:szCs w:val="22"/>
        </w:rPr>
      </w:pPr>
    </w:p>
    <w:p w14:paraId="62A41C6D" w14:textId="77777777" w:rsidR="002247F1" w:rsidRPr="007F0FA7" w:rsidRDefault="002247F1" w:rsidP="00093B44">
      <w:pPr>
        <w:pStyle w:val="Textoindependiente"/>
        <w:rPr>
          <w:rFonts w:ascii="Humanst521 BT" w:hAnsi="Humanst521 BT"/>
          <w:sz w:val="22"/>
          <w:szCs w:val="22"/>
        </w:rPr>
      </w:pPr>
    </w:p>
    <w:p w14:paraId="4B0394AB" w14:textId="77777777" w:rsidR="002247F1" w:rsidRPr="007F0FA7" w:rsidRDefault="002247F1" w:rsidP="00093B44">
      <w:pPr>
        <w:pStyle w:val="Textoindependiente"/>
        <w:rPr>
          <w:rFonts w:ascii="Humanst521 BT" w:hAnsi="Humanst521 BT"/>
          <w:sz w:val="22"/>
          <w:szCs w:val="22"/>
        </w:rPr>
      </w:pPr>
    </w:p>
    <w:p w14:paraId="230FA53B" w14:textId="77777777" w:rsidR="002247F1" w:rsidRPr="007F0FA7" w:rsidRDefault="002247F1" w:rsidP="00093B44">
      <w:pPr>
        <w:pStyle w:val="Textoindependiente"/>
        <w:rPr>
          <w:rFonts w:ascii="Humanst521 BT" w:hAnsi="Humanst521 BT"/>
          <w:sz w:val="22"/>
          <w:szCs w:val="22"/>
        </w:rPr>
      </w:pPr>
    </w:p>
    <w:p w14:paraId="5907ACB9" w14:textId="77777777" w:rsidR="002247F1" w:rsidRPr="007F0FA7" w:rsidRDefault="002247F1" w:rsidP="00093B44">
      <w:pPr>
        <w:pStyle w:val="Textoindependiente"/>
        <w:rPr>
          <w:rFonts w:ascii="Humanst521 BT" w:hAnsi="Humanst521 BT"/>
          <w:sz w:val="22"/>
          <w:szCs w:val="22"/>
        </w:rPr>
      </w:pPr>
    </w:p>
    <w:p w14:paraId="639A514A" w14:textId="77777777" w:rsidR="002247F1" w:rsidRPr="007F0FA7" w:rsidRDefault="002247F1" w:rsidP="00093B44">
      <w:pPr>
        <w:pStyle w:val="Textoindependiente"/>
        <w:rPr>
          <w:rFonts w:ascii="Humanst521 BT" w:hAnsi="Humanst521 BT"/>
          <w:sz w:val="22"/>
          <w:szCs w:val="22"/>
        </w:rPr>
      </w:pPr>
    </w:p>
    <w:p w14:paraId="129C466F" w14:textId="77777777" w:rsidR="002247F1" w:rsidRPr="007F0FA7" w:rsidRDefault="002247F1" w:rsidP="00093B44">
      <w:pPr>
        <w:pStyle w:val="Textoindependiente"/>
        <w:rPr>
          <w:rFonts w:ascii="Humanst521 BT" w:hAnsi="Humanst521 BT"/>
          <w:sz w:val="22"/>
          <w:szCs w:val="22"/>
        </w:rPr>
      </w:pPr>
    </w:p>
    <w:p w14:paraId="04C42D4E" w14:textId="77777777" w:rsidR="002247F1" w:rsidRPr="007F0FA7" w:rsidRDefault="002247F1" w:rsidP="00093B44">
      <w:pPr>
        <w:pStyle w:val="Textoindependiente"/>
        <w:rPr>
          <w:rFonts w:ascii="Humanst521 BT" w:hAnsi="Humanst521 BT"/>
          <w:sz w:val="22"/>
          <w:szCs w:val="22"/>
        </w:rPr>
      </w:pPr>
    </w:p>
    <w:p w14:paraId="3878C38B" w14:textId="77777777" w:rsidR="002247F1" w:rsidRDefault="002247F1" w:rsidP="00093B44">
      <w:pPr>
        <w:pStyle w:val="Textoindependiente"/>
        <w:rPr>
          <w:rFonts w:ascii="Humanst521 BT" w:hAnsi="Humanst521 BT"/>
          <w:sz w:val="22"/>
          <w:szCs w:val="22"/>
        </w:rPr>
      </w:pPr>
    </w:p>
    <w:p w14:paraId="5A451DA5" w14:textId="77777777" w:rsidR="00F32EBB" w:rsidRDefault="00F32EBB" w:rsidP="00093B44">
      <w:pPr>
        <w:pStyle w:val="Textoindependiente"/>
        <w:rPr>
          <w:rFonts w:ascii="Humanst521 BT" w:hAnsi="Humanst521 BT"/>
          <w:sz w:val="22"/>
          <w:szCs w:val="22"/>
        </w:rPr>
      </w:pPr>
    </w:p>
    <w:p w14:paraId="2444073A" w14:textId="77777777" w:rsidR="00381B27" w:rsidRDefault="00381B27" w:rsidP="00093B44">
      <w:pPr>
        <w:pStyle w:val="Textoindependiente"/>
        <w:rPr>
          <w:rFonts w:ascii="Humanst521 BT" w:hAnsi="Humanst521 BT"/>
          <w:sz w:val="22"/>
          <w:szCs w:val="22"/>
        </w:rPr>
      </w:pPr>
    </w:p>
    <w:p w14:paraId="0BAC9004" w14:textId="77777777" w:rsidR="00381B27" w:rsidRDefault="00381B27" w:rsidP="00093B44">
      <w:pPr>
        <w:pStyle w:val="Textoindependiente"/>
        <w:rPr>
          <w:rFonts w:ascii="Humanst521 BT" w:hAnsi="Humanst521 BT"/>
          <w:sz w:val="22"/>
          <w:szCs w:val="22"/>
        </w:rPr>
      </w:pPr>
    </w:p>
    <w:p w14:paraId="69A9E1AA" w14:textId="77777777" w:rsidR="00381B27" w:rsidRDefault="00381B27" w:rsidP="00093B44">
      <w:pPr>
        <w:pStyle w:val="Textoindependiente"/>
        <w:rPr>
          <w:rFonts w:ascii="Humanst521 BT" w:hAnsi="Humanst521 BT"/>
          <w:sz w:val="22"/>
          <w:szCs w:val="22"/>
        </w:rPr>
      </w:pPr>
    </w:p>
    <w:p w14:paraId="6C6CE662" w14:textId="77777777" w:rsidR="00381B27" w:rsidRDefault="00381B27" w:rsidP="00093B44">
      <w:pPr>
        <w:pStyle w:val="Textoindependiente"/>
        <w:rPr>
          <w:rFonts w:ascii="Humanst521 BT" w:hAnsi="Humanst521 BT"/>
          <w:sz w:val="22"/>
          <w:szCs w:val="22"/>
        </w:rPr>
      </w:pPr>
    </w:p>
    <w:p w14:paraId="31C216BD" w14:textId="77777777" w:rsidR="00381B27" w:rsidRDefault="00381B27" w:rsidP="00093B44">
      <w:pPr>
        <w:pStyle w:val="Textoindependiente"/>
        <w:rPr>
          <w:rFonts w:ascii="Humanst521 BT" w:hAnsi="Humanst521 BT"/>
          <w:sz w:val="22"/>
          <w:szCs w:val="22"/>
        </w:rPr>
      </w:pPr>
    </w:p>
    <w:p w14:paraId="5A21AEF9" w14:textId="77777777" w:rsidR="00381B27" w:rsidRDefault="00381B27" w:rsidP="00093B44">
      <w:pPr>
        <w:pStyle w:val="Textoindependiente"/>
        <w:rPr>
          <w:rFonts w:ascii="Humanst521 BT" w:hAnsi="Humanst521 BT"/>
          <w:sz w:val="22"/>
          <w:szCs w:val="22"/>
        </w:rPr>
      </w:pPr>
    </w:p>
    <w:p w14:paraId="660CEBE5" w14:textId="77777777" w:rsidR="00381B27" w:rsidRDefault="00381B27" w:rsidP="00093B44">
      <w:pPr>
        <w:pStyle w:val="Textoindependiente"/>
        <w:rPr>
          <w:rFonts w:ascii="Humanst521 BT" w:hAnsi="Humanst521 BT"/>
          <w:sz w:val="22"/>
          <w:szCs w:val="22"/>
        </w:rPr>
      </w:pPr>
    </w:p>
    <w:p w14:paraId="7DBCBDF7" w14:textId="77777777" w:rsidR="00381B27" w:rsidRDefault="00381B27" w:rsidP="00093B44">
      <w:pPr>
        <w:pStyle w:val="Textoindependiente"/>
        <w:rPr>
          <w:rFonts w:ascii="Humanst521 BT" w:hAnsi="Humanst521 BT"/>
          <w:sz w:val="22"/>
          <w:szCs w:val="22"/>
        </w:rPr>
      </w:pPr>
    </w:p>
    <w:p w14:paraId="7E028D7F" w14:textId="77777777" w:rsidR="00381B27" w:rsidRDefault="00381B27" w:rsidP="00093B44">
      <w:pPr>
        <w:pStyle w:val="Textoindependiente"/>
        <w:rPr>
          <w:rFonts w:ascii="Humanst521 BT" w:hAnsi="Humanst521 BT"/>
          <w:sz w:val="22"/>
          <w:szCs w:val="22"/>
        </w:rPr>
      </w:pPr>
    </w:p>
    <w:p w14:paraId="3BF81913" w14:textId="77777777" w:rsidR="00381B27" w:rsidRDefault="00381B27" w:rsidP="00093B44">
      <w:pPr>
        <w:pStyle w:val="Textoindependiente"/>
        <w:rPr>
          <w:rFonts w:ascii="Humanst521 BT" w:hAnsi="Humanst521 BT"/>
          <w:sz w:val="22"/>
          <w:szCs w:val="22"/>
        </w:rPr>
      </w:pPr>
    </w:p>
    <w:p w14:paraId="2AE5BD12" w14:textId="77777777" w:rsidR="00381B27" w:rsidRDefault="00381B27" w:rsidP="00093B44">
      <w:pPr>
        <w:pStyle w:val="Textoindependiente"/>
        <w:rPr>
          <w:rFonts w:ascii="Humanst521 BT" w:hAnsi="Humanst521 BT"/>
          <w:sz w:val="22"/>
          <w:szCs w:val="22"/>
        </w:rPr>
      </w:pPr>
    </w:p>
    <w:p w14:paraId="0757B6C2" w14:textId="77777777" w:rsidR="00381B27" w:rsidRDefault="00381B27" w:rsidP="00093B44">
      <w:pPr>
        <w:pStyle w:val="Textoindependiente"/>
        <w:rPr>
          <w:rFonts w:ascii="Humanst521 BT" w:hAnsi="Humanst521 BT"/>
          <w:sz w:val="22"/>
          <w:szCs w:val="22"/>
        </w:rPr>
      </w:pPr>
    </w:p>
    <w:p w14:paraId="001D89F6" w14:textId="77777777" w:rsidR="00F32EBB" w:rsidRPr="007F0FA7" w:rsidRDefault="00F32EBB" w:rsidP="00093B44">
      <w:pPr>
        <w:pStyle w:val="Textoindependiente"/>
        <w:rPr>
          <w:rFonts w:ascii="Humanst521 BT" w:hAnsi="Humanst521 BT"/>
          <w:sz w:val="22"/>
          <w:szCs w:val="22"/>
        </w:rPr>
      </w:pPr>
    </w:p>
    <w:p w14:paraId="7378F453" w14:textId="77777777" w:rsidR="002247F1" w:rsidRPr="007F0FA7" w:rsidRDefault="002247F1" w:rsidP="00093B44">
      <w:pPr>
        <w:pStyle w:val="Textoindependiente"/>
        <w:rPr>
          <w:rFonts w:ascii="Humanst521 BT" w:hAnsi="Humanst521 BT"/>
          <w:sz w:val="22"/>
          <w:szCs w:val="22"/>
        </w:rPr>
      </w:pPr>
    </w:p>
    <w:p w14:paraId="3881A1EF" w14:textId="77777777" w:rsidR="002247F1" w:rsidRPr="007F0FA7" w:rsidRDefault="002247F1" w:rsidP="00093B44">
      <w:pPr>
        <w:pStyle w:val="Textoindependiente"/>
        <w:rPr>
          <w:rFonts w:ascii="Humanst521 BT" w:hAnsi="Humanst521 BT"/>
          <w:sz w:val="22"/>
          <w:szCs w:val="22"/>
        </w:rPr>
      </w:pPr>
    </w:p>
    <w:p w14:paraId="72F839D8" w14:textId="77777777" w:rsidR="00BC5824" w:rsidRPr="007F0FA7" w:rsidRDefault="00BC5824" w:rsidP="00093B44">
      <w:pPr>
        <w:pStyle w:val="Textoindependiente"/>
        <w:rPr>
          <w:rFonts w:ascii="Humanst521 BT" w:hAnsi="Humanst521 BT"/>
          <w:sz w:val="22"/>
          <w:szCs w:val="22"/>
        </w:rPr>
      </w:pPr>
    </w:p>
    <w:p w14:paraId="6D33AEE2" w14:textId="77777777" w:rsidR="00BC5824" w:rsidRPr="007F0FA7" w:rsidRDefault="00BC5824" w:rsidP="00093B44">
      <w:pPr>
        <w:pStyle w:val="Textoindependiente"/>
        <w:rPr>
          <w:rFonts w:ascii="Humanst521 BT" w:hAnsi="Humanst521 BT"/>
          <w:sz w:val="22"/>
          <w:szCs w:val="22"/>
        </w:rPr>
      </w:pPr>
    </w:p>
    <w:p w14:paraId="2273DBAE" w14:textId="77777777" w:rsidR="00BC5824" w:rsidRPr="007F0FA7" w:rsidRDefault="00BC5824" w:rsidP="00093B44">
      <w:pPr>
        <w:pStyle w:val="Textoindependiente"/>
        <w:rPr>
          <w:rFonts w:ascii="Humanst521 BT" w:hAnsi="Humanst521 BT"/>
          <w:sz w:val="22"/>
          <w:szCs w:val="22"/>
        </w:rPr>
      </w:pPr>
    </w:p>
    <w:p w14:paraId="378E6CD9" w14:textId="77777777" w:rsidR="00BC5824" w:rsidRPr="007F0FA7" w:rsidRDefault="00BC5824" w:rsidP="00093B44">
      <w:pPr>
        <w:pStyle w:val="Textoindependiente"/>
        <w:rPr>
          <w:rFonts w:ascii="Humanst521 BT" w:hAnsi="Humanst521 BT"/>
          <w:sz w:val="22"/>
          <w:szCs w:val="22"/>
        </w:rPr>
      </w:pPr>
    </w:p>
    <w:p w14:paraId="61DA99CA" w14:textId="77777777" w:rsidR="002247F1" w:rsidRPr="007F0FA7" w:rsidRDefault="002247F1" w:rsidP="00093B44">
      <w:pPr>
        <w:pStyle w:val="Textoindependiente"/>
        <w:rPr>
          <w:rFonts w:ascii="Humanst521 BT" w:hAnsi="Humanst521 BT"/>
          <w:sz w:val="22"/>
          <w:szCs w:val="22"/>
        </w:rPr>
      </w:pPr>
    </w:p>
    <w:p w14:paraId="51921005" w14:textId="77777777" w:rsidR="00673C58" w:rsidRPr="007F0FA7" w:rsidRDefault="00673C58" w:rsidP="00093B44">
      <w:pPr>
        <w:pStyle w:val="Textoindependiente"/>
        <w:rPr>
          <w:rFonts w:ascii="Humanst521 BT" w:hAnsi="Humanst521 BT"/>
          <w:sz w:val="22"/>
          <w:szCs w:val="22"/>
        </w:rPr>
      </w:pPr>
    </w:p>
    <w:p w14:paraId="2154EC31" w14:textId="77777777" w:rsidR="00673C58" w:rsidRPr="007F0FA7" w:rsidRDefault="00673C58" w:rsidP="00093B44">
      <w:pPr>
        <w:pStyle w:val="Textoindependiente"/>
        <w:rPr>
          <w:rFonts w:ascii="Humanst521 BT" w:hAnsi="Humanst521 BT"/>
          <w:b/>
          <w:bCs/>
          <w:sz w:val="22"/>
          <w:szCs w:val="22"/>
        </w:rPr>
      </w:pPr>
    </w:p>
    <w:p w14:paraId="3B66C795" w14:textId="77777777" w:rsidR="009B584B" w:rsidRPr="00BA3C63" w:rsidRDefault="009B584B" w:rsidP="00BA3C63">
      <w:pPr>
        <w:jc w:val="center"/>
        <w:rPr>
          <w:rFonts w:ascii="Humanst521 BT" w:eastAsiaTheme="majorEastAsia" w:hAnsi="Humanst521 BT" w:cstheme="majorBidi"/>
          <w:b/>
          <w:bCs/>
          <w:color w:val="2F5496" w:themeColor="accent1" w:themeShade="BF"/>
          <w:sz w:val="32"/>
          <w:szCs w:val="32"/>
          <w:lang w:eastAsia="es-CO"/>
        </w:rPr>
      </w:pPr>
      <w:r w:rsidRPr="00BA3C63">
        <w:rPr>
          <w:rFonts w:ascii="Humanst521 BT" w:eastAsiaTheme="majorEastAsia" w:hAnsi="Humanst521 BT" w:cstheme="majorBidi"/>
          <w:b/>
          <w:bCs/>
          <w:color w:val="2F5496" w:themeColor="accent1" w:themeShade="BF"/>
          <w:sz w:val="32"/>
          <w:szCs w:val="32"/>
          <w:lang w:eastAsia="es-CO"/>
        </w:rPr>
        <w:t>LISTA DE FIGURAS</w:t>
      </w:r>
    </w:p>
    <w:p w14:paraId="71036376" w14:textId="77777777" w:rsidR="009B584B" w:rsidRPr="00BA3C63" w:rsidRDefault="009B584B" w:rsidP="00BA3C63">
      <w:pPr>
        <w:jc w:val="center"/>
        <w:rPr>
          <w:rFonts w:ascii="Humanst521 BT" w:eastAsiaTheme="majorEastAsia" w:hAnsi="Humanst521 BT" w:cstheme="majorBidi"/>
          <w:b/>
          <w:bCs/>
          <w:color w:val="2F5496" w:themeColor="accent1" w:themeShade="BF"/>
          <w:sz w:val="32"/>
          <w:szCs w:val="32"/>
          <w:lang w:eastAsia="es-CO"/>
        </w:rPr>
      </w:pPr>
    </w:p>
    <w:p w14:paraId="53953056" w14:textId="294F3DA7" w:rsidR="00735F2B" w:rsidRDefault="009B584B">
      <w:pPr>
        <w:pStyle w:val="Tabladeilustraciones"/>
        <w:tabs>
          <w:tab w:val="right" w:leader="dot" w:pos="9550"/>
        </w:tabs>
        <w:rPr>
          <w:rFonts w:eastAsiaTheme="minorEastAsia"/>
          <w:noProof/>
          <w:sz w:val="22"/>
          <w:lang w:eastAsia="es-CO"/>
        </w:rPr>
      </w:pPr>
      <w:r w:rsidRPr="007F0FA7">
        <w:rPr>
          <w:rFonts w:ascii="Humanst521 BT" w:hAnsi="Humanst521 BT"/>
          <w:sz w:val="18"/>
          <w:szCs w:val="18"/>
        </w:rPr>
        <w:fldChar w:fldCharType="begin"/>
      </w:r>
      <w:r w:rsidRPr="007F0FA7">
        <w:rPr>
          <w:rFonts w:ascii="Humanst521 BT" w:hAnsi="Humanst521 BT"/>
          <w:sz w:val="18"/>
          <w:szCs w:val="18"/>
        </w:rPr>
        <w:instrText xml:space="preserve"> TOC \h \z \c "Figura " </w:instrText>
      </w:r>
      <w:r w:rsidRPr="007F0FA7">
        <w:rPr>
          <w:rFonts w:ascii="Humanst521 BT" w:hAnsi="Humanst521 BT"/>
          <w:sz w:val="18"/>
          <w:szCs w:val="18"/>
        </w:rPr>
        <w:fldChar w:fldCharType="separate"/>
      </w:r>
      <w:hyperlink w:anchor="_Toc231286763" w:history="1">
        <w:r w:rsidR="00735F2B" w:rsidRPr="0047309F">
          <w:rPr>
            <w:rStyle w:val="Hipervnculo"/>
            <w:rFonts w:ascii="Humanst521 BT" w:eastAsia="Verdana" w:hAnsi="Humanst521 BT" w:cs="Verdana"/>
            <w:noProof/>
            <w:lang w:val="es-ES"/>
          </w:rPr>
          <w:t>Figura  1: Comportamiento de la morbilidad según gran causa, UISALUD, 2016-2025</w:t>
        </w:r>
        <w:r w:rsidR="00735F2B">
          <w:rPr>
            <w:noProof/>
            <w:webHidden/>
          </w:rPr>
          <w:tab/>
        </w:r>
        <w:r w:rsidR="00735F2B">
          <w:rPr>
            <w:noProof/>
            <w:webHidden/>
          </w:rPr>
          <w:fldChar w:fldCharType="begin"/>
        </w:r>
        <w:r w:rsidR="00735F2B">
          <w:rPr>
            <w:noProof/>
            <w:webHidden/>
          </w:rPr>
          <w:instrText xml:space="preserve"> PAGEREF _Toc231286763 \h </w:instrText>
        </w:r>
        <w:r w:rsidR="00735F2B">
          <w:rPr>
            <w:noProof/>
            <w:webHidden/>
          </w:rPr>
        </w:r>
        <w:r w:rsidR="00735F2B">
          <w:rPr>
            <w:noProof/>
            <w:webHidden/>
          </w:rPr>
          <w:fldChar w:fldCharType="separate"/>
        </w:r>
        <w:r w:rsidR="00735F2B">
          <w:rPr>
            <w:noProof/>
            <w:webHidden/>
          </w:rPr>
          <w:t>46</w:t>
        </w:r>
        <w:r w:rsidR="00735F2B">
          <w:rPr>
            <w:noProof/>
            <w:webHidden/>
          </w:rPr>
          <w:fldChar w:fldCharType="end"/>
        </w:r>
      </w:hyperlink>
    </w:p>
    <w:p w14:paraId="1D6C3254" w14:textId="14BBE039" w:rsidR="00735F2B" w:rsidRDefault="007C0226">
      <w:pPr>
        <w:pStyle w:val="Tabladeilustraciones"/>
        <w:tabs>
          <w:tab w:val="right" w:leader="dot" w:pos="9550"/>
        </w:tabs>
        <w:rPr>
          <w:rFonts w:eastAsiaTheme="minorEastAsia"/>
          <w:noProof/>
          <w:sz w:val="22"/>
          <w:lang w:eastAsia="es-CO"/>
        </w:rPr>
      </w:pPr>
      <w:hyperlink w:anchor="_Toc231286764" w:history="1">
        <w:r w:rsidR="00735F2B" w:rsidRPr="0047309F">
          <w:rPr>
            <w:rStyle w:val="Hipervnculo"/>
            <w:rFonts w:ascii="Humanst521 BT" w:eastAsia="Verdana" w:hAnsi="Humanst521 BT" w:cs="Verdana"/>
            <w:noProof/>
            <w:lang w:val="es-ES"/>
          </w:rPr>
          <w:t>Figura  2: Distribución de los casos eventos de interés en salud pública, UISALUD, - 2025</w:t>
        </w:r>
        <w:r w:rsidR="00735F2B">
          <w:rPr>
            <w:noProof/>
            <w:webHidden/>
          </w:rPr>
          <w:tab/>
        </w:r>
        <w:r w:rsidR="00735F2B">
          <w:rPr>
            <w:noProof/>
            <w:webHidden/>
          </w:rPr>
          <w:fldChar w:fldCharType="begin"/>
        </w:r>
        <w:r w:rsidR="00735F2B">
          <w:rPr>
            <w:noProof/>
            <w:webHidden/>
          </w:rPr>
          <w:instrText xml:space="preserve"> PAGEREF _Toc231286764 \h </w:instrText>
        </w:r>
        <w:r w:rsidR="00735F2B">
          <w:rPr>
            <w:noProof/>
            <w:webHidden/>
          </w:rPr>
        </w:r>
        <w:r w:rsidR="00735F2B">
          <w:rPr>
            <w:noProof/>
            <w:webHidden/>
          </w:rPr>
          <w:fldChar w:fldCharType="separate"/>
        </w:r>
        <w:r w:rsidR="00735F2B">
          <w:rPr>
            <w:noProof/>
            <w:webHidden/>
          </w:rPr>
          <w:t>50</w:t>
        </w:r>
        <w:r w:rsidR="00735F2B">
          <w:rPr>
            <w:noProof/>
            <w:webHidden/>
          </w:rPr>
          <w:fldChar w:fldCharType="end"/>
        </w:r>
      </w:hyperlink>
    </w:p>
    <w:p w14:paraId="5AD3873F" w14:textId="15A77DF5" w:rsidR="00735F2B" w:rsidRDefault="007C0226">
      <w:pPr>
        <w:pStyle w:val="Tabladeilustraciones"/>
        <w:tabs>
          <w:tab w:val="right" w:leader="dot" w:pos="9550"/>
        </w:tabs>
        <w:rPr>
          <w:rFonts w:eastAsiaTheme="minorEastAsia"/>
          <w:noProof/>
          <w:sz w:val="22"/>
          <w:lang w:eastAsia="es-CO"/>
        </w:rPr>
      </w:pPr>
      <w:hyperlink w:anchor="_Toc231286765" w:history="1">
        <w:r w:rsidR="00735F2B" w:rsidRPr="0047309F">
          <w:rPr>
            <w:rStyle w:val="Hipervnculo"/>
            <w:rFonts w:ascii="Humanst521 BT" w:eastAsia="Verdana" w:hAnsi="Humanst521 BT" w:cs="Verdana"/>
            <w:noProof/>
            <w:lang w:val="es-ES"/>
          </w:rPr>
          <w:t>Figura  3.</w:t>
        </w:r>
        <w:r w:rsidR="00735F2B" w:rsidRPr="0047309F">
          <w:rPr>
            <w:rStyle w:val="Hipervnculo"/>
            <w:noProof/>
          </w:rPr>
          <w:t xml:space="preserve"> </w:t>
        </w:r>
        <w:r w:rsidR="00735F2B" w:rsidRPr="0047309F">
          <w:rPr>
            <w:rStyle w:val="Hipervnculo"/>
            <w:rFonts w:ascii="Humanst521 BT" w:eastAsia="Verdana" w:hAnsi="Humanst521 BT"/>
            <w:noProof/>
            <w:lang w:val="es-ES"/>
          </w:rPr>
          <w:t>Curvas de supervivencia por tipo de cáncer (Kaplan-Meier)</w:t>
        </w:r>
        <w:r w:rsidR="00735F2B">
          <w:rPr>
            <w:noProof/>
            <w:webHidden/>
          </w:rPr>
          <w:tab/>
        </w:r>
        <w:r w:rsidR="00735F2B">
          <w:rPr>
            <w:noProof/>
            <w:webHidden/>
          </w:rPr>
          <w:fldChar w:fldCharType="begin"/>
        </w:r>
        <w:r w:rsidR="00735F2B">
          <w:rPr>
            <w:noProof/>
            <w:webHidden/>
          </w:rPr>
          <w:instrText xml:space="preserve"> PAGEREF _Toc231286765 \h </w:instrText>
        </w:r>
        <w:r w:rsidR="00735F2B">
          <w:rPr>
            <w:noProof/>
            <w:webHidden/>
          </w:rPr>
        </w:r>
        <w:r w:rsidR="00735F2B">
          <w:rPr>
            <w:noProof/>
            <w:webHidden/>
          </w:rPr>
          <w:fldChar w:fldCharType="separate"/>
        </w:r>
        <w:r w:rsidR="00735F2B">
          <w:rPr>
            <w:noProof/>
            <w:webHidden/>
          </w:rPr>
          <w:t>56</w:t>
        </w:r>
        <w:r w:rsidR="00735F2B">
          <w:rPr>
            <w:noProof/>
            <w:webHidden/>
          </w:rPr>
          <w:fldChar w:fldCharType="end"/>
        </w:r>
      </w:hyperlink>
    </w:p>
    <w:p w14:paraId="7FF867B4" w14:textId="76377856" w:rsidR="00735F2B" w:rsidRDefault="007C0226">
      <w:pPr>
        <w:pStyle w:val="Tabladeilustraciones"/>
        <w:tabs>
          <w:tab w:val="right" w:leader="dot" w:pos="9550"/>
        </w:tabs>
        <w:rPr>
          <w:rFonts w:eastAsiaTheme="minorEastAsia"/>
          <w:noProof/>
          <w:sz w:val="22"/>
          <w:lang w:eastAsia="es-CO"/>
        </w:rPr>
      </w:pPr>
      <w:hyperlink w:anchor="_Toc231286766" w:history="1">
        <w:r w:rsidR="00735F2B" w:rsidRPr="0047309F">
          <w:rPr>
            <w:rStyle w:val="Hipervnculo"/>
            <w:rFonts w:ascii="Humanst521 BT" w:eastAsia="Verdana" w:hAnsi="Humanst521 BT" w:cs="Verdana"/>
            <w:noProof/>
            <w:lang w:val="es-ES"/>
          </w:rPr>
          <w:t>Figura  4. Distribución de casos de artritis según sexo y grupo de edad, UISALUD, 2025</w:t>
        </w:r>
        <w:r w:rsidR="00735F2B">
          <w:rPr>
            <w:noProof/>
            <w:webHidden/>
          </w:rPr>
          <w:tab/>
        </w:r>
        <w:r w:rsidR="00735F2B">
          <w:rPr>
            <w:noProof/>
            <w:webHidden/>
          </w:rPr>
          <w:fldChar w:fldCharType="begin"/>
        </w:r>
        <w:r w:rsidR="00735F2B">
          <w:rPr>
            <w:noProof/>
            <w:webHidden/>
          </w:rPr>
          <w:instrText xml:space="preserve"> PAGEREF _Toc231286766 \h </w:instrText>
        </w:r>
        <w:r w:rsidR="00735F2B">
          <w:rPr>
            <w:noProof/>
            <w:webHidden/>
          </w:rPr>
        </w:r>
        <w:r w:rsidR="00735F2B">
          <w:rPr>
            <w:noProof/>
            <w:webHidden/>
          </w:rPr>
          <w:fldChar w:fldCharType="separate"/>
        </w:r>
        <w:r w:rsidR="00735F2B">
          <w:rPr>
            <w:noProof/>
            <w:webHidden/>
          </w:rPr>
          <w:t>57</w:t>
        </w:r>
        <w:r w:rsidR="00735F2B">
          <w:rPr>
            <w:noProof/>
            <w:webHidden/>
          </w:rPr>
          <w:fldChar w:fldCharType="end"/>
        </w:r>
      </w:hyperlink>
    </w:p>
    <w:p w14:paraId="77AF7333" w14:textId="224F8AFC" w:rsidR="00735F2B" w:rsidRDefault="007C0226">
      <w:pPr>
        <w:pStyle w:val="Tabladeilustraciones"/>
        <w:tabs>
          <w:tab w:val="right" w:leader="dot" w:pos="9550"/>
        </w:tabs>
        <w:rPr>
          <w:rFonts w:eastAsiaTheme="minorEastAsia"/>
          <w:noProof/>
          <w:sz w:val="22"/>
          <w:lang w:eastAsia="es-CO"/>
        </w:rPr>
      </w:pPr>
      <w:hyperlink w:anchor="_Toc231286767" w:history="1">
        <w:r w:rsidR="00735F2B" w:rsidRPr="0047309F">
          <w:rPr>
            <w:rStyle w:val="Hipervnculo"/>
            <w:rFonts w:eastAsia="Verdana" w:cs="Verdana"/>
            <w:noProof/>
            <w:lang w:val="es-ES"/>
          </w:rPr>
          <w:t>Figura  5.</w:t>
        </w:r>
        <w:r w:rsidR="00735F2B" w:rsidRPr="0047309F">
          <w:rPr>
            <w:rStyle w:val="Hipervnculo"/>
            <w:noProof/>
          </w:rPr>
          <w:t>Distribución de número de días por clasificación de afiliado</w:t>
        </w:r>
        <w:r w:rsidR="00735F2B">
          <w:rPr>
            <w:noProof/>
            <w:webHidden/>
          </w:rPr>
          <w:tab/>
        </w:r>
        <w:r w:rsidR="00735F2B">
          <w:rPr>
            <w:noProof/>
            <w:webHidden/>
          </w:rPr>
          <w:fldChar w:fldCharType="begin"/>
        </w:r>
        <w:r w:rsidR="00735F2B">
          <w:rPr>
            <w:noProof/>
            <w:webHidden/>
          </w:rPr>
          <w:instrText xml:space="preserve"> PAGEREF _Toc231286767 \h </w:instrText>
        </w:r>
        <w:r w:rsidR="00735F2B">
          <w:rPr>
            <w:noProof/>
            <w:webHidden/>
          </w:rPr>
        </w:r>
        <w:r w:rsidR="00735F2B">
          <w:rPr>
            <w:noProof/>
            <w:webHidden/>
          </w:rPr>
          <w:fldChar w:fldCharType="separate"/>
        </w:r>
        <w:r w:rsidR="00735F2B">
          <w:rPr>
            <w:noProof/>
            <w:webHidden/>
          </w:rPr>
          <w:t>63</w:t>
        </w:r>
        <w:r w:rsidR="00735F2B">
          <w:rPr>
            <w:noProof/>
            <w:webHidden/>
          </w:rPr>
          <w:fldChar w:fldCharType="end"/>
        </w:r>
      </w:hyperlink>
    </w:p>
    <w:p w14:paraId="20E373D3" w14:textId="370EA7D5" w:rsidR="00735F2B" w:rsidRDefault="007C0226">
      <w:pPr>
        <w:pStyle w:val="Tabladeilustraciones"/>
        <w:tabs>
          <w:tab w:val="right" w:leader="dot" w:pos="9550"/>
        </w:tabs>
        <w:rPr>
          <w:rFonts w:eastAsiaTheme="minorEastAsia"/>
          <w:noProof/>
          <w:sz w:val="22"/>
          <w:lang w:eastAsia="es-CO"/>
        </w:rPr>
      </w:pPr>
      <w:hyperlink w:anchor="_Toc231286768" w:history="1">
        <w:r w:rsidR="00735F2B" w:rsidRPr="0047309F">
          <w:rPr>
            <w:rStyle w:val="Hipervnculo"/>
            <w:rFonts w:ascii="Humanst521 BT" w:eastAsia="Verdana" w:hAnsi="Humanst521 BT" w:cs="Verdana"/>
            <w:noProof/>
            <w:lang w:val="es-ES"/>
          </w:rPr>
          <w:t>Figura  6.  Tasa ajustada de mortalidad por subgrupos en mujeres UISALUD, 2024</w:t>
        </w:r>
        <w:r w:rsidR="00735F2B">
          <w:rPr>
            <w:noProof/>
            <w:webHidden/>
          </w:rPr>
          <w:tab/>
        </w:r>
        <w:r w:rsidR="00735F2B">
          <w:rPr>
            <w:noProof/>
            <w:webHidden/>
          </w:rPr>
          <w:fldChar w:fldCharType="begin"/>
        </w:r>
        <w:r w:rsidR="00735F2B">
          <w:rPr>
            <w:noProof/>
            <w:webHidden/>
          </w:rPr>
          <w:instrText xml:space="preserve"> PAGEREF _Toc231286768 \h </w:instrText>
        </w:r>
        <w:r w:rsidR="00735F2B">
          <w:rPr>
            <w:noProof/>
            <w:webHidden/>
          </w:rPr>
        </w:r>
        <w:r w:rsidR="00735F2B">
          <w:rPr>
            <w:noProof/>
            <w:webHidden/>
          </w:rPr>
          <w:fldChar w:fldCharType="separate"/>
        </w:r>
        <w:r w:rsidR="00735F2B">
          <w:rPr>
            <w:noProof/>
            <w:webHidden/>
          </w:rPr>
          <w:t>74</w:t>
        </w:r>
        <w:r w:rsidR="00735F2B">
          <w:rPr>
            <w:noProof/>
            <w:webHidden/>
          </w:rPr>
          <w:fldChar w:fldCharType="end"/>
        </w:r>
      </w:hyperlink>
    </w:p>
    <w:p w14:paraId="50DF28B6" w14:textId="5383E519" w:rsidR="00735F2B" w:rsidRDefault="007C0226">
      <w:pPr>
        <w:pStyle w:val="Tabladeilustraciones"/>
        <w:tabs>
          <w:tab w:val="right" w:leader="dot" w:pos="9550"/>
        </w:tabs>
        <w:rPr>
          <w:rFonts w:eastAsiaTheme="minorEastAsia"/>
          <w:noProof/>
          <w:sz w:val="22"/>
          <w:lang w:eastAsia="es-CO"/>
        </w:rPr>
      </w:pPr>
      <w:hyperlink w:anchor="_Toc231286769" w:history="1">
        <w:r w:rsidR="00735F2B" w:rsidRPr="0047309F">
          <w:rPr>
            <w:rStyle w:val="Hipervnculo"/>
            <w:rFonts w:ascii="Humanst521 BT" w:eastAsia="Verdana" w:hAnsi="Humanst521 BT" w:cs="Verdana"/>
            <w:noProof/>
            <w:lang w:val="es-ES"/>
          </w:rPr>
          <w:t>Figura  7. Tasa ajustada de mortalidad por subgrupos en hombres UISALUD, 2023.</w:t>
        </w:r>
        <w:r w:rsidR="00735F2B">
          <w:rPr>
            <w:noProof/>
            <w:webHidden/>
          </w:rPr>
          <w:tab/>
        </w:r>
        <w:r w:rsidR="00735F2B">
          <w:rPr>
            <w:noProof/>
            <w:webHidden/>
          </w:rPr>
          <w:fldChar w:fldCharType="begin"/>
        </w:r>
        <w:r w:rsidR="00735F2B">
          <w:rPr>
            <w:noProof/>
            <w:webHidden/>
          </w:rPr>
          <w:instrText xml:space="preserve"> PAGEREF _Toc231286769 \h </w:instrText>
        </w:r>
        <w:r w:rsidR="00735F2B">
          <w:rPr>
            <w:noProof/>
            <w:webHidden/>
          </w:rPr>
        </w:r>
        <w:r w:rsidR="00735F2B">
          <w:rPr>
            <w:noProof/>
            <w:webHidden/>
          </w:rPr>
          <w:fldChar w:fldCharType="separate"/>
        </w:r>
        <w:r w:rsidR="00735F2B">
          <w:rPr>
            <w:noProof/>
            <w:webHidden/>
          </w:rPr>
          <w:t>76</w:t>
        </w:r>
        <w:r w:rsidR="00735F2B">
          <w:rPr>
            <w:noProof/>
            <w:webHidden/>
          </w:rPr>
          <w:fldChar w:fldCharType="end"/>
        </w:r>
      </w:hyperlink>
    </w:p>
    <w:p w14:paraId="1C29BDC3" w14:textId="509BBAFB" w:rsidR="00735F2B" w:rsidRDefault="007C0226">
      <w:pPr>
        <w:pStyle w:val="Tabladeilustraciones"/>
        <w:tabs>
          <w:tab w:val="right" w:leader="dot" w:pos="9550"/>
        </w:tabs>
        <w:rPr>
          <w:rFonts w:eastAsiaTheme="minorEastAsia"/>
          <w:noProof/>
          <w:sz w:val="22"/>
          <w:lang w:eastAsia="es-CO"/>
        </w:rPr>
      </w:pPr>
      <w:hyperlink w:anchor="_Toc231286770" w:history="1">
        <w:r w:rsidR="00735F2B" w:rsidRPr="0047309F">
          <w:rPr>
            <w:rStyle w:val="Hipervnculo"/>
            <w:rFonts w:ascii="Humanst521 BT" w:eastAsia="Verdana" w:hAnsi="Humanst521 BT" w:cs="Verdana"/>
            <w:noProof/>
            <w:lang w:val="es-ES"/>
          </w:rPr>
          <w:t>Figura  8. Tasa de mortalidad ajustada por edad según subgrupos de muerte en hombres, UISALUD Santander 2024.</w:t>
        </w:r>
        <w:r w:rsidR="00735F2B">
          <w:rPr>
            <w:noProof/>
            <w:webHidden/>
          </w:rPr>
          <w:tab/>
        </w:r>
        <w:r w:rsidR="00735F2B">
          <w:rPr>
            <w:noProof/>
            <w:webHidden/>
          </w:rPr>
          <w:fldChar w:fldCharType="begin"/>
        </w:r>
        <w:r w:rsidR="00735F2B">
          <w:rPr>
            <w:noProof/>
            <w:webHidden/>
          </w:rPr>
          <w:instrText xml:space="preserve"> PAGEREF _Toc231286770 \h </w:instrText>
        </w:r>
        <w:r w:rsidR="00735F2B">
          <w:rPr>
            <w:noProof/>
            <w:webHidden/>
          </w:rPr>
        </w:r>
        <w:r w:rsidR="00735F2B">
          <w:rPr>
            <w:noProof/>
            <w:webHidden/>
          </w:rPr>
          <w:fldChar w:fldCharType="separate"/>
        </w:r>
        <w:r w:rsidR="00735F2B">
          <w:rPr>
            <w:noProof/>
            <w:webHidden/>
          </w:rPr>
          <w:t>78</w:t>
        </w:r>
        <w:r w:rsidR="00735F2B">
          <w:rPr>
            <w:noProof/>
            <w:webHidden/>
          </w:rPr>
          <w:fldChar w:fldCharType="end"/>
        </w:r>
      </w:hyperlink>
    </w:p>
    <w:p w14:paraId="0861AE0C" w14:textId="573D5F27" w:rsidR="00735F2B" w:rsidRDefault="007C0226">
      <w:pPr>
        <w:pStyle w:val="Tabladeilustraciones"/>
        <w:tabs>
          <w:tab w:val="right" w:leader="dot" w:pos="9550"/>
        </w:tabs>
        <w:rPr>
          <w:rFonts w:eastAsiaTheme="minorEastAsia"/>
          <w:noProof/>
          <w:sz w:val="22"/>
          <w:lang w:eastAsia="es-CO"/>
        </w:rPr>
      </w:pPr>
      <w:hyperlink w:anchor="_Toc231286771" w:history="1">
        <w:r w:rsidR="00735F2B" w:rsidRPr="0047309F">
          <w:rPr>
            <w:rStyle w:val="Hipervnculo"/>
            <w:rFonts w:ascii="Humanst521 BT" w:eastAsia="Verdana" w:hAnsi="Humanst521 BT" w:cs="Verdana"/>
            <w:noProof/>
            <w:lang w:val="es-ES"/>
          </w:rPr>
          <w:t>Figura  9. Tasas ajustadas de AVPP en población total, UISALUD 2024</w:t>
        </w:r>
        <w:r w:rsidR="00735F2B">
          <w:rPr>
            <w:noProof/>
            <w:webHidden/>
          </w:rPr>
          <w:tab/>
        </w:r>
        <w:r w:rsidR="00735F2B">
          <w:rPr>
            <w:noProof/>
            <w:webHidden/>
          </w:rPr>
          <w:fldChar w:fldCharType="begin"/>
        </w:r>
        <w:r w:rsidR="00735F2B">
          <w:rPr>
            <w:noProof/>
            <w:webHidden/>
          </w:rPr>
          <w:instrText xml:space="preserve"> PAGEREF _Toc231286771 \h </w:instrText>
        </w:r>
        <w:r w:rsidR="00735F2B">
          <w:rPr>
            <w:noProof/>
            <w:webHidden/>
          </w:rPr>
        </w:r>
        <w:r w:rsidR="00735F2B">
          <w:rPr>
            <w:noProof/>
            <w:webHidden/>
          </w:rPr>
          <w:fldChar w:fldCharType="separate"/>
        </w:r>
        <w:r w:rsidR="00735F2B">
          <w:rPr>
            <w:noProof/>
            <w:webHidden/>
          </w:rPr>
          <w:t>79</w:t>
        </w:r>
        <w:r w:rsidR="00735F2B">
          <w:rPr>
            <w:noProof/>
            <w:webHidden/>
          </w:rPr>
          <w:fldChar w:fldCharType="end"/>
        </w:r>
      </w:hyperlink>
    </w:p>
    <w:p w14:paraId="265EAB6C" w14:textId="30C11B09" w:rsidR="00735F2B" w:rsidRDefault="007C0226">
      <w:pPr>
        <w:pStyle w:val="Tabladeilustraciones"/>
        <w:tabs>
          <w:tab w:val="right" w:leader="dot" w:pos="9550"/>
        </w:tabs>
        <w:rPr>
          <w:rFonts w:eastAsiaTheme="minorEastAsia"/>
          <w:noProof/>
          <w:sz w:val="22"/>
          <w:lang w:eastAsia="es-CO"/>
        </w:rPr>
      </w:pPr>
      <w:hyperlink w:anchor="_Toc231286772" w:history="1">
        <w:r w:rsidR="00735F2B" w:rsidRPr="0047309F">
          <w:rPr>
            <w:rStyle w:val="Hipervnculo"/>
            <w:rFonts w:ascii="Humanst521 BT" w:eastAsia="Verdana" w:hAnsi="Humanst521 BT" w:cs="Verdana"/>
            <w:noProof/>
            <w:lang w:val="es-ES"/>
          </w:rPr>
          <w:t>Figura 10. Tasas ajustadas de AVPP en mujeres, UISALUD 2024</w:t>
        </w:r>
        <w:r w:rsidR="00735F2B">
          <w:rPr>
            <w:noProof/>
            <w:webHidden/>
          </w:rPr>
          <w:tab/>
        </w:r>
        <w:r w:rsidR="00735F2B">
          <w:rPr>
            <w:noProof/>
            <w:webHidden/>
          </w:rPr>
          <w:fldChar w:fldCharType="begin"/>
        </w:r>
        <w:r w:rsidR="00735F2B">
          <w:rPr>
            <w:noProof/>
            <w:webHidden/>
          </w:rPr>
          <w:instrText xml:space="preserve"> PAGEREF _Toc231286772 \h </w:instrText>
        </w:r>
        <w:r w:rsidR="00735F2B">
          <w:rPr>
            <w:noProof/>
            <w:webHidden/>
          </w:rPr>
        </w:r>
        <w:r w:rsidR="00735F2B">
          <w:rPr>
            <w:noProof/>
            <w:webHidden/>
          </w:rPr>
          <w:fldChar w:fldCharType="separate"/>
        </w:r>
        <w:r w:rsidR="00735F2B">
          <w:rPr>
            <w:noProof/>
            <w:webHidden/>
          </w:rPr>
          <w:t>83</w:t>
        </w:r>
        <w:r w:rsidR="00735F2B">
          <w:rPr>
            <w:noProof/>
            <w:webHidden/>
          </w:rPr>
          <w:fldChar w:fldCharType="end"/>
        </w:r>
      </w:hyperlink>
    </w:p>
    <w:p w14:paraId="18E31665" w14:textId="3A9A573B" w:rsidR="00735F2B" w:rsidRDefault="007C0226">
      <w:pPr>
        <w:pStyle w:val="Tabladeilustraciones"/>
        <w:tabs>
          <w:tab w:val="right" w:leader="dot" w:pos="9550"/>
        </w:tabs>
        <w:rPr>
          <w:rFonts w:eastAsiaTheme="minorEastAsia"/>
          <w:noProof/>
          <w:sz w:val="22"/>
          <w:lang w:eastAsia="es-CO"/>
        </w:rPr>
      </w:pPr>
      <w:hyperlink w:anchor="_Toc231286773" w:history="1">
        <w:r w:rsidR="00735F2B" w:rsidRPr="0047309F">
          <w:rPr>
            <w:rStyle w:val="Hipervnculo"/>
            <w:rFonts w:ascii="Humanst521 BT" w:eastAsia="Verdana" w:hAnsi="Humanst521 BT" w:cs="Verdana"/>
            <w:noProof/>
            <w:lang w:val="es-ES"/>
          </w:rPr>
          <w:t xml:space="preserve">Figura 11. </w:t>
        </w:r>
        <w:r w:rsidR="00735F2B" w:rsidRPr="0047309F">
          <w:rPr>
            <w:rStyle w:val="Hipervnculo"/>
            <w:rFonts w:ascii="Humanst521 BT" w:hAnsi="Humanst521 BT"/>
            <w:noProof/>
          </w:rPr>
          <w:t>Promedio de edad y mediana de edad de los casos fallecidos, UISALUD, 2024</w:t>
        </w:r>
        <w:r w:rsidR="00735F2B">
          <w:rPr>
            <w:noProof/>
            <w:webHidden/>
          </w:rPr>
          <w:tab/>
        </w:r>
        <w:r w:rsidR="00735F2B">
          <w:rPr>
            <w:noProof/>
            <w:webHidden/>
          </w:rPr>
          <w:fldChar w:fldCharType="begin"/>
        </w:r>
        <w:r w:rsidR="00735F2B">
          <w:rPr>
            <w:noProof/>
            <w:webHidden/>
          </w:rPr>
          <w:instrText xml:space="preserve"> PAGEREF _Toc231286773 \h </w:instrText>
        </w:r>
        <w:r w:rsidR="00735F2B">
          <w:rPr>
            <w:noProof/>
            <w:webHidden/>
          </w:rPr>
        </w:r>
        <w:r w:rsidR="00735F2B">
          <w:rPr>
            <w:noProof/>
            <w:webHidden/>
          </w:rPr>
          <w:fldChar w:fldCharType="separate"/>
        </w:r>
        <w:r w:rsidR="00735F2B">
          <w:rPr>
            <w:noProof/>
            <w:webHidden/>
          </w:rPr>
          <w:t>89</w:t>
        </w:r>
        <w:r w:rsidR="00735F2B">
          <w:rPr>
            <w:noProof/>
            <w:webHidden/>
          </w:rPr>
          <w:fldChar w:fldCharType="end"/>
        </w:r>
      </w:hyperlink>
    </w:p>
    <w:p w14:paraId="6C053BFF" w14:textId="5ADED118" w:rsidR="00C62F21" w:rsidRDefault="009B584B" w:rsidP="00093B44">
      <w:pPr>
        <w:spacing w:before="1"/>
        <w:ind w:left="20" w:right="39"/>
        <w:jc w:val="center"/>
        <w:rPr>
          <w:rFonts w:ascii="Humanst521 BT" w:eastAsia="Calibri" w:hAnsi="Humanst521 BT"/>
          <w:sz w:val="18"/>
          <w:szCs w:val="18"/>
        </w:rPr>
      </w:pPr>
      <w:r w:rsidRPr="007F0FA7">
        <w:rPr>
          <w:rFonts w:ascii="Humanst521 BT" w:eastAsia="Calibri" w:hAnsi="Humanst521 BT"/>
          <w:sz w:val="18"/>
          <w:szCs w:val="18"/>
        </w:rPr>
        <w:fldChar w:fldCharType="end"/>
      </w:r>
    </w:p>
    <w:p w14:paraId="7D435793" w14:textId="65EE2397" w:rsidR="00244200" w:rsidRDefault="00244200" w:rsidP="00093B44">
      <w:pPr>
        <w:spacing w:before="1"/>
        <w:ind w:left="20" w:right="39"/>
        <w:jc w:val="center"/>
        <w:rPr>
          <w:rFonts w:ascii="Humanst521 BT" w:hAnsi="Humanst521 BT"/>
          <w:b/>
        </w:rPr>
      </w:pPr>
    </w:p>
    <w:p w14:paraId="4A4EA63E" w14:textId="77777777" w:rsidR="00E20FAA" w:rsidRDefault="00E20FAA" w:rsidP="00093B44">
      <w:pPr>
        <w:spacing w:before="1"/>
        <w:ind w:left="20" w:right="39"/>
        <w:jc w:val="center"/>
        <w:rPr>
          <w:rFonts w:ascii="Humanst521 BT" w:hAnsi="Humanst521 BT"/>
          <w:b/>
        </w:rPr>
      </w:pPr>
    </w:p>
    <w:p w14:paraId="5A268C10" w14:textId="77777777" w:rsidR="00E20FAA" w:rsidRDefault="00E20FAA" w:rsidP="00093B44">
      <w:pPr>
        <w:spacing w:before="1"/>
        <w:ind w:left="20" w:right="39"/>
        <w:jc w:val="center"/>
        <w:rPr>
          <w:rFonts w:ascii="Humanst521 BT" w:hAnsi="Humanst521 BT"/>
          <w:b/>
        </w:rPr>
      </w:pPr>
    </w:p>
    <w:p w14:paraId="655EBF31" w14:textId="77777777" w:rsidR="00E20FAA" w:rsidRDefault="00E20FAA" w:rsidP="00093B44">
      <w:pPr>
        <w:spacing w:before="1"/>
        <w:ind w:left="20" w:right="39"/>
        <w:jc w:val="center"/>
        <w:rPr>
          <w:rFonts w:ascii="Humanst521 BT" w:hAnsi="Humanst521 BT"/>
          <w:b/>
        </w:rPr>
      </w:pPr>
    </w:p>
    <w:p w14:paraId="7D6CFAA2" w14:textId="77777777" w:rsidR="00E20FAA" w:rsidRDefault="00E20FAA" w:rsidP="00093B44">
      <w:pPr>
        <w:spacing w:before="1"/>
        <w:ind w:left="20" w:right="39"/>
        <w:jc w:val="center"/>
        <w:rPr>
          <w:rFonts w:ascii="Humanst521 BT" w:hAnsi="Humanst521 BT"/>
          <w:b/>
        </w:rPr>
      </w:pPr>
    </w:p>
    <w:p w14:paraId="746B89A9" w14:textId="77777777" w:rsidR="00E20FAA" w:rsidRDefault="00E20FAA" w:rsidP="00093B44">
      <w:pPr>
        <w:spacing w:before="1"/>
        <w:ind w:left="20" w:right="39"/>
        <w:jc w:val="center"/>
        <w:rPr>
          <w:rFonts w:ascii="Humanst521 BT" w:hAnsi="Humanst521 BT"/>
          <w:b/>
        </w:rPr>
      </w:pPr>
    </w:p>
    <w:p w14:paraId="28214381" w14:textId="77777777" w:rsidR="00E20FAA" w:rsidRDefault="00E20FAA" w:rsidP="00093B44">
      <w:pPr>
        <w:spacing w:before="1"/>
        <w:ind w:left="20" w:right="39"/>
        <w:jc w:val="center"/>
        <w:rPr>
          <w:rFonts w:ascii="Humanst521 BT" w:hAnsi="Humanst521 BT"/>
          <w:b/>
        </w:rPr>
      </w:pPr>
    </w:p>
    <w:p w14:paraId="4A273D3A" w14:textId="77777777" w:rsidR="00E20FAA" w:rsidRDefault="00E20FAA" w:rsidP="00093B44">
      <w:pPr>
        <w:spacing w:before="1"/>
        <w:ind w:left="20" w:right="39"/>
        <w:jc w:val="center"/>
        <w:rPr>
          <w:rFonts w:ascii="Humanst521 BT" w:hAnsi="Humanst521 BT"/>
          <w:b/>
        </w:rPr>
      </w:pPr>
    </w:p>
    <w:p w14:paraId="5814A64A" w14:textId="77777777" w:rsidR="00E20FAA" w:rsidRDefault="00E20FAA" w:rsidP="00093B44">
      <w:pPr>
        <w:spacing w:before="1"/>
        <w:ind w:left="20" w:right="39"/>
        <w:jc w:val="center"/>
        <w:rPr>
          <w:rFonts w:ascii="Humanst521 BT" w:hAnsi="Humanst521 BT"/>
          <w:b/>
        </w:rPr>
      </w:pPr>
    </w:p>
    <w:p w14:paraId="43E2927D" w14:textId="77777777" w:rsidR="00E20FAA" w:rsidRDefault="00E20FAA" w:rsidP="00093B44">
      <w:pPr>
        <w:spacing w:before="1"/>
        <w:ind w:left="20" w:right="39"/>
        <w:jc w:val="center"/>
        <w:rPr>
          <w:rFonts w:ascii="Humanst521 BT" w:hAnsi="Humanst521 BT"/>
          <w:b/>
        </w:rPr>
      </w:pPr>
    </w:p>
    <w:p w14:paraId="24E39CDE" w14:textId="77777777" w:rsidR="00E20FAA" w:rsidRDefault="00E20FAA" w:rsidP="00093B44">
      <w:pPr>
        <w:spacing w:before="1"/>
        <w:ind w:left="20" w:right="39"/>
        <w:jc w:val="center"/>
        <w:rPr>
          <w:rFonts w:ascii="Humanst521 BT" w:hAnsi="Humanst521 BT"/>
          <w:b/>
        </w:rPr>
      </w:pPr>
    </w:p>
    <w:p w14:paraId="32CF4D4A" w14:textId="77777777" w:rsidR="00E20FAA" w:rsidRDefault="00E20FAA" w:rsidP="00093B44">
      <w:pPr>
        <w:spacing w:before="1"/>
        <w:ind w:left="20" w:right="39"/>
        <w:jc w:val="center"/>
        <w:rPr>
          <w:rFonts w:ascii="Humanst521 BT" w:hAnsi="Humanst521 BT"/>
          <w:b/>
        </w:rPr>
      </w:pPr>
    </w:p>
    <w:p w14:paraId="62202682" w14:textId="77777777" w:rsidR="00E20FAA" w:rsidRDefault="00E20FAA" w:rsidP="00093B44">
      <w:pPr>
        <w:spacing w:before="1"/>
        <w:ind w:left="20" w:right="39"/>
        <w:jc w:val="center"/>
        <w:rPr>
          <w:rFonts w:ascii="Humanst521 BT" w:hAnsi="Humanst521 BT"/>
          <w:b/>
        </w:rPr>
      </w:pPr>
    </w:p>
    <w:p w14:paraId="683E80BA" w14:textId="77777777" w:rsidR="00E20FAA" w:rsidRDefault="00E20FAA" w:rsidP="00093B44">
      <w:pPr>
        <w:spacing w:before="1"/>
        <w:ind w:left="20" w:right="39"/>
        <w:jc w:val="center"/>
        <w:rPr>
          <w:rFonts w:ascii="Humanst521 BT" w:hAnsi="Humanst521 BT"/>
          <w:b/>
        </w:rPr>
      </w:pPr>
    </w:p>
    <w:p w14:paraId="05F274A7" w14:textId="77777777" w:rsidR="00E20FAA" w:rsidRDefault="00E20FAA" w:rsidP="00093B44">
      <w:pPr>
        <w:spacing w:before="1"/>
        <w:ind w:left="20" w:right="39"/>
        <w:jc w:val="center"/>
        <w:rPr>
          <w:rFonts w:ascii="Humanst521 BT" w:hAnsi="Humanst521 BT"/>
          <w:b/>
        </w:rPr>
      </w:pPr>
    </w:p>
    <w:p w14:paraId="46503B0A" w14:textId="77777777" w:rsidR="00E20FAA" w:rsidRDefault="00E20FAA" w:rsidP="00093B44">
      <w:pPr>
        <w:spacing w:before="1"/>
        <w:ind w:left="20" w:right="39"/>
        <w:jc w:val="center"/>
        <w:rPr>
          <w:rFonts w:ascii="Humanst521 BT" w:hAnsi="Humanst521 BT"/>
          <w:b/>
        </w:rPr>
      </w:pPr>
    </w:p>
    <w:p w14:paraId="054C84D1" w14:textId="77777777" w:rsidR="00E20FAA" w:rsidRPr="007F0FA7" w:rsidRDefault="00E20FAA" w:rsidP="00093B44">
      <w:pPr>
        <w:spacing w:before="1"/>
        <w:ind w:left="20" w:right="39"/>
        <w:jc w:val="center"/>
        <w:rPr>
          <w:rFonts w:ascii="Humanst521 BT" w:hAnsi="Humanst521 BT"/>
          <w:b/>
        </w:rPr>
      </w:pPr>
    </w:p>
    <w:p w14:paraId="68177668" w14:textId="1CE96A46" w:rsidR="00244200" w:rsidRPr="007F0FA7" w:rsidRDefault="007C1956" w:rsidP="00093B44">
      <w:pPr>
        <w:pStyle w:val="Textoindependiente"/>
        <w:rPr>
          <w:rFonts w:ascii="Humanst521 BT" w:hAnsi="Humanst521 BT"/>
          <w:b/>
          <w:sz w:val="22"/>
          <w:szCs w:val="22"/>
        </w:rPr>
      </w:pPr>
      <w:r w:rsidRPr="007F0FA7">
        <w:rPr>
          <w:rFonts w:ascii="Humanst521 BT" w:hAnsi="Humanst521 BT"/>
          <w:noProof/>
          <w:sz w:val="22"/>
          <w:szCs w:val="22"/>
        </w:rPr>
        <mc:AlternateContent>
          <mc:Choice Requires="wpg">
            <w:drawing>
              <wp:anchor distT="0" distB="0" distL="0" distR="0" simplePos="0" relativeHeight="251481600" behindDoc="0" locked="0" layoutInCell="1" allowOverlap="1" wp14:anchorId="35FDD7C5" wp14:editId="1EBCBC7D">
                <wp:simplePos x="0" y="0"/>
                <wp:positionH relativeFrom="page">
                  <wp:posOffset>7636509</wp:posOffset>
                </wp:positionH>
                <wp:positionV relativeFrom="page">
                  <wp:posOffset>0</wp:posOffset>
                </wp:positionV>
                <wp:extent cx="135890" cy="196342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36" name="Graphic 36"/>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37" name="Graphic 37"/>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38" name="Graphic 38"/>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39" name="Graphic 39"/>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63AA4697" id="Group 35" o:spid="_x0000_s1026" style="position:absolute;margin-left:601.3pt;margin-top:0;width:10.7pt;height:154.6pt;z-index:251481600;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">
                <v:shape id="Graphic 36"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" path="m,473467r135889,1l135889,,,,,473467xe" fillcolor="#33aea3" stroked="f">
                  <v:path arrowok="t"/>
                </v:shape>
                <v:shape id="Graphic 37"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" path="m,l,498641r135889,l135889,,,xe" fillcolor="#5cbeb6" stroked="f">
                  <v:path arrowok="t"/>
                </v:shape>
                <v:shape id="Graphic 38"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" path="m,l,498615r135889,1l135889,,,xe" fillcolor="#85cfc7" stroked="f">
                  <v:path arrowok="t"/>
                </v:shape>
                <v:shape id="Graphic 39"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" path="m,498424r135889,l135889,,,,,498424xe" fillcolor="#d5eeec" stroked="f">
                  <v:path arrowok="t"/>
                </v:shape>
                <w10:wrap anchorx="page" anchory="page"/>
              </v:group>
            </w:pict>
          </mc:Fallback>
        </mc:AlternateContent>
      </w:r>
    </w:p>
    <w:p w14:paraId="672664B2" w14:textId="4812C0DF" w:rsidR="00244200" w:rsidRPr="001C72DB" w:rsidRDefault="00092228" w:rsidP="00093B44">
      <w:pPr>
        <w:pStyle w:val="Ttulo1"/>
        <w:ind w:left="342" w:firstLine="0"/>
        <w:rPr>
          <w:rFonts w:ascii="Humanst521 BT" w:eastAsiaTheme="majorEastAsia" w:hAnsi="Humanst521 BT" w:cstheme="majorBidi"/>
          <w:b/>
          <w:bCs/>
          <w:color w:val="2F5496" w:themeColor="accent1" w:themeShade="BF"/>
          <w:sz w:val="32"/>
          <w:szCs w:val="32"/>
          <w:lang w:eastAsia="es-CO"/>
        </w:rPr>
      </w:pPr>
      <w:bookmarkStart w:id="0" w:name="_Toc231286774"/>
      <w:bookmarkStart w:id="1" w:name="_Hlk178579290"/>
      <w:r w:rsidRPr="001C72DB">
        <w:rPr>
          <w:rFonts w:ascii="Humanst521 BT" w:eastAsiaTheme="majorEastAsia" w:hAnsi="Humanst521 BT" w:cstheme="majorBidi"/>
          <w:b/>
          <w:bCs/>
          <w:color w:val="2F5496" w:themeColor="accent1" w:themeShade="BF"/>
          <w:sz w:val="32"/>
          <w:szCs w:val="32"/>
          <w:lang w:eastAsia="es-CO"/>
        </w:rPr>
        <w:lastRenderedPageBreak/>
        <w:t>INTRODUCCIÓN</w:t>
      </w:r>
      <w:bookmarkEnd w:id="0"/>
    </w:p>
    <w:p w14:paraId="4B8E480A" w14:textId="465E8F2A" w:rsidR="00244200" w:rsidRPr="007F0FA7" w:rsidRDefault="007C1956" w:rsidP="00093B44">
      <w:pPr>
        <w:pStyle w:val="Textoindependiente"/>
        <w:spacing w:before="11"/>
        <w:rPr>
          <w:rFonts w:ascii="Humanst521 BT" w:hAnsi="Humanst521 BT"/>
          <w:sz w:val="22"/>
          <w:szCs w:val="22"/>
        </w:rPr>
      </w:pPr>
      <w:r w:rsidRPr="007F0FA7">
        <w:rPr>
          <w:rFonts w:ascii="Humanst521 BT" w:hAnsi="Humanst521 BT"/>
          <w:noProof/>
          <w:sz w:val="22"/>
          <w:szCs w:val="22"/>
        </w:rPr>
        <mc:AlternateContent>
          <mc:Choice Requires="wps">
            <w:drawing>
              <wp:anchor distT="0" distB="0" distL="0" distR="0" simplePos="0" relativeHeight="251742720" behindDoc="1" locked="0" layoutInCell="1" allowOverlap="1" wp14:anchorId="789DF9B5" wp14:editId="5F819CBF">
                <wp:simplePos x="0" y="0"/>
                <wp:positionH relativeFrom="page">
                  <wp:posOffset>1080135</wp:posOffset>
                </wp:positionH>
                <wp:positionV relativeFrom="paragraph">
                  <wp:posOffset>161437</wp:posOffset>
                </wp:positionV>
                <wp:extent cx="496760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7605" cy="1270"/>
                        </a:xfrm>
                        <a:custGeom>
                          <a:avLst/>
                          <a:gdLst/>
                          <a:ahLst/>
                          <a:cxnLst/>
                          <a:rect l="l" t="t" r="r" b="b"/>
                          <a:pathLst>
                            <a:path w="4967605">
                              <a:moveTo>
                                <a:pt x="0" y="0"/>
                              </a:moveTo>
                              <a:lnTo>
                                <a:pt x="4967605" y="0"/>
                              </a:lnTo>
                            </a:path>
                          </a:pathLst>
                        </a:custGeom>
                        <a:ln w="12700">
                          <a:solidFill>
                            <a:srgbClr val="31B0A4"/>
                          </a:solidFill>
                          <a:prstDash val="solid"/>
                        </a:ln>
                      </wps:spPr>
                      <wps:bodyPr wrap="square" lIns="0" tIns="0" rIns="0" bIns="0" rtlCol="0">
                        <a:prstTxWarp prst="textNoShape">
                          <a:avLst/>
                        </a:prstTxWarp>
                        <a:noAutofit/>
                      </wps:bodyPr>
                    </wps:wsp>
                  </a:graphicData>
                </a:graphic>
              </wp:anchor>
            </w:drawing>
          </mc:Choice>
          <mc:Fallback>
            <w:pict>
              <v:shape w14:anchorId="54389ED9" id="Graphic 40" o:spid="_x0000_s1026" style="position:absolute;margin-left:85.05pt;margin-top:12.7pt;width:391.15pt;height:.1pt;z-index:-251573760;visibility:visible;mso-wrap-style:square;mso-wrap-distance-left:0;mso-wrap-distance-top:0;mso-wrap-distance-right:0;mso-wrap-distance-bottom:0;mso-position-horizontal:absolute;mso-position-horizontal-relative:page;mso-position-vertical:absolute;mso-position-vertical-relative:text;v-text-anchor:top" coordsize="4967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" path="m,l4967605,e" filled="f" strokecolor="#31b0a4" strokeweight="1pt">
                <v:path arrowok="t"/>
                <w10:wrap type="topAndBottom" anchorx="page"/>
              </v:shape>
            </w:pict>
          </mc:Fallback>
        </mc:AlternateContent>
      </w:r>
    </w:p>
    <w:bookmarkEnd w:id="1"/>
    <w:p w14:paraId="66A126D5" w14:textId="32B3188B" w:rsidR="00F6260D" w:rsidRPr="007F0FA7" w:rsidRDefault="00F6260D" w:rsidP="00093B44">
      <w:pPr>
        <w:pStyle w:val="NormalWeb"/>
        <w:jc w:val="both"/>
        <w:rPr>
          <w:rFonts w:ascii="Humanst521 BT" w:eastAsia="Verdana" w:hAnsi="Humanst521 BT" w:cs="Verdana"/>
          <w:sz w:val="22"/>
          <w:szCs w:val="22"/>
          <w:lang w:val="es-ES" w:eastAsia="en-US"/>
        </w:rPr>
      </w:pPr>
      <w:r w:rsidRPr="007F0FA7">
        <w:rPr>
          <w:rFonts w:ascii="Humanst521 BT" w:eastAsia="Verdana" w:hAnsi="Humanst521 BT" w:cs="Verdana"/>
          <w:sz w:val="22"/>
          <w:szCs w:val="22"/>
          <w:lang w:val="es-ES" w:eastAsia="en-US"/>
        </w:rPr>
        <w:t xml:space="preserve">El análisis de las condiciones de salud de la población afiliada a UISALUD responde a un proceso que permite generar insumos claves para la planeación en salud </w:t>
      </w:r>
      <w:r w:rsidR="00EE785E" w:rsidRPr="007F0FA7">
        <w:rPr>
          <w:rFonts w:ascii="Humanst521 BT" w:eastAsia="Verdana" w:hAnsi="Humanst521 BT" w:cs="Verdana"/>
          <w:sz w:val="22"/>
          <w:szCs w:val="22"/>
          <w:lang w:val="es-ES" w:eastAsia="en-US"/>
        </w:rPr>
        <w:t xml:space="preserve">en </w:t>
      </w:r>
      <w:r w:rsidR="00E82CDA" w:rsidRPr="007F0FA7">
        <w:rPr>
          <w:rFonts w:ascii="Humanst521 BT" w:eastAsia="Verdana" w:hAnsi="Humanst521 BT" w:cs="Verdana"/>
          <w:sz w:val="22"/>
          <w:szCs w:val="22"/>
          <w:lang w:val="es-ES" w:eastAsia="en-US"/>
        </w:rPr>
        <w:t xml:space="preserve">los entes territoriales y </w:t>
      </w:r>
      <w:r w:rsidRPr="007F0FA7">
        <w:rPr>
          <w:rFonts w:ascii="Humanst521 BT" w:eastAsia="Verdana" w:hAnsi="Humanst521 BT" w:cs="Verdana"/>
          <w:sz w:val="22"/>
          <w:szCs w:val="22"/>
          <w:lang w:val="es-ES" w:eastAsia="en-US"/>
        </w:rPr>
        <w:t xml:space="preserve">dentro de la Universidad Industrial de Santander y sus áreas de influencia. Este abordaje se realiza en el marco de los determinantes sociales de la salud, utilizando métodos de análisis e instrumentos que permiten identificar los determinantes </w:t>
      </w:r>
      <w:r w:rsidR="00DD1689" w:rsidRPr="007F0FA7">
        <w:rPr>
          <w:rFonts w:ascii="Humanst521 BT" w:eastAsia="Verdana" w:hAnsi="Humanst521 BT" w:cs="Verdana"/>
          <w:sz w:val="22"/>
          <w:szCs w:val="22"/>
          <w:lang w:val="es-ES" w:eastAsia="en-US"/>
        </w:rPr>
        <w:t>sociales de la</w:t>
      </w:r>
      <w:r w:rsidR="003A5E2C" w:rsidRPr="007F0FA7">
        <w:rPr>
          <w:rFonts w:ascii="Humanst521 BT" w:eastAsia="Verdana" w:hAnsi="Humanst521 BT" w:cs="Verdana"/>
          <w:sz w:val="22"/>
          <w:szCs w:val="22"/>
          <w:lang w:val="es-ES" w:eastAsia="en-US"/>
        </w:rPr>
        <w:t xml:space="preserve"> salud</w:t>
      </w:r>
      <w:r w:rsidRPr="007F0FA7">
        <w:rPr>
          <w:rFonts w:ascii="Humanst521 BT" w:eastAsia="Verdana" w:hAnsi="Humanst521 BT" w:cs="Verdana"/>
          <w:sz w:val="22"/>
          <w:szCs w:val="22"/>
          <w:lang w:val="es-ES" w:eastAsia="en-US"/>
        </w:rPr>
        <w:t xml:space="preserve"> en los contextos territoriales específicos de nuestra </w:t>
      </w:r>
      <w:r w:rsidR="003A5E2C" w:rsidRPr="007F0FA7">
        <w:rPr>
          <w:rFonts w:ascii="Humanst521 BT" w:eastAsia="Verdana" w:hAnsi="Humanst521 BT" w:cs="Verdana"/>
          <w:sz w:val="22"/>
          <w:szCs w:val="22"/>
          <w:lang w:val="es-ES" w:eastAsia="en-US"/>
        </w:rPr>
        <w:t>población afiliada</w:t>
      </w:r>
      <w:r w:rsidRPr="007F0FA7">
        <w:rPr>
          <w:rFonts w:ascii="Humanst521 BT" w:eastAsia="Verdana" w:hAnsi="Humanst521 BT" w:cs="Verdana"/>
          <w:sz w:val="22"/>
          <w:szCs w:val="22"/>
          <w:lang w:val="es-ES" w:eastAsia="en-US"/>
        </w:rPr>
        <w:t>. Las acciones de UISALUD se encaminan a la formulación de planes de intervención articulados con las autoridades locales, afectando positivamente el proceso salud-enfermedad de las personas, familias y comunidades afiliadas.</w:t>
      </w:r>
    </w:p>
    <w:p w14:paraId="4F5B99BC" w14:textId="674A4D91" w:rsidR="00F6260D" w:rsidRPr="007F0FA7" w:rsidRDefault="00F6260D" w:rsidP="00093B44">
      <w:pPr>
        <w:pStyle w:val="NormalWeb"/>
        <w:jc w:val="both"/>
        <w:rPr>
          <w:rFonts w:ascii="Humanst521 BT" w:eastAsia="Verdana" w:hAnsi="Humanst521 BT" w:cs="Verdana"/>
          <w:sz w:val="22"/>
          <w:szCs w:val="22"/>
          <w:lang w:val="es-ES" w:eastAsia="en-US"/>
        </w:rPr>
      </w:pPr>
      <w:r w:rsidRPr="007F0FA7">
        <w:rPr>
          <w:rFonts w:ascii="Humanst521 BT" w:eastAsia="Verdana" w:hAnsi="Humanst521 BT" w:cs="Verdana"/>
          <w:sz w:val="22"/>
          <w:szCs w:val="22"/>
          <w:lang w:val="es-ES" w:eastAsia="en-US"/>
        </w:rPr>
        <w:t xml:space="preserve">En este sentido, el presente documento contiene </w:t>
      </w:r>
      <w:r w:rsidR="00D03002" w:rsidRPr="007F0FA7">
        <w:rPr>
          <w:rFonts w:ascii="Humanst521 BT" w:eastAsia="Verdana" w:hAnsi="Humanst521 BT" w:cs="Verdana"/>
          <w:sz w:val="22"/>
          <w:szCs w:val="22"/>
          <w:lang w:val="es-ES" w:eastAsia="en-US"/>
        </w:rPr>
        <w:t>e</w:t>
      </w:r>
      <w:r w:rsidRPr="007F0FA7">
        <w:rPr>
          <w:rFonts w:ascii="Humanst521 BT" w:eastAsia="Verdana" w:hAnsi="Humanst521 BT" w:cs="Verdana"/>
          <w:sz w:val="22"/>
          <w:szCs w:val="22"/>
          <w:lang w:val="es-ES" w:eastAsia="en-US"/>
        </w:rPr>
        <w:t xml:space="preserve">l análisis de la información para la identificación de la situación actual de la población afiliada, así como la priorización de problemas de salud, desagregados según las particularidades geográficas del área de influencia de UISALUD (departamental, distrital y municipal) y </w:t>
      </w:r>
      <w:r w:rsidR="002242AD" w:rsidRPr="007F0FA7">
        <w:rPr>
          <w:rFonts w:ascii="Humanst521 BT" w:eastAsia="Verdana" w:hAnsi="Humanst521 BT" w:cs="Verdana"/>
          <w:sz w:val="22"/>
          <w:szCs w:val="22"/>
          <w:lang w:val="es-ES" w:eastAsia="en-US"/>
        </w:rPr>
        <w:t>condicionado a</w:t>
      </w:r>
      <w:r w:rsidR="00D03002" w:rsidRPr="007F0FA7">
        <w:rPr>
          <w:rFonts w:ascii="Humanst521 BT" w:eastAsia="Verdana" w:hAnsi="Humanst521 BT" w:cs="Verdana"/>
          <w:sz w:val="22"/>
          <w:szCs w:val="22"/>
          <w:lang w:val="es-ES" w:eastAsia="en-US"/>
        </w:rPr>
        <w:t xml:space="preserve"> la información disponible.</w:t>
      </w:r>
      <w:r w:rsidRPr="007F0FA7">
        <w:rPr>
          <w:rFonts w:ascii="Humanst521 BT" w:eastAsia="Verdana" w:hAnsi="Humanst521 BT" w:cs="Verdana"/>
          <w:sz w:val="22"/>
          <w:szCs w:val="22"/>
          <w:lang w:val="es-ES" w:eastAsia="en-US"/>
        </w:rPr>
        <w:t xml:space="preserve"> </w:t>
      </w:r>
    </w:p>
    <w:p w14:paraId="0825B1C5" w14:textId="7ED9F6F7" w:rsidR="00F6260D" w:rsidRPr="007F0FA7" w:rsidRDefault="00F6260D" w:rsidP="00093B44">
      <w:pPr>
        <w:pStyle w:val="NormalWeb"/>
        <w:jc w:val="both"/>
        <w:rPr>
          <w:rFonts w:ascii="Humanst521 BT" w:eastAsia="Verdana" w:hAnsi="Humanst521 BT" w:cs="Verdana"/>
          <w:sz w:val="22"/>
          <w:szCs w:val="22"/>
          <w:lang w:val="es-ES" w:eastAsia="en-US"/>
        </w:rPr>
      </w:pPr>
      <w:r w:rsidRPr="007F0FA7">
        <w:rPr>
          <w:rFonts w:ascii="Humanst521 BT" w:eastAsia="Verdana" w:hAnsi="Humanst521 BT" w:cs="Verdana"/>
          <w:sz w:val="22"/>
          <w:szCs w:val="22"/>
          <w:lang w:val="es-ES" w:eastAsia="en-US"/>
        </w:rPr>
        <w:t xml:space="preserve">Este documento se plantea como un insumo para el reconocimiento de las circunstancias de vida de las personas afiliadas a UISALUD en el momento del curso de vida en que se encuentran, ofreciendo además elementos clave para la construcción de estrategias y acciones conjuntas entre UISALUD, las entidades territoriales, y demás actores del sistema de salud, con el objetivo de </w:t>
      </w:r>
      <w:r w:rsidR="00592A5C" w:rsidRPr="007F0FA7">
        <w:rPr>
          <w:rFonts w:ascii="Humanst521 BT" w:eastAsia="Verdana" w:hAnsi="Humanst521 BT" w:cs="Verdana"/>
          <w:sz w:val="22"/>
          <w:szCs w:val="22"/>
          <w:lang w:val="es-ES" w:eastAsia="en-US"/>
        </w:rPr>
        <w:t>contribuir al mejoramiento d</w:t>
      </w:r>
      <w:r w:rsidRPr="007F0FA7">
        <w:rPr>
          <w:rFonts w:ascii="Humanst521 BT" w:eastAsia="Verdana" w:hAnsi="Humanst521 BT" w:cs="Verdana"/>
          <w:sz w:val="22"/>
          <w:szCs w:val="22"/>
          <w:lang w:val="es-ES" w:eastAsia="en-US"/>
        </w:rPr>
        <w:t>el bienestar de las personas, familias y comunidades afiliadas.</w:t>
      </w:r>
    </w:p>
    <w:p w14:paraId="1087C0A4" w14:textId="77777777" w:rsidR="00F6260D" w:rsidRPr="007F0FA7" w:rsidRDefault="00F6260D" w:rsidP="00093B44">
      <w:pPr>
        <w:pStyle w:val="Textoindependiente"/>
        <w:spacing w:before="1"/>
        <w:ind w:left="342" w:right="378"/>
        <w:jc w:val="both"/>
        <w:rPr>
          <w:rFonts w:ascii="Humanst521 BT" w:hAnsi="Humanst521 BT"/>
          <w:sz w:val="22"/>
          <w:szCs w:val="22"/>
          <w:shd w:val="clear" w:color="auto" w:fill="FFFFFF"/>
        </w:rPr>
      </w:pPr>
    </w:p>
    <w:p w14:paraId="6D366FC3"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7C8E8AB5"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6784EFDB"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006BEF46"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35FC8ED7"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1CD9B5B3"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1317EE0E"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617DE243"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75C41026"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5F7447EB"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6434B95A"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01F46475"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0386EECB"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56E64786"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0EAF9FFC"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4C0321F6"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7CA14116"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40B6025C"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164EAE62" w14:textId="77777777" w:rsidR="0022233A" w:rsidRPr="007F0FA7" w:rsidRDefault="0022233A" w:rsidP="00093B44">
      <w:pPr>
        <w:pStyle w:val="Textoindependiente"/>
        <w:spacing w:before="1"/>
        <w:ind w:left="342" w:right="378"/>
        <w:jc w:val="both"/>
        <w:rPr>
          <w:rFonts w:ascii="Humanst521 BT" w:hAnsi="Humanst521 BT"/>
          <w:sz w:val="22"/>
          <w:szCs w:val="22"/>
          <w:shd w:val="clear" w:color="auto" w:fill="FFFFFF"/>
        </w:rPr>
      </w:pPr>
    </w:p>
    <w:p w14:paraId="665FE280" w14:textId="319BB4CD" w:rsidR="00244200" w:rsidRPr="007F0FA7" w:rsidRDefault="007C1956" w:rsidP="00093B44">
      <w:pPr>
        <w:pStyle w:val="Textoindependiente"/>
        <w:rPr>
          <w:rFonts w:ascii="Humanst521 BT" w:hAnsi="Humanst521 BT"/>
          <w:sz w:val="22"/>
          <w:szCs w:val="22"/>
        </w:rPr>
      </w:pPr>
      <w:r w:rsidRPr="007F0FA7">
        <w:rPr>
          <w:rFonts w:ascii="Humanst521 BT" w:hAnsi="Humanst521 BT"/>
          <w:noProof/>
          <w:sz w:val="22"/>
          <w:szCs w:val="22"/>
        </w:rPr>
        <mc:AlternateContent>
          <mc:Choice Requires="wpg">
            <w:drawing>
              <wp:anchor distT="0" distB="0" distL="0" distR="0" simplePos="0" relativeHeight="251506176" behindDoc="0" locked="0" layoutInCell="1" allowOverlap="1" wp14:anchorId="774A8B5C" wp14:editId="01D14C4D">
                <wp:simplePos x="0" y="0"/>
                <wp:positionH relativeFrom="page">
                  <wp:posOffset>7636509</wp:posOffset>
                </wp:positionH>
                <wp:positionV relativeFrom="page">
                  <wp:posOffset>0</wp:posOffset>
                </wp:positionV>
                <wp:extent cx="135890" cy="196342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43" name="Graphic 43"/>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44" name="Graphic 44"/>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45" name="Graphic 45"/>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46" name="Graphic 46"/>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6F99E46B" id="Group 42" o:spid="_x0000_s1026" style="position:absolute;margin-left:601.3pt;margin-top:0;width:10.7pt;height:154.6pt;z-index:251506176;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">
                <v:shape id="Graphic 43"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" path="m,473467r135889,1l135889,,,,,473467xe" fillcolor="#33aea3" stroked="f">
                  <v:path arrowok="t"/>
                </v:shape>
                <v:shape id="Graphic 44"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" path="m,l,498641r135889,l135889,,,xe" fillcolor="#5cbeb6" stroked="f">
                  <v:path arrowok="t"/>
                </v:shape>
                <v:shape id="Graphic 45"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" path="m,l,498615r135889,1l135889,,,xe" fillcolor="#85cfc7" stroked="f">
                  <v:path arrowok="t"/>
                </v:shape>
                <v:shape id="Graphic 46"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" path="m,498424r135889,l135889,,,,,498424xe" fillcolor="#d5eeec" stroked="f">
                  <v:path arrowok="t"/>
                </v:shape>
                <w10:wrap anchorx="page" anchory="page"/>
              </v:group>
            </w:pict>
          </mc:Fallback>
        </mc:AlternateContent>
      </w:r>
    </w:p>
    <w:p w14:paraId="07814629" w14:textId="2D9599F3" w:rsidR="00244200" w:rsidRPr="00631473" w:rsidRDefault="00092228" w:rsidP="00B6007F">
      <w:pPr>
        <w:pStyle w:val="Ttulo1"/>
        <w:numPr>
          <w:ilvl w:val="0"/>
          <w:numId w:val="1"/>
        </w:numPr>
        <w:tabs>
          <w:tab w:val="left" w:pos="1048"/>
        </w:tabs>
        <w:ind w:left="1048" w:hanging="706"/>
        <w:rPr>
          <w:rFonts w:ascii="Humanst521 BT" w:eastAsiaTheme="majorEastAsia" w:hAnsi="Humanst521 BT" w:cstheme="majorBidi"/>
          <w:b/>
          <w:bCs/>
          <w:color w:val="2F5496" w:themeColor="accent1" w:themeShade="BF"/>
          <w:sz w:val="32"/>
          <w:szCs w:val="32"/>
          <w:lang w:eastAsia="es-CO"/>
        </w:rPr>
      </w:pPr>
      <w:bookmarkStart w:id="2" w:name="_Toc231286775"/>
      <w:r w:rsidRPr="00631473">
        <w:rPr>
          <w:rFonts w:ascii="Humanst521 BT" w:eastAsiaTheme="majorEastAsia" w:hAnsi="Humanst521 BT" w:cstheme="majorBidi"/>
          <w:b/>
          <w:bCs/>
          <w:color w:val="2F5496" w:themeColor="accent1" w:themeShade="BF"/>
          <w:sz w:val="32"/>
          <w:szCs w:val="32"/>
          <w:lang w:eastAsia="es-CO"/>
        </w:rPr>
        <w:lastRenderedPageBreak/>
        <w:t>PRESENTACIÓN Y OBJETIVOS</w:t>
      </w:r>
      <w:bookmarkEnd w:id="2"/>
    </w:p>
    <w:p w14:paraId="056D3777" w14:textId="77777777" w:rsidR="00244200" w:rsidRPr="007F0FA7" w:rsidRDefault="007C1956" w:rsidP="00093B44">
      <w:pPr>
        <w:pStyle w:val="Textoindependiente"/>
        <w:spacing w:before="11"/>
        <w:rPr>
          <w:rFonts w:ascii="Humanst521 BT" w:hAnsi="Humanst521 BT"/>
          <w:sz w:val="22"/>
          <w:szCs w:val="22"/>
        </w:rPr>
      </w:pPr>
      <w:r w:rsidRPr="007F0FA7">
        <w:rPr>
          <w:rFonts w:ascii="Humanst521 BT" w:hAnsi="Humanst521 BT"/>
          <w:noProof/>
          <w:sz w:val="22"/>
          <w:szCs w:val="22"/>
        </w:rPr>
        <mc:AlternateContent>
          <mc:Choice Requires="wps">
            <w:drawing>
              <wp:anchor distT="0" distB="0" distL="0" distR="0" simplePos="0" relativeHeight="251767296" behindDoc="1" locked="0" layoutInCell="1" allowOverlap="1" wp14:anchorId="5568CD75" wp14:editId="309EF725">
                <wp:simplePos x="0" y="0"/>
                <wp:positionH relativeFrom="page">
                  <wp:posOffset>1080135</wp:posOffset>
                </wp:positionH>
                <wp:positionV relativeFrom="paragraph">
                  <wp:posOffset>161437</wp:posOffset>
                </wp:positionV>
                <wp:extent cx="4967605"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7605" cy="1270"/>
                        </a:xfrm>
                        <a:custGeom>
                          <a:avLst/>
                          <a:gdLst/>
                          <a:ahLst/>
                          <a:cxnLst/>
                          <a:rect l="l" t="t" r="r" b="b"/>
                          <a:pathLst>
                            <a:path w="4967605">
                              <a:moveTo>
                                <a:pt x="0" y="0"/>
                              </a:moveTo>
                              <a:lnTo>
                                <a:pt x="4967605" y="0"/>
                              </a:lnTo>
                            </a:path>
                          </a:pathLst>
                        </a:custGeom>
                        <a:ln w="12700">
                          <a:solidFill>
                            <a:srgbClr val="31B0A4"/>
                          </a:solidFill>
                          <a:prstDash val="solid"/>
                        </a:ln>
                      </wps:spPr>
                      <wps:bodyPr wrap="square" lIns="0" tIns="0" rIns="0" bIns="0" rtlCol="0">
                        <a:prstTxWarp prst="textNoShape">
                          <a:avLst/>
                        </a:prstTxWarp>
                        <a:noAutofit/>
                      </wps:bodyPr>
                    </wps:wsp>
                  </a:graphicData>
                </a:graphic>
              </wp:anchor>
            </w:drawing>
          </mc:Choice>
          <mc:Fallback>
            <w:pict>
              <v:shape w14:anchorId="153A3474" id="Graphic 47" o:spid="_x0000_s1026" style="position:absolute;margin-left:85.05pt;margin-top:12.7pt;width:391.15pt;height:.1pt;z-index:-251549184;visibility:visible;mso-wrap-style:square;mso-wrap-distance-left:0;mso-wrap-distance-top:0;mso-wrap-distance-right:0;mso-wrap-distance-bottom:0;mso-position-horizontal:absolute;mso-position-horizontal-relative:page;mso-position-vertical:absolute;mso-position-vertical-relative:text;v-text-anchor:top" coordsize="4967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" path="m,l4967605,e" filled="f" strokecolor="#31b0a4" strokeweight="1pt">
                <v:path arrowok="t"/>
                <w10:wrap type="topAndBottom" anchorx="page"/>
              </v:shape>
            </w:pict>
          </mc:Fallback>
        </mc:AlternateContent>
      </w:r>
    </w:p>
    <w:p w14:paraId="21822AA9" w14:textId="2C7A62AC" w:rsidR="00393F9E" w:rsidRPr="007F0FA7" w:rsidRDefault="00393F9E" w:rsidP="00093B44">
      <w:pPr>
        <w:pStyle w:val="NormalWeb"/>
        <w:jc w:val="both"/>
        <w:rPr>
          <w:rFonts w:ascii="Humanst521 BT" w:eastAsia="Verdana" w:hAnsi="Humanst521 BT" w:cs="Verdana"/>
          <w:sz w:val="22"/>
          <w:szCs w:val="22"/>
          <w:lang w:val="es-ES" w:eastAsia="en-US"/>
        </w:rPr>
      </w:pPr>
      <w:r w:rsidRPr="007F0FA7">
        <w:rPr>
          <w:rFonts w:ascii="Humanst521 BT" w:eastAsia="Verdana" w:hAnsi="Humanst521 BT" w:cs="Verdana"/>
          <w:sz w:val="22"/>
          <w:szCs w:val="22"/>
          <w:lang w:val="es-ES" w:eastAsia="en-US"/>
        </w:rPr>
        <w:t xml:space="preserve">UISALUD, como entidad responsable del aseguramiento en salud, ha actualizado los procesos de planeación integral en salud dentro de sus áreas de influencia. Estos </w:t>
      </w:r>
      <w:r w:rsidR="005D6EC6" w:rsidRPr="007F0FA7">
        <w:rPr>
          <w:rFonts w:ascii="Humanst521 BT" w:eastAsia="Verdana" w:hAnsi="Humanst521 BT" w:cs="Verdana"/>
          <w:sz w:val="22"/>
          <w:szCs w:val="22"/>
          <w:lang w:val="es-ES" w:eastAsia="en-US"/>
        </w:rPr>
        <w:t>procesos</w:t>
      </w:r>
      <w:r w:rsidRPr="007F0FA7">
        <w:rPr>
          <w:rFonts w:ascii="Humanst521 BT" w:eastAsia="Verdana" w:hAnsi="Humanst521 BT" w:cs="Verdana"/>
          <w:sz w:val="22"/>
          <w:szCs w:val="22"/>
          <w:lang w:val="es-ES" w:eastAsia="en-US"/>
        </w:rPr>
        <w:t xml:space="preserve"> están orientados a mejorar los análisis de la información, permitiendo identificar y priorizar los problemas de salud que surgen a partir de los determinantes sociales de la salud. Estos determinantes son comprendidos como las condiciones y circunstancias en las que viven, crecen y se desarrollan las personas, familias y comunidades afiliadas a UISALUD.</w:t>
      </w:r>
    </w:p>
    <w:p w14:paraId="19AB4D5E" w14:textId="0C2B07DD" w:rsidR="00393F9E" w:rsidRPr="007F0FA7" w:rsidRDefault="00393F9E" w:rsidP="00093B44">
      <w:pPr>
        <w:pStyle w:val="NormalWeb"/>
        <w:jc w:val="both"/>
        <w:rPr>
          <w:rFonts w:ascii="Humanst521 BT" w:eastAsia="Verdana" w:hAnsi="Humanst521 BT" w:cs="Verdana"/>
          <w:sz w:val="22"/>
          <w:szCs w:val="22"/>
          <w:lang w:val="es-ES" w:eastAsia="en-US"/>
        </w:rPr>
      </w:pPr>
      <w:r w:rsidRPr="007F0FA7">
        <w:rPr>
          <w:rFonts w:ascii="Humanst521 BT" w:eastAsia="Verdana" w:hAnsi="Humanst521 BT" w:cs="Verdana"/>
          <w:sz w:val="22"/>
          <w:szCs w:val="22"/>
          <w:lang w:val="es-ES" w:eastAsia="en-US"/>
        </w:rPr>
        <w:t xml:space="preserve">Dada la importancia de este análisis, surge la necesidad de fortalecer el estudio de las condiciones de salud de la población afiliada, permitiendo así un reconocimiento claro de cómo los determinantes sociales </w:t>
      </w:r>
      <w:r w:rsidR="00E822B2" w:rsidRPr="007F0FA7">
        <w:rPr>
          <w:rFonts w:ascii="Humanst521 BT" w:eastAsia="Verdana" w:hAnsi="Humanst521 BT" w:cs="Verdana"/>
          <w:sz w:val="22"/>
          <w:szCs w:val="22"/>
          <w:lang w:val="es-ES" w:eastAsia="en-US"/>
        </w:rPr>
        <w:t>de la salud</w:t>
      </w:r>
      <w:r w:rsidRPr="007F0FA7">
        <w:rPr>
          <w:rFonts w:ascii="Humanst521 BT" w:eastAsia="Verdana" w:hAnsi="Humanst521 BT" w:cs="Verdana"/>
          <w:sz w:val="22"/>
          <w:szCs w:val="22"/>
          <w:lang w:val="es-ES" w:eastAsia="en-US"/>
        </w:rPr>
        <w:t xml:space="preserve"> influyen en el proceso de salud-enfermedad-atención de dicha población. De esta manera, UISALUD orienta sus acciones tanto a nivel institucional como territorial, contribuyendo a una atención integral que mejore las condiciones de salud de la población afiliada.</w:t>
      </w:r>
    </w:p>
    <w:p w14:paraId="5BC3DCEC" w14:textId="3220FAD1" w:rsidR="00393F9E" w:rsidRPr="007F0FA7" w:rsidRDefault="00393F9E" w:rsidP="00093B44">
      <w:pPr>
        <w:pStyle w:val="NormalWeb"/>
        <w:jc w:val="both"/>
        <w:rPr>
          <w:rFonts w:ascii="Humanst521 BT" w:eastAsia="Verdana" w:hAnsi="Humanst521 BT" w:cs="Verdana"/>
          <w:sz w:val="22"/>
          <w:szCs w:val="22"/>
          <w:lang w:val="es-ES" w:eastAsia="en-US"/>
        </w:rPr>
      </w:pPr>
      <w:r w:rsidRPr="007F0FA7">
        <w:rPr>
          <w:rFonts w:ascii="Humanst521 BT" w:eastAsia="Verdana" w:hAnsi="Humanst521 BT" w:cs="Verdana"/>
          <w:sz w:val="22"/>
          <w:szCs w:val="22"/>
          <w:lang w:val="es-ES" w:eastAsia="en-US"/>
        </w:rPr>
        <w:t xml:space="preserve">Este </w:t>
      </w:r>
      <w:r w:rsidR="00B11E4F" w:rsidRPr="007F0FA7">
        <w:rPr>
          <w:rFonts w:ascii="Humanst521 BT" w:eastAsia="Verdana" w:hAnsi="Humanst521 BT" w:cs="Verdana"/>
          <w:sz w:val="22"/>
          <w:szCs w:val="22"/>
          <w:lang w:val="es-ES" w:eastAsia="en-US"/>
        </w:rPr>
        <w:t xml:space="preserve">análisis de situación de salud, se </w:t>
      </w:r>
      <w:r w:rsidRPr="007F0FA7">
        <w:rPr>
          <w:rFonts w:ascii="Humanst521 BT" w:eastAsia="Verdana" w:hAnsi="Humanst521 BT" w:cs="Verdana"/>
          <w:sz w:val="22"/>
          <w:szCs w:val="22"/>
          <w:lang w:val="es-ES" w:eastAsia="en-US"/>
        </w:rPr>
        <w:t>enmarca dentro</w:t>
      </w:r>
      <w:r w:rsidR="00B11E4F" w:rsidRPr="007F0FA7">
        <w:rPr>
          <w:rFonts w:ascii="Humanst521 BT" w:eastAsia="Verdana" w:hAnsi="Humanst521 BT" w:cs="Verdana"/>
          <w:sz w:val="22"/>
          <w:szCs w:val="22"/>
          <w:lang w:val="es-ES" w:eastAsia="en-US"/>
        </w:rPr>
        <w:t xml:space="preserve"> de los lineamientos establecidos por el Ministerio de Salud y Protección Social, así como</w:t>
      </w:r>
      <w:r w:rsidR="00C46287" w:rsidRPr="007F0FA7">
        <w:rPr>
          <w:rFonts w:ascii="Humanst521 BT" w:eastAsia="Verdana" w:hAnsi="Humanst521 BT" w:cs="Verdana"/>
          <w:sz w:val="22"/>
          <w:szCs w:val="22"/>
          <w:lang w:val="es-ES" w:eastAsia="en-US"/>
        </w:rPr>
        <w:t xml:space="preserve"> con</w:t>
      </w:r>
      <w:r w:rsidRPr="007F0FA7">
        <w:rPr>
          <w:rFonts w:ascii="Humanst521 BT" w:eastAsia="Verdana" w:hAnsi="Humanst521 BT" w:cs="Verdana"/>
          <w:sz w:val="22"/>
          <w:szCs w:val="22"/>
          <w:lang w:val="es-ES" w:eastAsia="en-US"/>
        </w:rPr>
        <w:t xml:space="preserve"> las normativas y conceptos del Plan Decenal de Salud Pública 2022-2031 (PDSP 2022-2031), adaptando su implementación a las necesidades específicas de la población afiliada a UISALUD. A partir del análisis de las condiciones de salud, este documento genera insumos clave para la planificación y formulación de políticas públicas en salud a nivel territorial, desde el aseguramiento como componente esencial.</w:t>
      </w:r>
    </w:p>
    <w:p w14:paraId="03FF3868" w14:textId="0F7CE398" w:rsidR="00393F9E" w:rsidRPr="007F0FA7" w:rsidRDefault="00393F9E" w:rsidP="00093B44">
      <w:pPr>
        <w:pStyle w:val="NormalWeb"/>
        <w:jc w:val="both"/>
        <w:rPr>
          <w:rFonts w:ascii="Humanst521 BT" w:eastAsia="Verdana" w:hAnsi="Humanst521 BT" w:cs="Verdana"/>
          <w:sz w:val="22"/>
          <w:szCs w:val="22"/>
          <w:lang w:val="es-ES" w:eastAsia="en-US"/>
        </w:rPr>
      </w:pPr>
      <w:r w:rsidRPr="007F0FA7">
        <w:rPr>
          <w:rFonts w:ascii="Humanst521 BT" w:eastAsia="Verdana" w:hAnsi="Humanst521 BT" w:cs="Verdana"/>
          <w:sz w:val="22"/>
          <w:szCs w:val="22"/>
          <w:lang w:val="es-ES" w:eastAsia="en-US"/>
        </w:rPr>
        <w:t xml:space="preserve">El objetivo de este </w:t>
      </w:r>
      <w:r w:rsidR="00327F5C" w:rsidRPr="007F0FA7">
        <w:rPr>
          <w:rFonts w:ascii="Humanst521 BT" w:eastAsia="Verdana" w:hAnsi="Humanst521 BT" w:cs="Verdana"/>
          <w:sz w:val="22"/>
          <w:szCs w:val="22"/>
          <w:lang w:val="es-ES" w:eastAsia="en-US"/>
        </w:rPr>
        <w:t xml:space="preserve">proceso de análisis de la situación de salud de la población afiliada a UISALUD, </w:t>
      </w:r>
      <w:r w:rsidR="00333812" w:rsidRPr="007F0FA7">
        <w:rPr>
          <w:rFonts w:ascii="Humanst521 BT" w:eastAsia="Verdana" w:hAnsi="Humanst521 BT" w:cs="Verdana"/>
          <w:sz w:val="22"/>
          <w:szCs w:val="22"/>
          <w:lang w:val="es-ES" w:eastAsia="en-US"/>
        </w:rPr>
        <w:t xml:space="preserve">es determinar </w:t>
      </w:r>
      <w:r w:rsidRPr="007F0FA7">
        <w:rPr>
          <w:rFonts w:ascii="Humanst521 BT" w:eastAsia="Verdana" w:hAnsi="Humanst521 BT" w:cs="Verdana"/>
          <w:sz w:val="22"/>
          <w:szCs w:val="22"/>
          <w:lang w:val="es-ES" w:eastAsia="en-US"/>
        </w:rPr>
        <w:t xml:space="preserve">los elementos necesarios para la identificación, caracterización y comprensión de las problemáticas y necesidades en salud de </w:t>
      </w:r>
      <w:r w:rsidR="0044662D" w:rsidRPr="007F0FA7">
        <w:rPr>
          <w:rFonts w:ascii="Humanst521 BT" w:eastAsia="Verdana" w:hAnsi="Humanst521 BT" w:cs="Verdana"/>
          <w:sz w:val="22"/>
          <w:szCs w:val="22"/>
          <w:lang w:val="es-ES" w:eastAsia="en-US"/>
        </w:rPr>
        <w:t>la</w:t>
      </w:r>
      <w:r w:rsidRPr="007F0FA7">
        <w:rPr>
          <w:rFonts w:ascii="Humanst521 BT" w:eastAsia="Verdana" w:hAnsi="Humanst521 BT" w:cs="Verdana"/>
          <w:sz w:val="22"/>
          <w:szCs w:val="22"/>
          <w:lang w:val="es-ES" w:eastAsia="en-US"/>
        </w:rPr>
        <w:t xml:space="preserve"> población afiliada. Estos elementos son abordados considerando el contexto propi</w:t>
      </w:r>
      <w:r w:rsidR="009967BF" w:rsidRPr="007F0FA7">
        <w:rPr>
          <w:rFonts w:ascii="Humanst521 BT" w:eastAsia="Verdana" w:hAnsi="Humanst521 BT" w:cs="Verdana"/>
          <w:sz w:val="22"/>
          <w:szCs w:val="22"/>
          <w:lang w:val="es-ES" w:eastAsia="en-US"/>
        </w:rPr>
        <w:t>o</w:t>
      </w:r>
      <w:r w:rsidRPr="007F0FA7">
        <w:rPr>
          <w:rFonts w:ascii="Humanst521 BT" w:eastAsia="Verdana" w:hAnsi="Humanst521 BT" w:cs="Verdana"/>
          <w:sz w:val="22"/>
          <w:szCs w:val="22"/>
          <w:lang w:val="es-ES" w:eastAsia="en-US"/>
        </w:rPr>
        <w:t xml:space="preserve"> de </w:t>
      </w:r>
      <w:r w:rsidR="009967BF" w:rsidRPr="007F0FA7">
        <w:rPr>
          <w:rFonts w:ascii="Humanst521 BT" w:eastAsia="Verdana" w:hAnsi="Humanst521 BT" w:cs="Verdana"/>
          <w:sz w:val="22"/>
          <w:szCs w:val="22"/>
          <w:lang w:val="es-ES" w:eastAsia="en-US"/>
        </w:rPr>
        <w:t xml:space="preserve">la comunidad de la Universidad Industrial de Santander, de acuerdo a la distribución geográfica donde residen </w:t>
      </w:r>
      <w:r w:rsidRPr="007F0FA7">
        <w:rPr>
          <w:rFonts w:ascii="Humanst521 BT" w:eastAsia="Verdana" w:hAnsi="Humanst521 BT" w:cs="Verdana"/>
          <w:sz w:val="22"/>
          <w:szCs w:val="22"/>
          <w:lang w:val="es-ES" w:eastAsia="en-US"/>
        </w:rPr>
        <w:t xml:space="preserve">los </w:t>
      </w:r>
      <w:r w:rsidR="009967BF" w:rsidRPr="007F0FA7">
        <w:rPr>
          <w:rFonts w:ascii="Humanst521 BT" w:eastAsia="Verdana" w:hAnsi="Humanst521 BT" w:cs="Verdana"/>
          <w:sz w:val="22"/>
          <w:szCs w:val="22"/>
          <w:lang w:val="es-ES" w:eastAsia="en-US"/>
        </w:rPr>
        <w:t>afiliados</w:t>
      </w:r>
      <w:r w:rsidR="00433CD1" w:rsidRPr="007F0FA7">
        <w:rPr>
          <w:rFonts w:ascii="Humanst521 BT" w:eastAsia="Verdana" w:hAnsi="Humanst521 BT" w:cs="Verdana"/>
          <w:sz w:val="22"/>
          <w:szCs w:val="22"/>
          <w:lang w:val="es-ES" w:eastAsia="en-US"/>
        </w:rPr>
        <w:t xml:space="preserve">, como insumo para la planeación integral en salud. </w:t>
      </w:r>
    </w:p>
    <w:p w14:paraId="423390D4" w14:textId="3A531A11" w:rsidR="00244200" w:rsidRPr="007F0FA7" w:rsidRDefault="00244200" w:rsidP="00093B44">
      <w:pPr>
        <w:pStyle w:val="Textoindependiente"/>
        <w:spacing w:before="160"/>
        <w:ind w:left="342" w:right="380"/>
        <w:jc w:val="both"/>
        <w:rPr>
          <w:rFonts w:ascii="Humanst521 BT" w:hAnsi="Humanst521 BT"/>
          <w:sz w:val="22"/>
          <w:szCs w:val="22"/>
        </w:rPr>
      </w:pPr>
    </w:p>
    <w:p w14:paraId="231BB6DB" w14:textId="77777777" w:rsidR="00E32CB0" w:rsidRPr="007F0FA7" w:rsidRDefault="00E32CB0" w:rsidP="00093B44">
      <w:pPr>
        <w:pStyle w:val="Textoindependiente"/>
        <w:spacing w:before="160"/>
        <w:ind w:left="342" w:right="380"/>
        <w:jc w:val="both"/>
        <w:rPr>
          <w:rFonts w:ascii="Humanst521 BT" w:hAnsi="Humanst521 BT"/>
          <w:sz w:val="22"/>
          <w:szCs w:val="22"/>
        </w:rPr>
      </w:pPr>
    </w:p>
    <w:p w14:paraId="72083964" w14:textId="77777777" w:rsidR="0022233A" w:rsidRPr="007F0FA7" w:rsidRDefault="0022233A" w:rsidP="00093B44">
      <w:pPr>
        <w:pStyle w:val="Textoindependiente"/>
        <w:spacing w:before="160"/>
        <w:ind w:left="342" w:right="380"/>
        <w:jc w:val="both"/>
        <w:rPr>
          <w:rFonts w:ascii="Humanst521 BT" w:hAnsi="Humanst521 BT"/>
          <w:sz w:val="22"/>
          <w:szCs w:val="22"/>
        </w:rPr>
      </w:pPr>
    </w:p>
    <w:p w14:paraId="3AC23CCF" w14:textId="77777777" w:rsidR="0022233A" w:rsidRPr="007F0FA7" w:rsidRDefault="0022233A" w:rsidP="00093B44">
      <w:pPr>
        <w:pStyle w:val="Textoindependiente"/>
        <w:spacing w:before="160"/>
        <w:ind w:left="342" w:right="380"/>
        <w:jc w:val="both"/>
        <w:rPr>
          <w:rFonts w:ascii="Humanst521 BT" w:hAnsi="Humanst521 BT"/>
          <w:sz w:val="22"/>
          <w:szCs w:val="22"/>
        </w:rPr>
      </w:pPr>
    </w:p>
    <w:p w14:paraId="2B401C54" w14:textId="77777777" w:rsidR="0022233A" w:rsidRPr="007F0FA7" w:rsidRDefault="0022233A" w:rsidP="00093B44">
      <w:pPr>
        <w:pStyle w:val="Textoindependiente"/>
        <w:spacing w:before="160"/>
        <w:ind w:left="342" w:right="380"/>
        <w:jc w:val="both"/>
        <w:rPr>
          <w:rFonts w:ascii="Humanst521 BT" w:hAnsi="Humanst521 BT"/>
          <w:sz w:val="22"/>
          <w:szCs w:val="22"/>
        </w:rPr>
      </w:pPr>
    </w:p>
    <w:p w14:paraId="38060A9D" w14:textId="77777777" w:rsidR="0022233A" w:rsidRPr="007F0FA7" w:rsidRDefault="0022233A" w:rsidP="00093B44">
      <w:pPr>
        <w:pStyle w:val="Textoindependiente"/>
        <w:spacing w:before="160"/>
        <w:ind w:left="342" w:right="380"/>
        <w:jc w:val="both"/>
        <w:rPr>
          <w:rFonts w:ascii="Humanst521 BT" w:hAnsi="Humanst521 BT"/>
          <w:sz w:val="22"/>
          <w:szCs w:val="22"/>
        </w:rPr>
      </w:pPr>
    </w:p>
    <w:p w14:paraId="5FC557B5" w14:textId="77777777" w:rsidR="0022233A" w:rsidRPr="007F0FA7" w:rsidRDefault="0022233A" w:rsidP="00093B44">
      <w:pPr>
        <w:pStyle w:val="Textoindependiente"/>
        <w:spacing w:before="160"/>
        <w:ind w:left="342" w:right="380"/>
        <w:jc w:val="both"/>
        <w:rPr>
          <w:rFonts w:ascii="Humanst521 BT" w:hAnsi="Humanst521 BT"/>
          <w:sz w:val="22"/>
          <w:szCs w:val="22"/>
        </w:rPr>
      </w:pPr>
    </w:p>
    <w:p w14:paraId="5EB461C6" w14:textId="77777777" w:rsidR="0022233A" w:rsidRPr="007F0FA7" w:rsidRDefault="0022233A" w:rsidP="00093B44">
      <w:pPr>
        <w:pStyle w:val="Textoindependiente"/>
        <w:spacing w:before="160"/>
        <w:ind w:left="342" w:right="380"/>
        <w:jc w:val="both"/>
        <w:rPr>
          <w:rFonts w:ascii="Humanst521 BT" w:hAnsi="Humanst521 BT"/>
          <w:sz w:val="22"/>
          <w:szCs w:val="22"/>
        </w:rPr>
      </w:pPr>
    </w:p>
    <w:p w14:paraId="0758EF1C" w14:textId="77777777" w:rsidR="0022233A" w:rsidRPr="007F0FA7" w:rsidRDefault="0022233A" w:rsidP="00093B44">
      <w:pPr>
        <w:pStyle w:val="Textoindependiente"/>
        <w:spacing w:before="160"/>
        <w:ind w:left="342" w:right="380"/>
        <w:jc w:val="both"/>
        <w:rPr>
          <w:rFonts w:ascii="Humanst521 BT" w:hAnsi="Humanst521 BT"/>
          <w:sz w:val="22"/>
          <w:szCs w:val="22"/>
        </w:rPr>
      </w:pPr>
    </w:p>
    <w:p w14:paraId="7A0EF451" w14:textId="77777777" w:rsidR="0022233A" w:rsidRPr="007F0FA7" w:rsidRDefault="0022233A" w:rsidP="00093B44">
      <w:pPr>
        <w:pStyle w:val="Textoindependiente"/>
        <w:spacing w:before="160"/>
        <w:ind w:left="342" w:right="380"/>
        <w:jc w:val="both"/>
        <w:rPr>
          <w:rFonts w:ascii="Humanst521 BT" w:hAnsi="Humanst521 BT"/>
          <w:sz w:val="22"/>
          <w:szCs w:val="22"/>
        </w:rPr>
      </w:pPr>
    </w:p>
    <w:bookmarkStart w:id="3" w:name="_Toc231286776"/>
    <w:p w14:paraId="53DE28AD" w14:textId="052DEB7A" w:rsidR="00244200" w:rsidRPr="00631473" w:rsidRDefault="007C1956" w:rsidP="00B6007F">
      <w:pPr>
        <w:pStyle w:val="Ttulo1"/>
        <w:numPr>
          <w:ilvl w:val="0"/>
          <w:numId w:val="1"/>
        </w:numPr>
        <w:tabs>
          <w:tab w:val="left" w:pos="1048"/>
        </w:tabs>
        <w:ind w:left="1048" w:hanging="706"/>
        <w:rPr>
          <w:rFonts w:ascii="Humanst521 BT" w:eastAsiaTheme="majorEastAsia" w:hAnsi="Humanst521 BT" w:cstheme="majorBidi"/>
          <w:b/>
          <w:bCs/>
          <w:color w:val="2F5496" w:themeColor="accent1" w:themeShade="BF"/>
          <w:sz w:val="32"/>
          <w:szCs w:val="32"/>
          <w:lang w:eastAsia="es-CO"/>
        </w:rPr>
      </w:pPr>
      <w:r w:rsidRPr="00631473">
        <w:rPr>
          <w:rFonts w:ascii="Humanst521 BT" w:eastAsiaTheme="majorEastAsia" w:hAnsi="Humanst521 BT" w:cstheme="majorBidi"/>
          <w:b/>
          <w:bCs/>
          <w:noProof/>
          <w:color w:val="2F5496" w:themeColor="accent1" w:themeShade="BF"/>
          <w:sz w:val="32"/>
          <w:szCs w:val="32"/>
          <w:lang w:eastAsia="es-CO"/>
        </w:rPr>
        <mc:AlternateContent>
          <mc:Choice Requires="wpg">
            <w:drawing>
              <wp:anchor distT="0" distB="0" distL="0" distR="0" simplePos="0" relativeHeight="251531776" behindDoc="0" locked="0" layoutInCell="1" allowOverlap="1" wp14:anchorId="54357BFA" wp14:editId="22E215D7">
                <wp:simplePos x="0" y="0"/>
                <wp:positionH relativeFrom="page">
                  <wp:posOffset>7636509</wp:posOffset>
                </wp:positionH>
                <wp:positionV relativeFrom="page">
                  <wp:posOffset>0</wp:posOffset>
                </wp:positionV>
                <wp:extent cx="135890" cy="196342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50" name="Graphic 50"/>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51" name="Graphic 51"/>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52" name="Graphic 52"/>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53" name="Graphic 53"/>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02465A65" id="Group 49" o:spid="_x0000_s1026" style="position:absolute;margin-left:601.3pt;margin-top:0;width:10.7pt;height:154.6pt;z-index:251531776;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">
                <v:shape id="Graphic 50"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" path="m,473467r135889,1l135889,,,,,473467xe" fillcolor="#33aea3" stroked="f">
                  <v:path arrowok="t"/>
                </v:shape>
                <v:shape id="Graphic 51"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" path="m,l,498641r135889,l135889,,,xe" fillcolor="#5cbeb6" stroked="f">
                  <v:path arrowok="t"/>
                </v:shape>
                <v:shape id="Graphic 52"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" path="m,l,498615r135889,1l135889,,,xe" fillcolor="#85cfc7" stroked="f">
                  <v:path arrowok="t"/>
                </v:shape>
                <v:shape id="Graphic 53"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" path="m,498424r135889,l135889,,,,,498424xe" fillcolor="#d5eeec" stroked="f">
                  <v:path arrowok="t"/>
                </v:shape>
                <w10:wrap anchorx="page" anchory="page"/>
              </v:group>
            </w:pict>
          </mc:Fallback>
        </mc:AlternateContent>
      </w:r>
      <w:r w:rsidR="00092228" w:rsidRPr="00631473">
        <w:rPr>
          <w:rFonts w:ascii="Humanst521 BT" w:eastAsiaTheme="majorEastAsia" w:hAnsi="Humanst521 BT" w:cstheme="majorBidi"/>
          <w:b/>
          <w:bCs/>
          <w:color w:val="2F5496" w:themeColor="accent1" w:themeShade="BF"/>
          <w:sz w:val="32"/>
          <w:szCs w:val="32"/>
          <w:lang w:eastAsia="es-CO"/>
        </w:rPr>
        <w:t>MARCO NORMATIVO</w:t>
      </w:r>
      <w:bookmarkEnd w:id="3"/>
    </w:p>
    <w:p w14:paraId="0CCB56EF" w14:textId="77777777" w:rsidR="00244200" w:rsidRPr="007F0FA7" w:rsidRDefault="007C1956" w:rsidP="00093B44">
      <w:pPr>
        <w:pStyle w:val="Textoindependiente"/>
        <w:spacing w:before="11"/>
        <w:rPr>
          <w:rFonts w:ascii="Humanst521 BT" w:hAnsi="Humanst521 BT"/>
          <w:sz w:val="22"/>
          <w:szCs w:val="22"/>
        </w:rPr>
      </w:pPr>
      <w:r w:rsidRPr="007F0FA7">
        <w:rPr>
          <w:rFonts w:ascii="Humanst521 BT" w:hAnsi="Humanst521 BT"/>
          <w:noProof/>
          <w:sz w:val="22"/>
          <w:szCs w:val="22"/>
        </w:rPr>
        <mc:AlternateContent>
          <mc:Choice Requires="wps">
            <w:drawing>
              <wp:anchor distT="0" distB="0" distL="0" distR="0" simplePos="0" relativeHeight="251791872" behindDoc="1" locked="0" layoutInCell="1" allowOverlap="1" wp14:anchorId="566CA1C9" wp14:editId="20877D34">
                <wp:simplePos x="0" y="0"/>
                <wp:positionH relativeFrom="page">
                  <wp:posOffset>1080135</wp:posOffset>
                </wp:positionH>
                <wp:positionV relativeFrom="paragraph">
                  <wp:posOffset>161437</wp:posOffset>
                </wp:positionV>
                <wp:extent cx="4967605"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7605" cy="1270"/>
                        </a:xfrm>
                        <a:custGeom>
                          <a:avLst/>
                          <a:gdLst/>
                          <a:ahLst/>
                          <a:cxnLst/>
                          <a:rect l="l" t="t" r="r" b="b"/>
                          <a:pathLst>
                            <a:path w="4967605">
                              <a:moveTo>
                                <a:pt x="0" y="0"/>
                              </a:moveTo>
                              <a:lnTo>
                                <a:pt x="4967605" y="0"/>
                              </a:lnTo>
                            </a:path>
                          </a:pathLst>
                        </a:custGeom>
                        <a:ln w="12700">
                          <a:solidFill>
                            <a:srgbClr val="31B0A4"/>
                          </a:solidFill>
                          <a:prstDash val="solid"/>
                        </a:ln>
                      </wps:spPr>
                      <wps:bodyPr wrap="square" lIns="0" tIns="0" rIns="0" bIns="0" rtlCol="0">
                        <a:prstTxWarp prst="textNoShape">
                          <a:avLst/>
                        </a:prstTxWarp>
                        <a:noAutofit/>
                      </wps:bodyPr>
                    </wps:wsp>
                  </a:graphicData>
                </a:graphic>
              </wp:anchor>
            </w:drawing>
          </mc:Choice>
          <mc:Fallback>
            <w:pict>
              <v:shape w14:anchorId="1510CEAB" id="Graphic 54" o:spid="_x0000_s1026" style="position:absolute;margin-left:85.05pt;margin-top:12.7pt;width:391.15pt;height:.1pt;z-index:-251524608;visibility:visible;mso-wrap-style:square;mso-wrap-distance-left:0;mso-wrap-distance-top:0;mso-wrap-distance-right:0;mso-wrap-distance-bottom:0;mso-position-horizontal:absolute;mso-position-horizontal-relative:page;mso-position-vertical:absolute;mso-position-vertical-relative:text;v-text-anchor:top" coordsize="4967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" path="m,l4967605,e" filled="f" strokecolor="#31b0a4" strokeweight="1pt">
                <v:path arrowok="t"/>
                <w10:wrap type="topAndBottom" anchorx="page"/>
              </v:shape>
            </w:pict>
          </mc:Fallback>
        </mc:AlternateContent>
      </w:r>
    </w:p>
    <w:p w14:paraId="0FBA6991" w14:textId="77777777" w:rsidR="00244200" w:rsidRPr="007F0FA7" w:rsidRDefault="00244200" w:rsidP="00093B44">
      <w:pPr>
        <w:pStyle w:val="Textoindependiente"/>
        <w:rPr>
          <w:rFonts w:ascii="Humanst521 BT" w:hAnsi="Humanst521 BT"/>
          <w:sz w:val="22"/>
          <w:szCs w:val="22"/>
        </w:rPr>
      </w:pPr>
    </w:p>
    <w:p w14:paraId="15A5884C"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Ley 2294 de 2023: Establece el Plan Nacional de Desarrollo 2022-2026 "Colombia Potencia Mundial de la Vida", con el objetivo de crear un nuevo contrato social que supere las injusticias históricas y propicie una vida digna y la paz total, en armonía con la naturaleza.</w:t>
      </w:r>
    </w:p>
    <w:p w14:paraId="0A6A9B90"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Ley 1751 de 2015: Reconoce el derecho fundamental a la salud e incluye una política para el manejo de la información en salud, mediante un sistema único que integra componentes demográficos, socioeconómicos, epidemiológicos, clínicos, administrativos y financieros.</w:t>
      </w:r>
    </w:p>
    <w:p w14:paraId="36DE8F85"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Decreto 4107 de 2011: Define la estructura del Ministerio de Salud y Protección Social, destacando las funciones de la Dirección de Epidemiología y Demografía en la vigilancia sanitaria y en la elaboración de estudios de salud pública y análisis de situación de salud (ASIS).</w:t>
      </w:r>
    </w:p>
    <w:p w14:paraId="1334C19A"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Decreto 3518 de 2006: Reglamenta el Sistema de Vigilancia en Salud Pública, estableciendo la necesidad de realizar análisis de la situación de salud para priorizar áreas de intervención.</w:t>
      </w:r>
    </w:p>
    <w:p w14:paraId="69F3F414"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Resolución 100 de 2024: Regula la Planeación Integral para la Salud, que define responsabilidades de los actores del sistema de salud en el marco del Plan Decenal de Salud Pública (PDSP) 2022-2031, priorizando la Atención Primaria en Salud (APS).</w:t>
      </w:r>
    </w:p>
    <w:p w14:paraId="4EE799E0"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Resolución 1035 de 2022 y Resolución 2367 de 2023: Adoptan el PDSP 2022-2031, estableciendo directrices para el análisis de situación de salud y metodologías para la planeación integral en salud.</w:t>
      </w:r>
    </w:p>
    <w:p w14:paraId="260714D2"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Resolución 295 de 2023: Modifica la gestión de salud pública y las responsabilidades en la ejecución del Plan de Salud Pública de Intervenciones Colectivas (PIC).</w:t>
      </w:r>
    </w:p>
    <w:p w14:paraId="78B68C16"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 xml:space="preserve">Resolución 464 de 2022: Adopta un capítulo diferencial para el pueblo </w:t>
      </w:r>
      <w:proofErr w:type="spellStart"/>
      <w:r w:rsidRPr="007F0FA7">
        <w:rPr>
          <w:rFonts w:ascii="Humanst521 BT" w:hAnsi="Humanst521 BT"/>
        </w:rPr>
        <w:t>Rrom</w:t>
      </w:r>
      <w:proofErr w:type="spellEnd"/>
      <w:r w:rsidRPr="007F0FA7">
        <w:rPr>
          <w:rFonts w:ascii="Humanst521 BT" w:hAnsi="Humanst521 BT"/>
        </w:rPr>
        <w:t xml:space="preserve"> y establece variables interculturales en los análisis de situación de salud territoriales.</w:t>
      </w:r>
    </w:p>
    <w:p w14:paraId="0E2912FE"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Resolución 050 de 2021: Adopta el capítulo indígena dentro del PDSP 2012-2021.</w:t>
      </w:r>
    </w:p>
    <w:p w14:paraId="58CA5C6F"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Resolución 497 de 2021: Establece los criterios para la autorización y permanencia de las entidades responsables del aseguramiento en salud.</w:t>
      </w:r>
    </w:p>
    <w:p w14:paraId="6648F712" w14:textId="77777777" w:rsidR="009B5AE3" w:rsidRPr="007F0FA7"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Resolución 2063 de 2017: Regula la política de participación social en salud, con fundamentos en las Leyes 1438 de 2011 y 1751 de 2015.</w:t>
      </w:r>
    </w:p>
    <w:p w14:paraId="183B6B32" w14:textId="77777777" w:rsidR="009B5AE3" w:rsidRDefault="009B5AE3" w:rsidP="00B6007F">
      <w:pPr>
        <w:widowControl/>
        <w:numPr>
          <w:ilvl w:val="0"/>
          <w:numId w:val="2"/>
        </w:numPr>
        <w:autoSpaceDE/>
        <w:autoSpaceDN/>
        <w:spacing w:before="100" w:beforeAutospacing="1" w:after="100" w:afterAutospacing="1"/>
        <w:jc w:val="both"/>
        <w:rPr>
          <w:rFonts w:ascii="Humanst521 BT" w:hAnsi="Humanst521 BT"/>
        </w:rPr>
      </w:pPr>
      <w:r w:rsidRPr="007F0FA7">
        <w:rPr>
          <w:rFonts w:ascii="Humanst521 BT" w:hAnsi="Humanst521 BT"/>
        </w:rPr>
        <w:t>Resolución 518 de 2015: Establece directrices para la ejecución, seguimiento y evaluación del Plan de Salud Pública de Intervenciones Colectivas (PIC).</w:t>
      </w:r>
    </w:p>
    <w:p w14:paraId="2A2F6F8D" w14:textId="6E7414DF" w:rsidR="00BE1CEE" w:rsidRPr="007F0FA7" w:rsidRDefault="00BE1CEE" w:rsidP="00BF6A8E">
      <w:pPr>
        <w:widowControl/>
        <w:autoSpaceDE/>
        <w:autoSpaceDN/>
        <w:spacing w:before="100" w:beforeAutospacing="1" w:after="100" w:afterAutospacing="1"/>
        <w:ind w:left="720"/>
        <w:jc w:val="both"/>
        <w:rPr>
          <w:rFonts w:ascii="Humanst521 BT" w:hAnsi="Humanst521 BT"/>
        </w:rPr>
      </w:pPr>
    </w:p>
    <w:p w14:paraId="3A8C2818" w14:textId="77777777" w:rsidR="009B5AE3" w:rsidRPr="007F0FA7" w:rsidRDefault="009B5AE3" w:rsidP="00093B44">
      <w:pPr>
        <w:widowControl/>
        <w:autoSpaceDE/>
        <w:autoSpaceDN/>
        <w:spacing w:before="100" w:beforeAutospacing="1" w:after="100" w:afterAutospacing="1"/>
        <w:jc w:val="both"/>
        <w:rPr>
          <w:rFonts w:ascii="Humanst521 BT" w:hAnsi="Humanst521 BT"/>
        </w:rPr>
      </w:pPr>
      <w:r w:rsidRPr="007F0FA7">
        <w:rPr>
          <w:rFonts w:ascii="Humanst521 BT" w:hAnsi="Humanst521 BT"/>
        </w:rPr>
        <w:t>Estas normas destacan la importancia del Análisis de Situación de Salud (ASIS) para la planificación territorial en salud y la priorización de acciones, en coherencia con los determinantes sociales y las intervenciones propuestas en los planes de salud.</w:t>
      </w:r>
    </w:p>
    <w:p w14:paraId="03231612" w14:textId="77777777" w:rsidR="009B5AE3" w:rsidRPr="007F0FA7" w:rsidRDefault="009B5AE3" w:rsidP="00093B44">
      <w:pPr>
        <w:pStyle w:val="Textoindependiente"/>
        <w:jc w:val="both"/>
        <w:rPr>
          <w:rFonts w:ascii="Humanst521 BT" w:hAnsi="Humanst521 BT"/>
          <w:sz w:val="22"/>
          <w:szCs w:val="22"/>
        </w:rPr>
      </w:pPr>
    </w:p>
    <w:p w14:paraId="0156094A" w14:textId="77777777" w:rsidR="0022233A" w:rsidRPr="007F0FA7" w:rsidRDefault="0022233A" w:rsidP="00093B44">
      <w:pPr>
        <w:pStyle w:val="Textoindependiente"/>
        <w:jc w:val="both"/>
        <w:rPr>
          <w:rFonts w:ascii="Humanst521 BT" w:hAnsi="Humanst521 BT"/>
          <w:sz w:val="22"/>
          <w:szCs w:val="22"/>
        </w:rPr>
      </w:pPr>
    </w:p>
    <w:p w14:paraId="11DB9835" w14:textId="77777777" w:rsidR="0022233A" w:rsidRPr="007F0FA7" w:rsidRDefault="0022233A" w:rsidP="00093B44">
      <w:pPr>
        <w:pStyle w:val="Textoindependiente"/>
        <w:jc w:val="both"/>
        <w:rPr>
          <w:rFonts w:ascii="Humanst521 BT" w:hAnsi="Humanst521 BT"/>
          <w:sz w:val="22"/>
          <w:szCs w:val="22"/>
        </w:rPr>
      </w:pPr>
    </w:p>
    <w:p w14:paraId="105D6FB1" w14:textId="77777777" w:rsidR="0022233A" w:rsidRPr="007F0FA7" w:rsidRDefault="0022233A" w:rsidP="00093B44">
      <w:pPr>
        <w:pStyle w:val="Textoindependiente"/>
        <w:jc w:val="both"/>
        <w:rPr>
          <w:rFonts w:ascii="Humanst521 BT" w:hAnsi="Humanst521 BT"/>
          <w:sz w:val="22"/>
          <w:szCs w:val="22"/>
        </w:rPr>
      </w:pPr>
    </w:p>
    <w:p w14:paraId="72BEE27A" w14:textId="77777777" w:rsidR="0022233A" w:rsidRPr="007F0FA7" w:rsidRDefault="0022233A" w:rsidP="00093B44">
      <w:pPr>
        <w:pStyle w:val="Textoindependiente"/>
        <w:jc w:val="both"/>
        <w:rPr>
          <w:rFonts w:ascii="Humanst521 BT" w:hAnsi="Humanst521 BT"/>
          <w:sz w:val="22"/>
          <w:szCs w:val="22"/>
        </w:rPr>
      </w:pPr>
    </w:p>
    <w:p w14:paraId="077DA47C" w14:textId="222F6577" w:rsidR="00244200" w:rsidRPr="007F0FA7" w:rsidRDefault="007C1956" w:rsidP="00093B44">
      <w:pPr>
        <w:pStyle w:val="Textoindependiente"/>
        <w:rPr>
          <w:rFonts w:ascii="Humanst521 BT" w:hAnsi="Humanst521 BT"/>
          <w:sz w:val="22"/>
          <w:szCs w:val="22"/>
        </w:rPr>
      </w:pPr>
      <w:r w:rsidRPr="007F0FA7">
        <w:rPr>
          <w:rFonts w:ascii="Humanst521 BT" w:hAnsi="Humanst521 BT"/>
          <w:noProof/>
          <w:sz w:val="22"/>
          <w:szCs w:val="22"/>
        </w:rPr>
        <mc:AlternateContent>
          <mc:Choice Requires="wpg">
            <w:drawing>
              <wp:anchor distT="0" distB="0" distL="0" distR="0" simplePos="0" relativeHeight="251556352" behindDoc="0" locked="0" layoutInCell="1" allowOverlap="1" wp14:anchorId="1DAAA18B" wp14:editId="07AEFEDE">
                <wp:simplePos x="0" y="0"/>
                <wp:positionH relativeFrom="page">
                  <wp:posOffset>7636509</wp:posOffset>
                </wp:positionH>
                <wp:positionV relativeFrom="page">
                  <wp:posOffset>0</wp:posOffset>
                </wp:positionV>
                <wp:extent cx="135890" cy="196342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81" name="Graphic 81"/>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82" name="Graphic 82"/>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83" name="Graphic 83"/>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84" name="Graphic 84"/>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6E888B6B" id="Group 80" o:spid="_x0000_s1026" style="position:absolute;margin-left:601.3pt;margin-top:0;width:10.7pt;height:154.6pt;z-index:251556352;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">
                <v:shape id="Graphic 81"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" path="m,473467r135889,1l135889,,,,,473467xe" fillcolor="#33aea3" stroked="f">
                  <v:path arrowok="t"/>
                </v:shape>
                <v:shape id="Graphic 82"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" path="m,l,498641r135889,l135889,,,xe" fillcolor="#5cbeb6" stroked="f">
                  <v:path arrowok="t"/>
                </v:shape>
                <v:shape id="Graphic 83"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" path="m,l,498615r135889,1l135889,,,xe" fillcolor="#85cfc7" stroked="f">
                  <v:path arrowok="t"/>
                </v:shape>
                <v:shape id="Graphic 84"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" path="m,498424r135889,l135889,,,,,498424xe" fillcolor="#d5eeec" stroked="f">
                  <v:path arrowok="t"/>
                </v:shape>
                <w10:wrap anchorx="page" anchory="page"/>
              </v:group>
            </w:pict>
          </mc:Fallback>
        </mc:AlternateContent>
      </w:r>
    </w:p>
    <w:p w14:paraId="7A1BD780" w14:textId="7CE7E970" w:rsidR="00244200" w:rsidRPr="00631473" w:rsidRDefault="00092228" w:rsidP="00631473">
      <w:pPr>
        <w:pStyle w:val="Ttulo1"/>
        <w:numPr>
          <w:ilvl w:val="0"/>
          <w:numId w:val="1"/>
        </w:numPr>
        <w:tabs>
          <w:tab w:val="left" w:pos="1047"/>
        </w:tabs>
        <w:ind w:left="1048" w:hanging="706"/>
        <w:rPr>
          <w:rFonts w:ascii="Humanst521 BT" w:eastAsiaTheme="majorEastAsia" w:hAnsi="Humanst521 BT" w:cstheme="majorBidi"/>
          <w:b/>
          <w:bCs/>
          <w:color w:val="2F5496" w:themeColor="accent1" w:themeShade="BF"/>
          <w:sz w:val="32"/>
          <w:szCs w:val="32"/>
          <w:lang w:eastAsia="es-CO"/>
        </w:rPr>
      </w:pPr>
      <w:bookmarkStart w:id="4" w:name="_Toc231286777"/>
      <w:r w:rsidRPr="00631473">
        <w:rPr>
          <w:rFonts w:ascii="Humanst521 BT" w:eastAsiaTheme="majorEastAsia" w:hAnsi="Humanst521 BT" w:cstheme="majorBidi"/>
          <w:b/>
          <w:bCs/>
          <w:color w:val="2F5496" w:themeColor="accent1" w:themeShade="BF"/>
          <w:sz w:val="32"/>
          <w:szCs w:val="32"/>
          <w:lang w:eastAsia="es-CO"/>
        </w:rPr>
        <w:t>MARCO ESTRATÉGICO DEL PLAN DECENAL DE SALUD PÚBLICA 2022- 2031</w:t>
      </w:r>
      <w:bookmarkEnd w:id="4"/>
    </w:p>
    <w:p w14:paraId="19273B05" w14:textId="77777777" w:rsidR="00244200" w:rsidRPr="007F0FA7" w:rsidRDefault="007C1956" w:rsidP="00093B44">
      <w:pPr>
        <w:pStyle w:val="Textoindependiente"/>
        <w:spacing w:before="11"/>
        <w:rPr>
          <w:rFonts w:ascii="Humanst521 BT" w:hAnsi="Humanst521 BT"/>
          <w:sz w:val="22"/>
          <w:szCs w:val="22"/>
        </w:rPr>
      </w:pPr>
      <w:r w:rsidRPr="007F0FA7">
        <w:rPr>
          <w:rFonts w:ascii="Humanst521 BT" w:hAnsi="Humanst521 BT"/>
          <w:noProof/>
          <w:sz w:val="22"/>
          <w:szCs w:val="22"/>
        </w:rPr>
        <mc:AlternateContent>
          <mc:Choice Requires="wps">
            <w:drawing>
              <wp:anchor distT="0" distB="0" distL="0" distR="0" simplePos="0" relativeHeight="251816448" behindDoc="1" locked="0" layoutInCell="1" allowOverlap="1" wp14:anchorId="54D7C3C3" wp14:editId="747E05D9">
                <wp:simplePos x="0" y="0"/>
                <wp:positionH relativeFrom="page">
                  <wp:posOffset>1080135</wp:posOffset>
                </wp:positionH>
                <wp:positionV relativeFrom="paragraph">
                  <wp:posOffset>161455</wp:posOffset>
                </wp:positionV>
                <wp:extent cx="4967605"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7605" cy="1270"/>
                        </a:xfrm>
                        <a:custGeom>
                          <a:avLst/>
                          <a:gdLst/>
                          <a:ahLst/>
                          <a:cxnLst/>
                          <a:rect l="l" t="t" r="r" b="b"/>
                          <a:pathLst>
                            <a:path w="4967605">
                              <a:moveTo>
                                <a:pt x="0" y="0"/>
                              </a:moveTo>
                              <a:lnTo>
                                <a:pt x="4967605" y="0"/>
                              </a:lnTo>
                            </a:path>
                          </a:pathLst>
                        </a:custGeom>
                        <a:ln w="12700">
                          <a:solidFill>
                            <a:srgbClr val="31B0A4"/>
                          </a:solidFill>
                          <a:prstDash val="solid"/>
                        </a:ln>
                      </wps:spPr>
                      <wps:bodyPr wrap="square" lIns="0" tIns="0" rIns="0" bIns="0" rtlCol="0">
                        <a:prstTxWarp prst="textNoShape">
                          <a:avLst/>
                        </a:prstTxWarp>
                        <a:noAutofit/>
                      </wps:bodyPr>
                    </wps:wsp>
                  </a:graphicData>
                </a:graphic>
              </wp:anchor>
            </w:drawing>
          </mc:Choice>
          <mc:Fallback>
            <w:pict>
              <v:shape w14:anchorId="3408FB73" id="Graphic 85" o:spid="_x0000_s1026" style="position:absolute;margin-left:85.05pt;margin-top:12.7pt;width:391.15pt;height:.1pt;z-index:-251500032;visibility:visible;mso-wrap-style:square;mso-wrap-distance-left:0;mso-wrap-distance-top:0;mso-wrap-distance-right:0;mso-wrap-distance-bottom:0;mso-position-horizontal:absolute;mso-position-horizontal-relative:page;mso-position-vertical:absolute;mso-position-vertical-relative:text;v-text-anchor:top" coordsize="4967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" path="m,l4967605,e" filled="f" strokecolor="#31b0a4" strokeweight="1pt">
                <v:path arrowok="t"/>
                <w10:wrap type="topAndBottom" anchorx="page"/>
              </v:shape>
            </w:pict>
          </mc:Fallback>
        </mc:AlternateContent>
      </w:r>
    </w:p>
    <w:p w14:paraId="110FE97D" w14:textId="77777777" w:rsidR="00244200" w:rsidRPr="007F0FA7" w:rsidRDefault="007C1956" w:rsidP="001A3471">
      <w:pPr>
        <w:pStyle w:val="Textoindependiente"/>
        <w:spacing w:before="630"/>
        <w:ind w:right="379"/>
        <w:jc w:val="both"/>
        <w:rPr>
          <w:rFonts w:ascii="Humanst521 BT" w:hAnsi="Humanst521 BT"/>
          <w:sz w:val="22"/>
          <w:szCs w:val="22"/>
        </w:rPr>
      </w:pPr>
      <w:r w:rsidRPr="007F0FA7">
        <w:rPr>
          <w:rFonts w:ascii="Humanst521 BT" w:hAnsi="Humanst521 BT"/>
          <w:sz w:val="22"/>
          <w:szCs w:val="22"/>
        </w:rPr>
        <w:t>Se desarrolla a través de la lógica de los ordenadores propuestos en el PDSP 2022-2024, los cuales responden a los Ejes estratégicos y se visualizan desde el nivel territorial. El objetivo específico que tiene cada uno de los ejes estratégicos se sintetiza en la siguiente tabla.</w:t>
      </w:r>
    </w:p>
    <w:p w14:paraId="2A7D1C81" w14:textId="77777777" w:rsidR="00244200" w:rsidRPr="007F0FA7" w:rsidRDefault="00244200" w:rsidP="00093B44">
      <w:pPr>
        <w:pStyle w:val="Textoindependiente"/>
        <w:spacing w:before="44"/>
        <w:rPr>
          <w:rFonts w:ascii="Humanst521 BT" w:hAnsi="Humanst521 BT"/>
          <w:sz w:val="22"/>
          <w:szCs w:val="22"/>
        </w:rPr>
      </w:pPr>
    </w:p>
    <w:p w14:paraId="1CBB4E44" w14:textId="67E6E015" w:rsidR="00244200" w:rsidRPr="007F0FA7" w:rsidRDefault="00B876D7" w:rsidP="00093B44">
      <w:pPr>
        <w:pStyle w:val="Textoindependiente"/>
        <w:ind w:left="342"/>
        <w:jc w:val="both"/>
        <w:rPr>
          <w:rFonts w:ascii="Humanst521 BT" w:hAnsi="Humanst521 BT"/>
          <w:sz w:val="22"/>
          <w:szCs w:val="22"/>
        </w:rPr>
      </w:pPr>
      <w:bookmarkStart w:id="5" w:name="_Toc231286246"/>
      <w:r w:rsidRPr="000712D6">
        <w:rPr>
          <w:rFonts w:ascii="Humanst521 BT" w:hAnsi="Humanst521 BT" w:cstheme="minorBidi"/>
          <w:sz w:val="22"/>
          <w:szCs w:val="22"/>
        </w:rPr>
        <w:t xml:space="preserve">Tabla </w:t>
      </w:r>
      <w:r w:rsidRPr="000712D6">
        <w:rPr>
          <w:rFonts w:ascii="Humanst521 BT" w:hAnsi="Humanst521 BT" w:cstheme="minorBidi"/>
          <w:sz w:val="22"/>
          <w:szCs w:val="22"/>
        </w:rPr>
        <w:fldChar w:fldCharType="begin"/>
      </w:r>
      <w:r w:rsidRPr="000712D6">
        <w:rPr>
          <w:rFonts w:ascii="Humanst521 BT" w:hAnsi="Humanst521 BT" w:cstheme="minorBidi"/>
          <w:sz w:val="22"/>
          <w:szCs w:val="22"/>
        </w:rPr>
        <w:instrText xml:space="preserve"> SEQ Tabla \* ARABIC </w:instrText>
      </w:r>
      <w:r w:rsidRPr="000712D6">
        <w:rPr>
          <w:rFonts w:ascii="Humanst521 BT" w:hAnsi="Humanst521 BT" w:cstheme="minorBidi"/>
          <w:sz w:val="22"/>
          <w:szCs w:val="22"/>
        </w:rPr>
        <w:fldChar w:fldCharType="separate"/>
      </w:r>
      <w:r>
        <w:rPr>
          <w:rFonts w:ascii="Humanst521 BT" w:hAnsi="Humanst521 BT" w:cstheme="minorBidi"/>
          <w:noProof/>
          <w:sz w:val="22"/>
          <w:szCs w:val="22"/>
        </w:rPr>
        <w:t>1</w:t>
      </w:r>
      <w:r w:rsidRPr="000712D6">
        <w:rPr>
          <w:rFonts w:ascii="Humanst521 BT" w:hAnsi="Humanst521 BT" w:cstheme="minorBidi"/>
          <w:sz w:val="22"/>
          <w:szCs w:val="22"/>
        </w:rPr>
        <w:fldChar w:fldCharType="end"/>
      </w:r>
      <w:r w:rsidRPr="000712D6">
        <w:rPr>
          <w:rFonts w:ascii="Humanst521 BT" w:hAnsi="Humanst521 BT" w:cstheme="minorBidi"/>
          <w:sz w:val="22"/>
          <w:szCs w:val="22"/>
        </w:rPr>
        <w:t>.</w:t>
      </w:r>
      <w:r w:rsidR="007C1956" w:rsidRPr="007F0FA7">
        <w:rPr>
          <w:rFonts w:ascii="Humanst521 BT" w:hAnsi="Humanst521 BT"/>
          <w:sz w:val="22"/>
          <w:szCs w:val="22"/>
        </w:rPr>
        <w:t>Objetivos específicos de los ejes estratégicos PDSP 2022-2031</w:t>
      </w:r>
      <w:bookmarkEnd w:id="5"/>
    </w:p>
    <w:p w14:paraId="58B65288" w14:textId="77777777" w:rsidR="00244200" w:rsidRPr="007F0FA7" w:rsidRDefault="00244200" w:rsidP="00093B44">
      <w:pPr>
        <w:pStyle w:val="Textoindependiente"/>
        <w:spacing w:before="136" w:after="1"/>
        <w:rPr>
          <w:rFonts w:ascii="Humanst521 BT" w:hAnsi="Humanst521 BT"/>
          <w:sz w:val="22"/>
          <w:szCs w:val="22"/>
        </w:rPr>
      </w:pPr>
    </w:p>
    <w:tbl>
      <w:tblPr>
        <w:tblStyle w:val="NormalTable0"/>
        <w:tblW w:w="452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93"/>
        <w:gridCol w:w="5350"/>
      </w:tblGrid>
      <w:tr w:rsidR="00E32CB0" w:rsidRPr="007F0FA7" w14:paraId="3AFC2066" w14:textId="77777777" w:rsidTr="00C57F78">
        <w:trPr>
          <w:trHeight w:val="149"/>
        </w:trPr>
        <w:tc>
          <w:tcPr>
            <w:tcW w:w="1905" w:type="pct"/>
          </w:tcPr>
          <w:p w14:paraId="6588FE5A" w14:textId="77777777" w:rsidR="00244200" w:rsidRPr="007F0FA7" w:rsidRDefault="007C1956" w:rsidP="00093B44">
            <w:pPr>
              <w:pStyle w:val="TableParagraph"/>
              <w:ind w:left="702"/>
              <w:rPr>
                <w:rFonts w:ascii="Humanst521 BT" w:hAnsi="Humanst521 BT"/>
              </w:rPr>
            </w:pPr>
            <w:r w:rsidRPr="007F0FA7">
              <w:rPr>
                <w:rFonts w:ascii="Humanst521 BT" w:hAnsi="Humanst521 BT"/>
              </w:rPr>
              <w:t>EJE ESTRATÉGICO</w:t>
            </w:r>
          </w:p>
        </w:tc>
        <w:tc>
          <w:tcPr>
            <w:tcW w:w="3095" w:type="pct"/>
          </w:tcPr>
          <w:p w14:paraId="53929F75" w14:textId="77777777" w:rsidR="00244200" w:rsidRPr="007F0FA7" w:rsidRDefault="007C1956" w:rsidP="00093B44">
            <w:pPr>
              <w:pStyle w:val="TableParagraph"/>
              <w:ind w:left="1173"/>
              <w:rPr>
                <w:rFonts w:ascii="Humanst521 BT" w:hAnsi="Humanst521 BT"/>
              </w:rPr>
            </w:pPr>
            <w:r w:rsidRPr="007F0FA7">
              <w:rPr>
                <w:rFonts w:ascii="Humanst521 BT" w:hAnsi="Humanst521 BT"/>
              </w:rPr>
              <w:t>OBJETIVO ESPECÍFICO</w:t>
            </w:r>
          </w:p>
        </w:tc>
      </w:tr>
      <w:tr w:rsidR="00E32CB0" w:rsidRPr="007F0FA7" w14:paraId="6B011C67" w14:textId="77777777" w:rsidTr="00C57F78">
        <w:trPr>
          <w:trHeight w:val="1657"/>
        </w:trPr>
        <w:tc>
          <w:tcPr>
            <w:tcW w:w="1905" w:type="pct"/>
          </w:tcPr>
          <w:p w14:paraId="7573BB2C" w14:textId="77777777" w:rsidR="00244200" w:rsidRPr="007F0FA7" w:rsidRDefault="00244200" w:rsidP="00093B44">
            <w:pPr>
              <w:pStyle w:val="TableParagraph"/>
              <w:rPr>
                <w:rFonts w:ascii="Humanst521 BT" w:hAnsi="Humanst521 BT"/>
              </w:rPr>
            </w:pPr>
          </w:p>
          <w:p w14:paraId="73E08A2E" w14:textId="77777777" w:rsidR="00244200" w:rsidRPr="007F0FA7" w:rsidRDefault="00244200" w:rsidP="00093B44">
            <w:pPr>
              <w:pStyle w:val="TableParagraph"/>
              <w:rPr>
                <w:rFonts w:ascii="Humanst521 BT" w:hAnsi="Humanst521 BT"/>
              </w:rPr>
            </w:pPr>
          </w:p>
          <w:p w14:paraId="08220904" w14:textId="77777777" w:rsidR="00244200" w:rsidRPr="007F0FA7" w:rsidRDefault="00244200" w:rsidP="00093B44">
            <w:pPr>
              <w:pStyle w:val="TableParagraph"/>
              <w:rPr>
                <w:rFonts w:ascii="Humanst521 BT" w:hAnsi="Humanst521 BT"/>
              </w:rPr>
            </w:pPr>
          </w:p>
          <w:p w14:paraId="1CC08D23" w14:textId="77777777" w:rsidR="00244200" w:rsidRPr="007F0FA7" w:rsidRDefault="00244200" w:rsidP="00093B44">
            <w:pPr>
              <w:pStyle w:val="TableParagraph"/>
              <w:rPr>
                <w:rFonts w:ascii="Humanst521 BT" w:hAnsi="Humanst521 BT"/>
              </w:rPr>
            </w:pPr>
          </w:p>
          <w:p w14:paraId="21F33169" w14:textId="77777777" w:rsidR="00244200" w:rsidRPr="007F0FA7" w:rsidRDefault="00244200" w:rsidP="00093B44">
            <w:pPr>
              <w:pStyle w:val="TableParagraph"/>
              <w:spacing w:before="47"/>
              <w:rPr>
                <w:rFonts w:ascii="Humanst521 BT" w:hAnsi="Humanst521 BT"/>
              </w:rPr>
            </w:pPr>
          </w:p>
          <w:p w14:paraId="09BB5DBE" w14:textId="77777777" w:rsidR="00244200" w:rsidRPr="007F0FA7" w:rsidRDefault="007C1956" w:rsidP="00093B44">
            <w:pPr>
              <w:pStyle w:val="TableParagraph"/>
              <w:tabs>
                <w:tab w:val="left" w:pos="813"/>
                <w:tab w:val="left" w:pos="1389"/>
                <w:tab w:val="left" w:pos="3409"/>
              </w:tabs>
              <w:ind w:left="107" w:right="95"/>
              <w:rPr>
                <w:rFonts w:ascii="Humanst521 BT" w:hAnsi="Humanst521 BT"/>
              </w:rPr>
            </w:pPr>
            <w:r w:rsidRPr="007F0FA7">
              <w:rPr>
                <w:rFonts w:ascii="Humanst521 BT" w:hAnsi="Humanst521 BT"/>
              </w:rPr>
              <w:t>Eje</w:t>
            </w:r>
            <w:r w:rsidRPr="007F0FA7">
              <w:rPr>
                <w:rFonts w:ascii="Humanst521 BT" w:hAnsi="Humanst521 BT"/>
              </w:rPr>
              <w:tab/>
              <w:t>1.</w:t>
            </w:r>
            <w:r w:rsidRPr="007F0FA7">
              <w:rPr>
                <w:rFonts w:ascii="Humanst521 BT" w:hAnsi="Humanst521 BT"/>
              </w:rPr>
              <w:tab/>
              <w:t>Gobernabilidad</w:t>
            </w:r>
            <w:r w:rsidRPr="007F0FA7">
              <w:rPr>
                <w:rFonts w:ascii="Humanst521 BT" w:hAnsi="Humanst521 BT"/>
              </w:rPr>
              <w:tab/>
              <w:t>y gobernanza de la salud pública.</w:t>
            </w:r>
          </w:p>
        </w:tc>
        <w:tc>
          <w:tcPr>
            <w:tcW w:w="3095" w:type="pct"/>
          </w:tcPr>
          <w:p w14:paraId="70CC5C62" w14:textId="4DA85842" w:rsidR="00244200" w:rsidRPr="007F0FA7" w:rsidRDefault="007C1956" w:rsidP="00093B44">
            <w:pPr>
              <w:pStyle w:val="TableParagraph"/>
              <w:ind w:left="107" w:right="94"/>
              <w:jc w:val="both"/>
              <w:rPr>
                <w:rFonts w:ascii="Humanst521 BT" w:hAnsi="Humanst521 BT"/>
              </w:rPr>
            </w:pPr>
            <w:r w:rsidRPr="007F0FA7">
              <w:rPr>
                <w:rFonts w:ascii="Humanst521 BT" w:hAnsi="Humanst521 BT"/>
              </w:rPr>
              <w:t>Desarrollar capacidades y liderazgo para la cogestión, coadministración y cogobierno en un diálogo armónico con las formas organizativas de los pueblos y comunidades, organizaciones ciudadanas, sociales y comunitarias, a través del liderazgo y la generación de alianzas, acciones conjuntas, articuladas e integradas para el logro de resultados en salud, según la naturaleza de los problemas y las circunstancias sociales</w:t>
            </w:r>
            <w:r w:rsidR="007F00CB" w:rsidRPr="007F0FA7">
              <w:rPr>
                <w:rFonts w:ascii="Humanst521 BT" w:hAnsi="Humanst521 BT"/>
              </w:rPr>
              <w:t xml:space="preserve"> </w:t>
            </w:r>
            <w:r w:rsidRPr="007F0FA7">
              <w:rPr>
                <w:rFonts w:ascii="Humanst521 BT" w:hAnsi="Humanst521 BT"/>
              </w:rPr>
              <w:t>del territorio.</w:t>
            </w:r>
          </w:p>
        </w:tc>
      </w:tr>
      <w:tr w:rsidR="00E32CB0" w:rsidRPr="007F0FA7" w14:paraId="3EF1398A" w14:textId="77777777" w:rsidTr="00C57F78">
        <w:trPr>
          <w:trHeight w:val="936"/>
        </w:trPr>
        <w:tc>
          <w:tcPr>
            <w:tcW w:w="1905" w:type="pct"/>
          </w:tcPr>
          <w:p w14:paraId="24AB7E8D" w14:textId="77777777" w:rsidR="00244200" w:rsidRPr="007F0FA7" w:rsidRDefault="00244200" w:rsidP="00093B44">
            <w:pPr>
              <w:pStyle w:val="TableParagraph"/>
              <w:spacing w:before="39"/>
              <w:rPr>
                <w:rFonts w:ascii="Humanst521 BT" w:hAnsi="Humanst521 BT"/>
              </w:rPr>
            </w:pPr>
          </w:p>
          <w:p w14:paraId="6222A6AF" w14:textId="77777777" w:rsidR="00244200" w:rsidRPr="007F0FA7" w:rsidRDefault="007C1956" w:rsidP="00093B44">
            <w:pPr>
              <w:pStyle w:val="TableParagraph"/>
              <w:ind w:left="107" w:right="95"/>
              <w:jc w:val="both"/>
              <w:rPr>
                <w:rFonts w:ascii="Humanst521 BT" w:hAnsi="Humanst521 BT"/>
              </w:rPr>
            </w:pPr>
            <w:r w:rsidRPr="007F0FA7">
              <w:rPr>
                <w:rFonts w:ascii="Humanst521 BT" w:hAnsi="Humanst521 BT"/>
              </w:rPr>
              <w:t>Eje 2. Pueblos y comunidades étnicas y campesinas, mujeres, sectores LGBTIQ+ y otras poblaciones por condición y/</w:t>
            </w:r>
            <w:proofErr w:type="spellStart"/>
            <w:r w:rsidRPr="007F0FA7">
              <w:rPr>
                <w:rFonts w:ascii="Humanst521 BT" w:hAnsi="Humanst521 BT"/>
              </w:rPr>
              <w:t>ó</w:t>
            </w:r>
            <w:proofErr w:type="spellEnd"/>
            <w:r w:rsidRPr="007F0FA7">
              <w:rPr>
                <w:rFonts w:ascii="Humanst521 BT" w:hAnsi="Humanst521 BT"/>
              </w:rPr>
              <w:t xml:space="preserve"> situación.</w:t>
            </w:r>
          </w:p>
        </w:tc>
        <w:tc>
          <w:tcPr>
            <w:tcW w:w="3095" w:type="pct"/>
          </w:tcPr>
          <w:p w14:paraId="66618201" w14:textId="77777777" w:rsidR="00244200" w:rsidRPr="007F0FA7" w:rsidRDefault="007C1956" w:rsidP="00093B44">
            <w:pPr>
              <w:pStyle w:val="TableParagraph"/>
              <w:ind w:left="107" w:right="98"/>
              <w:jc w:val="both"/>
              <w:rPr>
                <w:rFonts w:ascii="Humanst521 BT" w:hAnsi="Humanst521 BT"/>
              </w:rPr>
            </w:pPr>
            <w:r w:rsidRPr="007F0FA7">
              <w:rPr>
                <w:rFonts w:ascii="Humanst521 BT" w:hAnsi="Humanst521 BT"/>
              </w:rPr>
              <w:t>Contar con elementos para la acción que le permita aproximarse a las condiciones de vida y salud de las diferentes poblaciones de acuerdo con sus particularidades y necesidades, mediante el respeto a la integridad y la participación social, y como</w:t>
            </w:r>
          </w:p>
          <w:p w14:paraId="45C558EC" w14:textId="63A5E7E9" w:rsidR="00244200" w:rsidRPr="007F0FA7" w:rsidRDefault="0013535E" w:rsidP="00093B44">
            <w:pPr>
              <w:pStyle w:val="TableParagraph"/>
              <w:tabs>
                <w:tab w:val="left" w:pos="1535"/>
                <w:tab w:val="left" w:pos="2015"/>
                <w:tab w:val="left" w:pos="2595"/>
                <w:tab w:val="left" w:pos="3742"/>
                <w:tab w:val="left" w:pos="4942"/>
              </w:tabs>
              <w:ind w:left="107" w:right="97"/>
              <w:rPr>
                <w:rFonts w:ascii="Humanst521 BT" w:hAnsi="Humanst521 BT"/>
              </w:rPr>
            </w:pPr>
            <w:r w:rsidRPr="007F0FA7">
              <w:rPr>
                <w:rFonts w:ascii="Humanst521 BT" w:hAnsi="Humanst521 BT"/>
              </w:rPr>
              <w:t>garante en la construcción conjunta de</w:t>
            </w:r>
            <w:r w:rsidR="007F00CB" w:rsidRPr="007F0FA7">
              <w:rPr>
                <w:rFonts w:ascii="Humanst521 BT" w:hAnsi="Humanst521 BT"/>
              </w:rPr>
              <w:t xml:space="preserve"> intervenciones desde el dialogo horizontal y respetuoso</w:t>
            </w:r>
            <w:r w:rsidR="00867107" w:rsidRPr="007F0FA7">
              <w:rPr>
                <w:rFonts w:ascii="Humanst521 BT" w:hAnsi="Humanst521 BT"/>
              </w:rPr>
              <w:t xml:space="preserve"> </w:t>
            </w:r>
            <w:r w:rsidR="007F00CB" w:rsidRPr="007F0FA7">
              <w:rPr>
                <w:rFonts w:ascii="Humanst521 BT" w:hAnsi="Humanst521 BT"/>
              </w:rPr>
              <w:t xml:space="preserve">de sus saberes, </w:t>
            </w:r>
            <w:r w:rsidR="00867107" w:rsidRPr="007F0FA7">
              <w:rPr>
                <w:rFonts w:ascii="Humanst521 BT" w:hAnsi="Humanst521 BT"/>
              </w:rPr>
              <w:t>prácticas y</w:t>
            </w:r>
            <w:r w:rsidR="007F00CB" w:rsidRPr="007F0FA7">
              <w:rPr>
                <w:rFonts w:ascii="Humanst521 BT" w:hAnsi="Humanst521 BT"/>
              </w:rPr>
              <w:t xml:space="preserve"> creencias</w:t>
            </w:r>
          </w:p>
        </w:tc>
      </w:tr>
      <w:tr w:rsidR="00E32CB0" w:rsidRPr="007F0FA7" w14:paraId="78810C5F" w14:textId="77777777" w:rsidTr="00C57F78">
        <w:trPr>
          <w:trHeight w:val="785"/>
        </w:trPr>
        <w:tc>
          <w:tcPr>
            <w:tcW w:w="1905" w:type="pct"/>
          </w:tcPr>
          <w:p w14:paraId="40281C83" w14:textId="77777777" w:rsidR="00244200" w:rsidRPr="007F0FA7" w:rsidRDefault="00244200" w:rsidP="00093B44">
            <w:pPr>
              <w:pStyle w:val="TableParagraph"/>
              <w:rPr>
                <w:rFonts w:ascii="Humanst521 BT" w:hAnsi="Humanst521 BT"/>
              </w:rPr>
            </w:pPr>
          </w:p>
          <w:p w14:paraId="5DDAA7CD" w14:textId="77777777" w:rsidR="00244200" w:rsidRPr="007F0FA7" w:rsidRDefault="00244200" w:rsidP="00093B44">
            <w:pPr>
              <w:pStyle w:val="TableParagraph"/>
              <w:rPr>
                <w:rFonts w:ascii="Humanst521 BT" w:hAnsi="Humanst521 BT"/>
              </w:rPr>
            </w:pPr>
          </w:p>
          <w:p w14:paraId="286457FD" w14:textId="77777777" w:rsidR="00244200" w:rsidRPr="007F0FA7" w:rsidRDefault="00244200" w:rsidP="00093B44">
            <w:pPr>
              <w:pStyle w:val="TableParagraph"/>
              <w:spacing w:before="8"/>
              <w:rPr>
                <w:rFonts w:ascii="Humanst521 BT" w:hAnsi="Humanst521 BT"/>
              </w:rPr>
            </w:pPr>
          </w:p>
          <w:p w14:paraId="2C9049B2" w14:textId="77777777" w:rsidR="00244200" w:rsidRPr="007F0FA7" w:rsidRDefault="007C1956" w:rsidP="00093B44">
            <w:pPr>
              <w:pStyle w:val="TableParagraph"/>
              <w:ind w:left="107"/>
              <w:rPr>
                <w:rFonts w:ascii="Humanst521 BT" w:hAnsi="Humanst521 BT"/>
              </w:rPr>
            </w:pPr>
            <w:r w:rsidRPr="007F0FA7">
              <w:rPr>
                <w:rFonts w:ascii="Humanst521 BT" w:hAnsi="Humanst521 BT"/>
              </w:rPr>
              <w:t>Eje 3. Determinantes Sociales de la Salud</w:t>
            </w:r>
          </w:p>
        </w:tc>
        <w:tc>
          <w:tcPr>
            <w:tcW w:w="3095" w:type="pct"/>
          </w:tcPr>
          <w:p w14:paraId="366801C3" w14:textId="77777777" w:rsidR="00244200" w:rsidRPr="007F0FA7" w:rsidRDefault="007C1956" w:rsidP="00093B44">
            <w:pPr>
              <w:pStyle w:val="TableParagraph"/>
              <w:ind w:left="107" w:right="95"/>
              <w:jc w:val="both"/>
              <w:rPr>
                <w:rFonts w:ascii="Humanst521 BT" w:hAnsi="Humanst521 BT"/>
              </w:rPr>
            </w:pPr>
            <w:r w:rsidRPr="007F0FA7">
              <w:rPr>
                <w:rFonts w:ascii="Humanst521 BT" w:hAnsi="Humanst521 BT"/>
              </w:rPr>
              <w:t>Transformar las circunstancias injustas relacionadas con peores resultados de salud de la población, mediante la definición de acciones de carácter inter y transectorial en los planes de desarrollo territorial, con el fin de avanzar en la reducción de brechas</w:t>
            </w:r>
          </w:p>
          <w:p w14:paraId="4F187659" w14:textId="77777777" w:rsidR="00244200" w:rsidRPr="007F0FA7" w:rsidRDefault="007C1956" w:rsidP="00093B44">
            <w:pPr>
              <w:pStyle w:val="TableParagraph"/>
              <w:ind w:left="107"/>
              <w:rPr>
                <w:rFonts w:ascii="Humanst521 BT" w:hAnsi="Humanst521 BT"/>
              </w:rPr>
            </w:pPr>
            <w:r w:rsidRPr="007F0FA7">
              <w:rPr>
                <w:rFonts w:ascii="Humanst521 BT" w:hAnsi="Humanst521 BT"/>
              </w:rPr>
              <w:t>sociosanitarias.</w:t>
            </w:r>
          </w:p>
        </w:tc>
      </w:tr>
      <w:tr w:rsidR="00E32CB0" w:rsidRPr="007F0FA7" w14:paraId="0D361377" w14:textId="77777777" w:rsidTr="00C57F78">
        <w:trPr>
          <w:trHeight w:val="731"/>
        </w:trPr>
        <w:tc>
          <w:tcPr>
            <w:tcW w:w="1905" w:type="pct"/>
          </w:tcPr>
          <w:p w14:paraId="09C482C4" w14:textId="77777777" w:rsidR="00244200" w:rsidRPr="007F0FA7" w:rsidRDefault="00244200" w:rsidP="00093B44">
            <w:pPr>
              <w:pStyle w:val="TableParagraph"/>
              <w:rPr>
                <w:rFonts w:ascii="Humanst521 BT" w:hAnsi="Humanst521 BT"/>
              </w:rPr>
            </w:pPr>
          </w:p>
          <w:p w14:paraId="52D93C32" w14:textId="77777777" w:rsidR="00244200" w:rsidRPr="007F0FA7" w:rsidRDefault="00244200" w:rsidP="00093B44">
            <w:pPr>
              <w:pStyle w:val="TableParagraph"/>
              <w:rPr>
                <w:rFonts w:ascii="Humanst521 BT" w:hAnsi="Humanst521 BT"/>
              </w:rPr>
            </w:pPr>
          </w:p>
          <w:p w14:paraId="72E71D55" w14:textId="77777777" w:rsidR="00244200" w:rsidRPr="007F0FA7" w:rsidRDefault="00244200" w:rsidP="00093B44">
            <w:pPr>
              <w:pStyle w:val="TableParagraph"/>
              <w:rPr>
                <w:rFonts w:ascii="Humanst521 BT" w:hAnsi="Humanst521 BT"/>
              </w:rPr>
            </w:pPr>
          </w:p>
          <w:p w14:paraId="275D378C" w14:textId="77777777" w:rsidR="00244200" w:rsidRPr="007F0FA7" w:rsidRDefault="00244200" w:rsidP="00093B44">
            <w:pPr>
              <w:pStyle w:val="TableParagraph"/>
              <w:spacing w:before="62"/>
              <w:rPr>
                <w:rFonts w:ascii="Humanst521 BT" w:hAnsi="Humanst521 BT"/>
              </w:rPr>
            </w:pPr>
          </w:p>
          <w:p w14:paraId="3E28BE77" w14:textId="77777777" w:rsidR="00244200" w:rsidRPr="007F0FA7" w:rsidRDefault="007C1956" w:rsidP="00093B44">
            <w:pPr>
              <w:pStyle w:val="TableParagraph"/>
              <w:ind w:left="107"/>
              <w:rPr>
                <w:rFonts w:ascii="Humanst521 BT" w:hAnsi="Humanst521 BT"/>
              </w:rPr>
            </w:pPr>
            <w:r w:rsidRPr="007F0FA7">
              <w:rPr>
                <w:rFonts w:ascii="Humanst521 BT" w:hAnsi="Humanst521 BT"/>
              </w:rPr>
              <w:t>Eje 4. Atención Primaria en Salud</w:t>
            </w:r>
          </w:p>
        </w:tc>
        <w:tc>
          <w:tcPr>
            <w:tcW w:w="3095" w:type="pct"/>
          </w:tcPr>
          <w:p w14:paraId="2780A491" w14:textId="77FB79AE" w:rsidR="00244200" w:rsidRPr="007F0FA7" w:rsidRDefault="007C1956" w:rsidP="00093B44">
            <w:pPr>
              <w:pStyle w:val="TableParagraph"/>
              <w:ind w:left="107" w:right="95"/>
              <w:jc w:val="both"/>
              <w:rPr>
                <w:rFonts w:ascii="Humanst521 BT" w:hAnsi="Humanst521 BT"/>
              </w:rPr>
            </w:pPr>
            <w:r w:rsidRPr="007F0FA7">
              <w:rPr>
                <w:rFonts w:ascii="Humanst521 BT" w:hAnsi="Humanst521 BT"/>
              </w:rPr>
              <w:t>Desarrollar acciones sectoriales e intersectoriales dirigidas a promover la salud, prevenir la enfermedad y recuperar la salud de la población, en escenarios como ciudades, espacios periurbanos, rurales, territorios indígenas y otros entornos donde las personas y colectivos desarrollan la vida cotidiana,</w:t>
            </w:r>
            <w:r w:rsidR="007F00CB" w:rsidRPr="007F0FA7">
              <w:rPr>
                <w:rFonts w:ascii="Humanst521 BT" w:hAnsi="Humanst521 BT"/>
              </w:rPr>
              <w:t xml:space="preserve"> </w:t>
            </w:r>
            <w:r w:rsidR="0013535E" w:rsidRPr="007F0FA7">
              <w:rPr>
                <w:rFonts w:ascii="Humanst521 BT" w:hAnsi="Humanst521 BT"/>
              </w:rPr>
              <w:t>aportando a la garantía del</w:t>
            </w:r>
            <w:r w:rsidR="007F00CB" w:rsidRPr="007F0FA7">
              <w:rPr>
                <w:rFonts w:ascii="Humanst521 BT" w:hAnsi="Humanst521 BT"/>
              </w:rPr>
              <w:t xml:space="preserve"> </w:t>
            </w:r>
            <w:r w:rsidRPr="007F0FA7">
              <w:rPr>
                <w:rFonts w:ascii="Humanst521 BT" w:hAnsi="Humanst521 BT"/>
              </w:rPr>
              <w:t xml:space="preserve">derecho </w:t>
            </w:r>
            <w:r w:rsidRPr="007F0FA7">
              <w:rPr>
                <w:rFonts w:ascii="Humanst521 BT" w:hAnsi="Humanst521 BT"/>
              </w:rPr>
              <w:lastRenderedPageBreak/>
              <w:t>fundamental a la salud.</w:t>
            </w:r>
          </w:p>
        </w:tc>
      </w:tr>
      <w:tr w:rsidR="00E32CB0" w:rsidRPr="007F0FA7" w14:paraId="3D7C74F9" w14:textId="77777777" w:rsidTr="00C57F78">
        <w:trPr>
          <w:trHeight w:val="2188"/>
        </w:trPr>
        <w:tc>
          <w:tcPr>
            <w:tcW w:w="1905" w:type="pct"/>
          </w:tcPr>
          <w:p w14:paraId="6E9565F7" w14:textId="77777777" w:rsidR="00244200" w:rsidRPr="007F0FA7" w:rsidRDefault="00244200" w:rsidP="00093B44">
            <w:pPr>
              <w:pStyle w:val="TableParagraph"/>
              <w:rPr>
                <w:rFonts w:ascii="Humanst521 BT" w:hAnsi="Humanst521 BT"/>
              </w:rPr>
            </w:pPr>
          </w:p>
          <w:p w14:paraId="7475953C" w14:textId="77777777" w:rsidR="00244200" w:rsidRPr="007F0FA7" w:rsidRDefault="00244200" w:rsidP="00093B44">
            <w:pPr>
              <w:pStyle w:val="TableParagraph"/>
              <w:rPr>
                <w:rFonts w:ascii="Humanst521 BT" w:hAnsi="Humanst521 BT"/>
              </w:rPr>
            </w:pPr>
          </w:p>
          <w:p w14:paraId="5DEB1D33" w14:textId="77777777" w:rsidR="00244200" w:rsidRPr="007F0FA7" w:rsidRDefault="00244200" w:rsidP="00093B44">
            <w:pPr>
              <w:pStyle w:val="TableParagraph"/>
              <w:rPr>
                <w:rFonts w:ascii="Humanst521 BT" w:hAnsi="Humanst521 BT"/>
              </w:rPr>
            </w:pPr>
          </w:p>
          <w:p w14:paraId="1FCC17DA" w14:textId="77777777" w:rsidR="00244200" w:rsidRPr="007F0FA7" w:rsidRDefault="00244200" w:rsidP="00093B44">
            <w:pPr>
              <w:pStyle w:val="TableParagraph"/>
              <w:rPr>
                <w:rFonts w:ascii="Humanst521 BT" w:hAnsi="Humanst521 BT"/>
              </w:rPr>
            </w:pPr>
          </w:p>
          <w:p w14:paraId="73BBD65E" w14:textId="77777777" w:rsidR="00244200" w:rsidRPr="007F0FA7" w:rsidRDefault="00244200" w:rsidP="00093B44">
            <w:pPr>
              <w:pStyle w:val="TableParagraph"/>
              <w:rPr>
                <w:rFonts w:ascii="Humanst521 BT" w:hAnsi="Humanst521 BT"/>
              </w:rPr>
            </w:pPr>
          </w:p>
          <w:p w14:paraId="081BBBA1" w14:textId="77777777" w:rsidR="00244200" w:rsidRPr="007F0FA7" w:rsidRDefault="00244200" w:rsidP="00093B44">
            <w:pPr>
              <w:pStyle w:val="TableParagraph"/>
              <w:rPr>
                <w:rFonts w:ascii="Humanst521 BT" w:hAnsi="Humanst521 BT"/>
              </w:rPr>
            </w:pPr>
          </w:p>
          <w:p w14:paraId="2AF9BD1F" w14:textId="77777777" w:rsidR="00244200" w:rsidRPr="007F0FA7" w:rsidRDefault="00244200" w:rsidP="00093B44">
            <w:pPr>
              <w:pStyle w:val="TableParagraph"/>
              <w:rPr>
                <w:rFonts w:ascii="Humanst521 BT" w:hAnsi="Humanst521 BT"/>
              </w:rPr>
            </w:pPr>
          </w:p>
          <w:p w14:paraId="49D9197D" w14:textId="77777777" w:rsidR="00244200" w:rsidRPr="007F0FA7" w:rsidRDefault="00244200" w:rsidP="00093B44">
            <w:pPr>
              <w:pStyle w:val="TableParagraph"/>
              <w:spacing w:before="128"/>
              <w:rPr>
                <w:rFonts w:ascii="Humanst521 BT" w:hAnsi="Humanst521 BT"/>
              </w:rPr>
            </w:pPr>
          </w:p>
          <w:p w14:paraId="28B3B856" w14:textId="77777777" w:rsidR="00244200" w:rsidRPr="007F0FA7" w:rsidRDefault="007C1956" w:rsidP="00093B44">
            <w:pPr>
              <w:pStyle w:val="TableParagraph"/>
              <w:ind w:left="107" w:right="99"/>
              <w:jc w:val="both"/>
              <w:rPr>
                <w:rFonts w:ascii="Humanst521 BT" w:hAnsi="Humanst521 BT"/>
              </w:rPr>
            </w:pPr>
            <w:r w:rsidRPr="007F0FA7">
              <w:rPr>
                <w:rFonts w:ascii="Humanst521 BT" w:hAnsi="Humanst521 BT"/>
              </w:rPr>
              <w:t>Eje 5. Cambio climático, emergencias, desastres y pandemias</w:t>
            </w:r>
          </w:p>
        </w:tc>
        <w:tc>
          <w:tcPr>
            <w:tcW w:w="3095" w:type="pct"/>
          </w:tcPr>
          <w:p w14:paraId="11B3929D" w14:textId="77777777" w:rsidR="00244200" w:rsidRPr="007F0FA7" w:rsidRDefault="007C1956" w:rsidP="00093B44">
            <w:pPr>
              <w:pStyle w:val="TableParagraph"/>
              <w:ind w:left="107" w:right="94"/>
              <w:jc w:val="both"/>
              <w:rPr>
                <w:rFonts w:ascii="Humanst521 BT" w:hAnsi="Humanst521 BT"/>
              </w:rPr>
            </w:pPr>
            <w:r w:rsidRPr="007F0FA7">
              <w:rPr>
                <w:rFonts w:ascii="Humanst521 BT" w:hAnsi="Humanst521 BT"/>
              </w:rPr>
              <w:t>Reducir los impactos de las emergencias, desastres y el cambio climático en la salud humana y ambiental, a través de la gestión integral del riesgo como un proceso que propende por la seguridad sanitaria, el bienestar y la calidad de vida de las personas, por medio de la formulación, ejecución, seguimiento y evaluación de políticas, planes, programas y proyectos; y fortaleciendo la detección, atención y los mecanismos de disponibilidad y acceso de las tecnologías, y servicios en salud necesarias para dar respuesta efectiva orienta la formulación, ejecución, seguimiento y evaluación de políticas, planes, programas y proyectos; y fortalecer la detección, atención</w:t>
            </w:r>
          </w:p>
          <w:p w14:paraId="310C3C92" w14:textId="5EDC7447" w:rsidR="00244200" w:rsidRPr="007F0FA7" w:rsidRDefault="007C1956" w:rsidP="00093B44">
            <w:pPr>
              <w:pStyle w:val="TableParagraph"/>
              <w:tabs>
                <w:tab w:val="left" w:pos="1427"/>
                <w:tab w:val="left" w:pos="2525"/>
                <w:tab w:val="left" w:pos="2895"/>
                <w:tab w:val="left" w:pos="3411"/>
                <w:tab w:val="left" w:pos="4322"/>
              </w:tabs>
              <w:ind w:left="107" w:right="97"/>
              <w:rPr>
                <w:rFonts w:ascii="Humanst521 BT" w:hAnsi="Humanst521 BT"/>
              </w:rPr>
            </w:pPr>
            <w:r w:rsidRPr="007F0FA7">
              <w:rPr>
                <w:rFonts w:ascii="Humanst521 BT" w:hAnsi="Humanst521 BT"/>
              </w:rPr>
              <w:t>y los mecanismos de disponibilidad y acceso</w:t>
            </w:r>
            <w:r w:rsidR="007F00CB" w:rsidRPr="007F0FA7">
              <w:rPr>
                <w:rFonts w:ascii="Humanst521 BT" w:hAnsi="Humanst521 BT"/>
              </w:rPr>
              <w:t xml:space="preserve"> a las tecnologías en salud necesaria para dar respuesta efectiva</w:t>
            </w:r>
            <w:r w:rsidR="00867107" w:rsidRPr="007F0FA7">
              <w:rPr>
                <w:rFonts w:ascii="Humanst521 BT" w:hAnsi="Humanst521 BT"/>
              </w:rPr>
              <w:t xml:space="preserve"> a </w:t>
            </w:r>
            <w:r w:rsidR="007F00CB" w:rsidRPr="007F0FA7">
              <w:rPr>
                <w:rFonts w:ascii="Humanst521 BT" w:hAnsi="Humanst521 BT"/>
              </w:rPr>
              <w:t>un nuevo</w:t>
            </w:r>
            <w:r w:rsidR="00C57F78" w:rsidRPr="007F0FA7">
              <w:rPr>
                <w:rFonts w:ascii="Humanst521 BT" w:hAnsi="Humanst521 BT"/>
              </w:rPr>
              <w:t xml:space="preserve"> </w:t>
            </w:r>
            <w:r w:rsidR="007F00CB" w:rsidRPr="007F0FA7">
              <w:rPr>
                <w:rFonts w:ascii="Humanst521 BT" w:hAnsi="Humanst521 BT"/>
              </w:rPr>
              <w:t>evento</w:t>
            </w:r>
            <w:r w:rsidR="00C57F78" w:rsidRPr="007F0FA7">
              <w:rPr>
                <w:rFonts w:ascii="Humanst521 BT" w:hAnsi="Humanst521 BT"/>
              </w:rPr>
              <w:t xml:space="preserve"> </w:t>
            </w:r>
            <w:r w:rsidR="007F00CB" w:rsidRPr="007F0FA7">
              <w:rPr>
                <w:rFonts w:ascii="Humanst521 BT" w:hAnsi="Humanst521 BT"/>
              </w:rPr>
              <w:t>pandémico.</w:t>
            </w:r>
          </w:p>
        </w:tc>
      </w:tr>
      <w:tr w:rsidR="00E32CB0" w:rsidRPr="007F0FA7" w14:paraId="5E54CBCC" w14:textId="77777777" w:rsidTr="00867107">
        <w:trPr>
          <w:trHeight w:val="1695"/>
        </w:trPr>
        <w:tc>
          <w:tcPr>
            <w:tcW w:w="1905" w:type="pct"/>
          </w:tcPr>
          <w:p w14:paraId="0861F807" w14:textId="77777777" w:rsidR="00C57F78" w:rsidRPr="007F0FA7" w:rsidRDefault="00C57F78" w:rsidP="00093B44">
            <w:pPr>
              <w:pStyle w:val="TableParagraph"/>
              <w:rPr>
                <w:rFonts w:ascii="Humanst521 BT" w:hAnsi="Humanst521 BT"/>
              </w:rPr>
            </w:pPr>
          </w:p>
          <w:p w14:paraId="3174CB22" w14:textId="77777777" w:rsidR="00C57F78" w:rsidRPr="007F0FA7" w:rsidRDefault="00C57F78" w:rsidP="00093B44">
            <w:pPr>
              <w:pStyle w:val="TableParagraph"/>
              <w:rPr>
                <w:rFonts w:ascii="Humanst521 BT" w:hAnsi="Humanst521 BT"/>
              </w:rPr>
            </w:pPr>
          </w:p>
          <w:p w14:paraId="68A19FBB" w14:textId="77777777" w:rsidR="00C57F78" w:rsidRPr="007F0FA7" w:rsidRDefault="00C57F78" w:rsidP="00093B44">
            <w:pPr>
              <w:pStyle w:val="TableParagraph"/>
              <w:rPr>
                <w:rFonts w:ascii="Humanst521 BT" w:hAnsi="Humanst521 BT"/>
              </w:rPr>
            </w:pPr>
          </w:p>
          <w:p w14:paraId="1B79B49C" w14:textId="77777777" w:rsidR="00C57F78" w:rsidRPr="007F0FA7" w:rsidRDefault="00C57F78" w:rsidP="00093B44">
            <w:pPr>
              <w:pStyle w:val="TableParagraph"/>
              <w:spacing w:before="63"/>
              <w:rPr>
                <w:rFonts w:ascii="Humanst521 BT" w:hAnsi="Humanst521 BT"/>
              </w:rPr>
            </w:pPr>
          </w:p>
          <w:p w14:paraId="563A7688" w14:textId="77777777" w:rsidR="00C57F78" w:rsidRPr="007F0FA7" w:rsidRDefault="00C57F78" w:rsidP="00093B44">
            <w:pPr>
              <w:pStyle w:val="TableParagraph"/>
              <w:rPr>
                <w:rFonts w:ascii="Humanst521 BT" w:hAnsi="Humanst521 BT"/>
              </w:rPr>
            </w:pPr>
            <w:r w:rsidRPr="007F0FA7">
              <w:rPr>
                <w:rFonts w:ascii="Humanst521 BT" w:hAnsi="Humanst521 BT"/>
              </w:rPr>
              <w:t>Eje 6. Conocimiento en salud pública y Soberanía Sanitaria</w:t>
            </w:r>
          </w:p>
          <w:p w14:paraId="4C56D2E7" w14:textId="77777777" w:rsidR="00C57F78" w:rsidRPr="007F0FA7" w:rsidRDefault="00C57F78" w:rsidP="00093B44">
            <w:pPr>
              <w:pStyle w:val="TableParagraph"/>
              <w:rPr>
                <w:rFonts w:ascii="Humanst521 BT" w:hAnsi="Humanst521 BT"/>
              </w:rPr>
            </w:pPr>
          </w:p>
          <w:p w14:paraId="42253146" w14:textId="1BE21BF2" w:rsidR="00C57F78" w:rsidRPr="007F0FA7" w:rsidRDefault="00C57F78" w:rsidP="00093B44">
            <w:pPr>
              <w:pStyle w:val="TableParagraph"/>
              <w:rPr>
                <w:rFonts w:ascii="Humanst521 BT" w:hAnsi="Humanst521 BT"/>
              </w:rPr>
            </w:pPr>
          </w:p>
        </w:tc>
        <w:tc>
          <w:tcPr>
            <w:tcW w:w="3095" w:type="pct"/>
          </w:tcPr>
          <w:p w14:paraId="27E02E16" w14:textId="0AB1FA51" w:rsidR="00C57F78" w:rsidRPr="007F0FA7" w:rsidRDefault="00C57F78" w:rsidP="00093B44">
            <w:pPr>
              <w:pStyle w:val="TableParagraph"/>
              <w:ind w:left="107" w:right="94"/>
              <w:jc w:val="both"/>
              <w:rPr>
                <w:rFonts w:ascii="Humanst521 BT" w:hAnsi="Humanst521 BT"/>
              </w:rPr>
            </w:pPr>
            <w:r w:rsidRPr="007F0FA7">
              <w:rPr>
                <w:rFonts w:ascii="Humanst521 BT" w:hAnsi="Humanst521 BT"/>
              </w:rPr>
              <w:t>Establecer la soberanía sanitaria y la construcción colectiva de conocimiento en salud como una prioridad en la agenda pública que permita avanzar en la investigación, desarrollo, innovación y producción local de tecnologías estratégicas en salud y el fortalecimiento de las capacidades en salud a nivel nacional y territorial.</w:t>
            </w:r>
          </w:p>
        </w:tc>
      </w:tr>
      <w:tr w:rsidR="00E32CB0" w:rsidRPr="007F0FA7" w14:paraId="3E28AB7A" w14:textId="77777777" w:rsidTr="00C57F78">
        <w:trPr>
          <w:trHeight w:val="825"/>
        </w:trPr>
        <w:tc>
          <w:tcPr>
            <w:tcW w:w="1905" w:type="pct"/>
          </w:tcPr>
          <w:p w14:paraId="3A10B51C" w14:textId="77777777" w:rsidR="00C57F78" w:rsidRPr="007F0FA7" w:rsidRDefault="00C57F78" w:rsidP="00093B44">
            <w:pPr>
              <w:pStyle w:val="TableParagraph"/>
              <w:rPr>
                <w:rFonts w:ascii="Humanst521 BT" w:hAnsi="Humanst521 BT"/>
              </w:rPr>
            </w:pPr>
          </w:p>
          <w:p w14:paraId="2E00C18C" w14:textId="77777777" w:rsidR="00C57F78" w:rsidRPr="007F0FA7" w:rsidRDefault="00C57F78" w:rsidP="00093B44">
            <w:pPr>
              <w:pStyle w:val="TableParagraph"/>
              <w:spacing w:before="107"/>
              <w:rPr>
                <w:rFonts w:ascii="Humanst521 BT" w:hAnsi="Humanst521 BT"/>
              </w:rPr>
            </w:pPr>
          </w:p>
          <w:p w14:paraId="3695441C" w14:textId="6E0DF18C" w:rsidR="00C57F78" w:rsidRPr="007F0FA7" w:rsidRDefault="00C57F78" w:rsidP="00093B44">
            <w:pPr>
              <w:pStyle w:val="TableParagraph"/>
              <w:spacing w:before="1"/>
              <w:ind w:left="107"/>
              <w:rPr>
                <w:rFonts w:ascii="Humanst521 BT" w:hAnsi="Humanst521 BT"/>
              </w:rPr>
            </w:pPr>
            <w:r w:rsidRPr="007F0FA7">
              <w:rPr>
                <w:rFonts w:ascii="Humanst521 BT" w:hAnsi="Humanst521 BT"/>
              </w:rPr>
              <w:t>Eje 7. Personal de Salud</w:t>
            </w:r>
          </w:p>
        </w:tc>
        <w:tc>
          <w:tcPr>
            <w:tcW w:w="3094" w:type="pct"/>
          </w:tcPr>
          <w:p w14:paraId="27F871F6" w14:textId="77777777" w:rsidR="00C57F78" w:rsidRPr="007F0FA7" w:rsidRDefault="00C57F78" w:rsidP="00093B44">
            <w:pPr>
              <w:pStyle w:val="TableParagraph"/>
              <w:ind w:left="107" w:right="94"/>
              <w:jc w:val="both"/>
              <w:rPr>
                <w:rFonts w:ascii="Humanst521 BT" w:hAnsi="Humanst521 BT"/>
              </w:rPr>
            </w:pPr>
            <w:r w:rsidRPr="007F0FA7">
              <w:rPr>
                <w:rFonts w:ascii="Humanst521 BT" w:hAnsi="Humanst521 BT"/>
              </w:rPr>
              <w:t>Crear y desarrollar mecanismos para mejorar la distribución, disponibilidad, formación, educación continua, así como, las condiciones de empleo y trabajo digno y</w:t>
            </w:r>
          </w:p>
          <w:p w14:paraId="41E30AF8" w14:textId="0138A5A4" w:rsidR="00C57F78" w:rsidRPr="007F0FA7" w:rsidRDefault="00C57F78" w:rsidP="00093B44">
            <w:pPr>
              <w:pStyle w:val="TableParagraph"/>
              <w:ind w:left="107"/>
              <w:jc w:val="both"/>
              <w:rPr>
                <w:rFonts w:ascii="Humanst521 BT" w:hAnsi="Humanst521 BT"/>
              </w:rPr>
            </w:pPr>
            <w:r w:rsidRPr="007F0FA7">
              <w:rPr>
                <w:rFonts w:ascii="Humanst521 BT" w:hAnsi="Humanst521 BT"/>
              </w:rPr>
              <w:t>decente del personal de salud.</w:t>
            </w:r>
          </w:p>
        </w:tc>
      </w:tr>
    </w:tbl>
    <w:p w14:paraId="36989FB6" w14:textId="77777777" w:rsidR="002D28F6" w:rsidRPr="007F0FA7" w:rsidRDefault="002D28F6" w:rsidP="00093B44">
      <w:pPr>
        <w:rPr>
          <w:rFonts w:ascii="Humanst521 BT" w:hAnsi="Humanst521 BT"/>
        </w:rPr>
      </w:pPr>
    </w:p>
    <w:p w14:paraId="2DD77CF0" w14:textId="77777777" w:rsidR="007C0C12" w:rsidRPr="007F0FA7" w:rsidRDefault="007C0C12" w:rsidP="00093B44">
      <w:pPr>
        <w:rPr>
          <w:rFonts w:ascii="Humanst521 BT" w:hAnsi="Humanst521 BT"/>
        </w:rPr>
      </w:pPr>
    </w:p>
    <w:p w14:paraId="3F6E0613" w14:textId="77777777" w:rsidR="00256F9C" w:rsidRPr="007F0FA7" w:rsidRDefault="00256F9C" w:rsidP="00093B44">
      <w:pPr>
        <w:rPr>
          <w:rFonts w:ascii="Humanst521 BT" w:hAnsi="Humanst521 BT"/>
        </w:rPr>
      </w:pPr>
    </w:p>
    <w:p w14:paraId="3A07A189" w14:textId="77777777" w:rsidR="0022233A" w:rsidRPr="007F0FA7" w:rsidRDefault="0022233A" w:rsidP="00093B44">
      <w:pPr>
        <w:rPr>
          <w:rFonts w:ascii="Humanst521 BT" w:hAnsi="Humanst521 BT"/>
        </w:rPr>
      </w:pPr>
    </w:p>
    <w:p w14:paraId="399F0E33" w14:textId="77777777" w:rsidR="0022233A" w:rsidRPr="007F0FA7" w:rsidRDefault="0022233A" w:rsidP="00093B44">
      <w:pPr>
        <w:rPr>
          <w:rFonts w:ascii="Humanst521 BT" w:hAnsi="Humanst521 BT"/>
        </w:rPr>
      </w:pPr>
    </w:p>
    <w:p w14:paraId="1A4A8262" w14:textId="77777777" w:rsidR="0022233A" w:rsidRPr="007F0FA7" w:rsidRDefault="0022233A" w:rsidP="00093B44">
      <w:pPr>
        <w:rPr>
          <w:rFonts w:ascii="Humanst521 BT" w:hAnsi="Humanst521 BT"/>
        </w:rPr>
      </w:pPr>
    </w:p>
    <w:p w14:paraId="2A06703D" w14:textId="77777777" w:rsidR="0022233A" w:rsidRPr="007F0FA7" w:rsidRDefault="0022233A" w:rsidP="00093B44">
      <w:pPr>
        <w:rPr>
          <w:rFonts w:ascii="Humanst521 BT" w:hAnsi="Humanst521 BT"/>
        </w:rPr>
      </w:pPr>
    </w:p>
    <w:p w14:paraId="05176C34" w14:textId="77777777" w:rsidR="0022233A" w:rsidRPr="007F0FA7" w:rsidRDefault="0022233A" w:rsidP="00093B44">
      <w:pPr>
        <w:rPr>
          <w:rFonts w:ascii="Humanst521 BT" w:hAnsi="Humanst521 BT"/>
        </w:rPr>
      </w:pPr>
    </w:p>
    <w:p w14:paraId="58EDAA81" w14:textId="77777777" w:rsidR="0022233A" w:rsidRPr="007F0FA7" w:rsidRDefault="0022233A" w:rsidP="00093B44">
      <w:pPr>
        <w:rPr>
          <w:rFonts w:ascii="Humanst521 BT" w:hAnsi="Humanst521 BT"/>
        </w:rPr>
      </w:pPr>
    </w:p>
    <w:p w14:paraId="5AE8C526" w14:textId="77777777" w:rsidR="0022233A" w:rsidRPr="007F0FA7" w:rsidRDefault="0022233A" w:rsidP="00093B44">
      <w:pPr>
        <w:rPr>
          <w:rFonts w:ascii="Humanst521 BT" w:hAnsi="Humanst521 BT"/>
        </w:rPr>
      </w:pPr>
    </w:p>
    <w:p w14:paraId="68D41F4C" w14:textId="77777777" w:rsidR="0022233A" w:rsidRPr="007F0FA7" w:rsidRDefault="0022233A" w:rsidP="00093B44">
      <w:pPr>
        <w:rPr>
          <w:rFonts w:ascii="Humanst521 BT" w:hAnsi="Humanst521 BT"/>
        </w:rPr>
      </w:pPr>
    </w:p>
    <w:p w14:paraId="1AF898F2" w14:textId="77777777" w:rsidR="0022233A" w:rsidRPr="007F0FA7" w:rsidRDefault="0022233A" w:rsidP="00093B44">
      <w:pPr>
        <w:rPr>
          <w:rFonts w:ascii="Humanst521 BT" w:hAnsi="Humanst521 BT"/>
        </w:rPr>
      </w:pPr>
    </w:p>
    <w:p w14:paraId="601EC82B" w14:textId="77777777" w:rsidR="0022233A" w:rsidRPr="007F0FA7" w:rsidRDefault="0022233A" w:rsidP="00093B44">
      <w:pPr>
        <w:rPr>
          <w:rFonts w:ascii="Humanst521 BT" w:hAnsi="Humanst521 BT"/>
        </w:rPr>
      </w:pPr>
    </w:p>
    <w:p w14:paraId="3A2C6F7C" w14:textId="77777777" w:rsidR="0022233A" w:rsidRPr="007F0FA7" w:rsidRDefault="0022233A" w:rsidP="00093B44">
      <w:pPr>
        <w:rPr>
          <w:rFonts w:ascii="Humanst521 BT" w:hAnsi="Humanst521 BT"/>
        </w:rPr>
      </w:pPr>
    </w:p>
    <w:p w14:paraId="25B020CC" w14:textId="318E2E72" w:rsidR="00244200" w:rsidRPr="007F0FA7" w:rsidRDefault="007C1956" w:rsidP="00093B44">
      <w:pPr>
        <w:rPr>
          <w:rFonts w:ascii="Humanst521 BT" w:hAnsi="Humanst521 BT"/>
        </w:rPr>
      </w:pPr>
      <w:r w:rsidRPr="007F0FA7">
        <w:rPr>
          <w:rFonts w:ascii="Humanst521 BT" w:hAnsi="Humanst521 BT"/>
          <w:noProof/>
        </w:rPr>
        <w:lastRenderedPageBreak/>
        <mc:AlternateContent>
          <mc:Choice Requires="wpg">
            <w:drawing>
              <wp:anchor distT="0" distB="0" distL="0" distR="0" simplePos="0" relativeHeight="251580928" behindDoc="0" locked="0" layoutInCell="1" allowOverlap="1" wp14:anchorId="61AB0596" wp14:editId="3D766D1B">
                <wp:simplePos x="0" y="0"/>
                <wp:positionH relativeFrom="page">
                  <wp:posOffset>7636509</wp:posOffset>
                </wp:positionH>
                <wp:positionV relativeFrom="page">
                  <wp:posOffset>0</wp:posOffset>
                </wp:positionV>
                <wp:extent cx="135890" cy="196342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100" name="Graphic 100"/>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101" name="Graphic 101"/>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102" name="Graphic 102"/>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103" name="Graphic 103"/>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6D96EE76" id="Group 99" o:spid="_x0000_s1026" style="position:absolute;margin-left:601.3pt;margin-top:0;width:10.7pt;height:154.6pt;z-index:251580928;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">
                <v:shape id="Graphic 100"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" path="m,473467r135889,1l135889,,,,,473467xe" fillcolor="#33aea3" stroked="f">
                  <v:path arrowok="t"/>
                </v:shape>
                <v:shape id="Graphic 101"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" path="m,l,498641r135889,l135889,,,xe" fillcolor="#5cbeb6" stroked="f">
                  <v:path arrowok="t"/>
                </v:shape>
                <v:shape id="Graphic 102"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" path="m,l,498615r135889,1l135889,,,xe" fillcolor="#85cfc7" stroked="f">
                  <v:path arrowok="t"/>
                </v:shape>
                <v:shape id="Graphic 103"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" path="m,498424r135889,l135889,,,,,498424xe" fillcolor="#d5eeec" stroked="f">
                  <v:path arrowok="t"/>
                </v:shape>
                <w10:wrap anchorx="page" anchory="page"/>
              </v:group>
            </w:pict>
          </mc:Fallback>
        </mc:AlternateContent>
      </w:r>
    </w:p>
    <w:p w14:paraId="70E70846" w14:textId="7D44FE2E" w:rsidR="00244200" w:rsidRPr="00631473" w:rsidRDefault="00092228" w:rsidP="00B6007F">
      <w:pPr>
        <w:pStyle w:val="Ttulo1"/>
        <w:numPr>
          <w:ilvl w:val="0"/>
          <w:numId w:val="1"/>
        </w:numPr>
        <w:tabs>
          <w:tab w:val="left" w:pos="1048"/>
        </w:tabs>
        <w:ind w:left="1048" w:hanging="706"/>
        <w:rPr>
          <w:rFonts w:ascii="Humanst521 BT" w:eastAsiaTheme="majorEastAsia" w:hAnsi="Humanst521 BT" w:cstheme="majorBidi"/>
          <w:b/>
          <w:bCs/>
          <w:color w:val="2F5496" w:themeColor="accent1" w:themeShade="BF"/>
          <w:sz w:val="32"/>
          <w:szCs w:val="32"/>
          <w:lang w:eastAsia="es-CO"/>
        </w:rPr>
      </w:pPr>
      <w:bookmarkStart w:id="6" w:name="_Toc231286778"/>
      <w:r w:rsidRPr="00631473">
        <w:rPr>
          <w:rFonts w:ascii="Humanst521 BT" w:eastAsiaTheme="majorEastAsia" w:hAnsi="Humanst521 BT" w:cstheme="majorBidi"/>
          <w:b/>
          <w:bCs/>
          <w:color w:val="2F5496" w:themeColor="accent1" w:themeShade="BF"/>
          <w:sz w:val="32"/>
          <w:szCs w:val="32"/>
          <w:lang w:eastAsia="es-CO"/>
        </w:rPr>
        <w:t>MARCO CONCEPTUAL</w:t>
      </w:r>
      <w:bookmarkEnd w:id="6"/>
    </w:p>
    <w:p w14:paraId="6A356149" w14:textId="77777777" w:rsidR="00244200" w:rsidRPr="007F0FA7" w:rsidRDefault="007C1956" w:rsidP="00093B44">
      <w:pPr>
        <w:pStyle w:val="Textoindependiente"/>
        <w:spacing w:before="11"/>
        <w:rPr>
          <w:rFonts w:ascii="Humanst521 BT" w:hAnsi="Humanst521 BT"/>
          <w:sz w:val="22"/>
          <w:szCs w:val="22"/>
        </w:rPr>
      </w:pPr>
      <w:r w:rsidRPr="007F0FA7">
        <w:rPr>
          <w:rFonts w:ascii="Humanst521 BT" w:hAnsi="Humanst521 BT"/>
          <w:noProof/>
          <w:sz w:val="22"/>
          <w:szCs w:val="22"/>
        </w:rPr>
        <mc:AlternateContent>
          <mc:Choice Requires="wps">
            <w:drawing>
              <wp:anchor distT="0" distB="0" distL="0" distR="0" simplePos="0" relativeHeight="251841024" behindDoc="1" locked="0" layoutInCell="1" allowOverlap="1" wp14:anchorId="66F3CAC9" wp14:editId="31B76127">
                <wp:simplePos x="0" y="0"/>
                <wp:positionH relativeFrom="page">
                  <wp:posOffset>1080135</wp:posOffset>
                </wp:positionH>
                <wp:positionV relativeFrom="paragraph">
                  <wp:posOffset>161437</wp:posOffset>
                </wp:positionV>
                <wp:extent cx="4967605"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7605" cy="1270"/>
                        </a:xfrm>
                        <a:custGeom>
                          <a:avLst/>
                          <a:gdLst/>
                          <a:ahLst/>
                          <a:cxnLst/>
                          <a:rect l="l" t="t" r="r" b="b"/>
                          <a:pathLst>
                            <a:path w="4967605">
                              <a:moveTo>
                                <a:pt x="0" y="0"/>
                              </a:moveTo>
                              <a:lnTo>
                                <a:pt x="4967605" y="0"/>
                              </a:lnTo>
                            </a:path>
                          </a:pathLst>
                        </a:custGeom>
                        <a:ln w="12700">
                          <a:solidFill>
                            <a:srgbClr val="31B0A4"/>
                          </a:solidFill>
                          <a:prstDash val="solid"/>
                        </a:ln>
                      </wps:spPr>
                      <wps:bodyPr wrap="square" lIns="0" tIns="0" rIns="0" bIns="0" rtlCol="0">
                        <a:prstTxWarp prst="textNoShape">
                          <a:avLst/>
                        </a:prstTxWarp>
                        <a:noAutofit/>
                      </wps:bodyPr>
                    </wps:wsp>
                  </a:graphicData>
                </a:graphic>
              </wp:anchor>
            </w:drawing>
          </mc:Choice>
          <mc:Fallback>
            <w:pict>
              <v:shape w14:anchorId="13DA0F24" id="Graphic 104" o:spid="_x0000_s1026" style="position:absolute;margin-left:85.05pt;margin-top:12.7pt;width:391.15pt;height:.1pt;z-index:-251475456;visibility:visible;mso-wrap-style:square;mso-wrap-distance-left:0;mso-wrap-distance-top:0;mso-wrap-distance-right:0;mso-wrap-distance-bottom:0;mso-position-horizontal:absolute;mso-position-horizontal-relative:page;mso-position-vertical:absolute;mso-position-vertical-relative:text;v-text-anchor:top" coordsize="4967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" path="m,l4967605,e" filled="f" strokecolor="#31b0a4" strokeweight="1pt">
                <v:path arrowok="t"/>
                <w10:wrap type="topAndBottom" anchorx="page"/>
              </v:shape>
            </w:pict>
          </mc:Fallback>
        </mc:AlternateContent>
      </w:r>
    </w:p>
    <w:p w14:paraId="68A1B3DD" w14:textId="77777777" w:rsidR="004239A8" w:rsidRPr="007F0FA7" w:rsidRDefault="004239A8" w:rsidP="00093B44">
      <w:pPr>
        <w:widowControl/>
        <w:autoSpaceDE/>
        <w:autoSpaceDN/>
        <w:spacing w:before="100" w:beforeAutospacing="1" w:after="100" w:afterAutospacing="1"/>
        <w:jc w:val="both"/>
        <w:rPr>
          <w:rFonts w:ascii="Humanst521 BT" w:hAnsi="Humanst521 BT"/>
        </w:rPr>
      </w:pPr>
      <w:r w:rsidRPr="007F0FA7">
        <w:rPr>
          <w:rFonts w:ascii="Humanst521 BT" w:hAnsi="Humanst521 BT"/>
        </w:rPr>
        <w:t>El Plan Decenal de Salud Pública 2022-2031 establece la política pública que guiará los esfuerzos en salud pública durante la próxima década, con el objetivo de mejorar la calidad de vida en Colombia. Mediante la Resolución 100 de 2024, se asigna la responsabilidad de la planeación integral en salud a las entidades territoriales, mientras que las Entidades Promotoras de Salud (EPS), Entidades Adaptadas y regímenes exceptuados deben participar bajo los principios de coordinación, concurrencia, subsidiariedad y complementariedad. Estas entidades deben aportar insumos para el análisis de la situación de salud del territorio, desagregados por nivel departamental, distrital y municipal, e incluso a nivel de barrio o comuna.</w:t>
      </w:r>
    </w:p>
    <w:p w14:paraId="1E7E080B" w14:textId="77777777" w:rsidR="004239A8" w:rsidRPr="007F0FA7" w:rsidRDefault="004239A8" w:rsidP="00093B44">
      <w:pPr>
        <w:widowControl/>
        <w:autoSpaceDE/>
        <w:autoSpaceDN/>
        <w:spacing w:before="100" w:beforeAutospacing="1" w:after="100" w:afterAutospacing="1"/>
        <w:jc w:val="both"/>
        <w:rPr>
          <w:rFonts w:ascii="Humanst521 BT" w:hAnsi="Humanst521 BT"/>
        </w:rPr>
      </w:pPr>
      <w:r w:rsidRPr="007F0FA7">
        <w:rPr>
          <w:rFonts w:ascii="Humanst521 BT" w:hAnsi="Humanst521 BT"/>
        </w:rPr>
        <w:t>Este proceso tiene como fin generar conocimientos que permitan gestionar el riesgo y mejorar la salud de la población afiliada. A su vez, sirve como insumo para la planeación territorial en salud, dentro de la implementación operativa del Plan Decenal. Las EPS y otras entidades de aseguramiento en salud, dentro de sus competencias, deben realizar análisis detallados de las condiciones de salud de su población y contribuir al diseño de intervenciones para abordar problemas y necesidades a nivel territorial.</w:t>
      </w:r>
    </w:p>
    <w:p w14:paraId="640750E8" w14:textId="2CB34716" w:rsidR="004239A8" w:rsidRPr="007F0FA7" w:rsidRDefault="00BC7B31" w:rsidP="00093B44">
      <w:pPr>
        <w:widowControl/>
        <w:autoSpaceDE/>
        <w:autoSpaceDN/>
        <w:spacing w:before="100" w:beforeAutospacing="1" w:after="100" w:afterAutospacing="1"/>
        <w:jc w:val="both"/>
        <w:rPr>
          <w:rFonts w:ascii="Humanst521 BT" w:hAnsi="Humanst521 BT"/>
        </w:rPr>
      </w:pPr>
      <w:r w:rsidRPr="007F0FA7">
        <w:rPr>
          <w:rFonts w:ascii="Humanst521 BT" w:hAnsi="Humanst521 BT"/>
        </w:rPr>
        <w:t xml:space="preserve">Por lo anterior, UISALUD como parte activa y comprometida en la salud de los afiliados, </w:t>
      </w:r>
      <w:r w:rsidR="00FD0E73" w:rsidRPr="007F0FA7">
        <w:rPr>
          <w:rFonts w:ascii="Humanst521 BT" w:hAnsi="Humanst521 BT"/>
        </w:rPr>
        <w:t xml:space="preserve">presenta </w:t>
      </w:r>
      <w:r w:rsidR="004239A8" w:rsidRPr="007F0FA7">
        <w:rPr>
          <w:rFonts w:ascii="Humanst521 BT" w:hAnsi="Humanst521 BT"/>
        </w:rPr>
        <w:t>la identificación de las características y condiciones de salud de las personas, familias y comunidades, apoyando la planificación integral de salud a lo largo del ciclo de vida.</w:t>
      </w:r>
    </w:p>
    <w:p w14:paraId="3CBAC5F6" w14:textId="79D69E57" w:rsidR="00244200" w:rsidRPr="007F0FA7" w:rsidRDefault="007C1956" w:rsidP="00093B44">
      <w:pPr>
        <w:pStyle w:val="Textoindependiente"/>
        <w:ind w:left="342" w:right="378"/>
        <w:jc w:val="both"/>
        <w:rPr>
          <w:rFonts w:ascii="Humanst521 BT" w:hAnsi="Humanst521 BT"/>
          <w:sz w:val="22"/>
          <w:szCs w:val="22"/>
        </w:rPr>
      </w:pPr>
      <w:r w:rsidRPr="007F0FA7">
        <w:rPr>
          <w:rFonts w:ascii="Humanst521 BT" w:hAnsi="Humanst521 BT"/>
          <w:sz w:val="22"/>
          <w:szCs w:val="22"/>
        </w:rPr>
        <w:t>Los conceptos básicos a desarrollar desde la competencia del aseguramiento en salud a lo largo del documento se refieren a continuación</w:t>
      </w:r>
      <w:r w:rsidR="00093001" w:rsidRPr="007F0FA7">
        <w:rPr>
          <w:rFonts w:ascii="Humanst521 BT" w:hAnsi="Humanst521 BT"/>
          <w:sz w:val="22"/>
          <w:szCs w:val="22"/>
        </w:rPr>
        <w:t xml:space="preserve">: </w:t>
      </w:r>
    </w:p>
    <w:p w14:paraId="64494CB3" w14:textId="77777777" w:rsidR="00244200" w:rsidRPr="007F0FA7" w:rsidRDefault="00244200" w:rsidP="00093B44">
      <w:pPr>
        <w:pStyle w:val="Textoindependiente"/>
        <w:spacing w:before="183"/>
        <w:rPr>
          <w:rFonts w:ascii="Humanst521 BT" w:hAnsi="Humanst521 BT"/>
          <w:b/>
          <w:bCs/>
          <w:sz w:val="22"/>
          <w:szCs w:val="22"/>
        </w:rPr>
      </w:pPr>
    </w:p>
    <w:p w14:paraId="6B10632A" w14:textId="38FCD01F" w:rsidR="00244200" w:rsidRPr="0000348F" w:rsidRDefault="00092228" w:rsidP="0000348F">
      <w:pPr>
        <w:pStyle w:val="Prrafodelista"/>
        <w:numPr>
          <w:ilvl w:val="1"/>
          <w:numId w:val="1"/>
        </w:numPr>
        <w:tabs>
          <w:tab w:val="left" w:pos="1134"/>
          <w:tab w:val="left" w:pos="1757"/>
        </w:tabs>
        <w:ind w:right="378"/>
        <w:outlineLvl w:val="1"/>
        <w:rPr>
          <w:rFonts w:ascii="Humanst521 BT" w:hAnsi="Humanst521 BT"/>
          <w:b/>
          <w:bCs/>
        </w:rPr>
      </w:pPr>
      <w:bookmarkStart w:id="7" w:name="_Toc231286779"/>
      <w:r w:rsidRPr="0000348F">
        <w:rPr>
          <w:rFonts w:ascii="Humanst521 BT" w:eastAsiaTheme="majorEastAsia" w:hAnsi="Humanst521 BT" w:cstheme="majorBidi"/>
          <w:b/>
          <w:bCs/>
          <w:color w:val="2F5496" w:themeColor="accent1" w:themeShade="BF"/>
          <w:sz w:val="28"/>
          <w:szCs w:val="28"/>
          <w:lang w:eastAsia="es-CO"/>
        </w:rPr>
        <w:t>CONFIGURACIÓN DEL TERRITORIO DESDE LA PERSPECTIVA DE LOS DETERMINANTES SOCIALES DE LA SALUD Y EL ENFOQUE DIFERENCIAL</w:t>
      </w:r>
      <w:r w:rsidRPr="0000348F">
        <w:rPr>
          <w:rFonts w:ascii="Humanst521 BT" w:hAnsi="Humanst521 BT"/>
          <w:b/>
          <w:bCs/>
        </w:rPr>
        <w:t>.</w:t>
      </w:r>
      <w:bookmarkEnd w:id="7"/>
    </w:p>
    <w:p w14:paraId="6EB930ED" w14:textId="77777777" w:rsidR="00244200" w:rsidRPr="007F0FA7" w:rsidRDefault="007C1956" w:rsidP="00093B44">
      <w:pPr>
        <w:pStyle w:val="Textoindependiente"/>
        <w:spacing w:before="280"/>
        <w:ind w:left="342" w:right="374"/>
        <w:jc w:val="both"/>
        <w:rPr>
          <w:rFonts w:ascii="Humanst521 BT" w:hAnsi="Humanst521 BT"/>
          <w:sz w:val="22"/>
          <w:szCs w:val="22"/>
        </w:rPr>
      </w:pPr>
      <w:r w:rsidRPr="007F0FA7">
        <w:rPr>
          <w:rFonts w:ascii="Humanst521 BT" w:hAnsi="Humanst521 BT"/>
          <w:sz w:val="22"/>
          <w:szCs w:val="22"/>
        </w:rPr>
        <w:t>Se reconoce el territorio como un espacio histórico, geográfico y socioambiental dónde se produce social y biológicamente la vida a (Borde &amp; Torre, 2017). Allí, se desarrolla la historia de los pueblos a lo largo del tiempo y de acuerdo con las relaciones de poder se definen dinámicas políticas, sociales, culturales, modos de producción que afecta la distribución y dinámica poblacional. Estos aspectos, conforman los determinantes socio-ambientales, que infieren en la vida de las personas, pueblos y comunidades, produciendo mejores o peores resultados en salud, es decir inequidades socio-sanitarias.</w:t>
      </w:r>
    </w:p>
    <w:p w14:paraId="5196D8E0" w14:textId="77777777" w:rsidR="00244200" w:rsidRPr="007F0FA7" w:rsidRDefault="00244200" w:rsidP="00093B44">
      <w:pPr>
        <w:pStyle w:val="Textoindependiente"/>
        <w:spacing w:before="45"/>
        <w:rPr>
          <w:rFonts w:ascii="Humanst521 BT" w:hAnsi="Humanst521 BT"/>
          <w:sz w:val="22"/>
          <w:szCs w:val="22"/>
        </w:rPr>
      </w:pPr>
    </w:p>
    <w:p w14:paraId="230AEF0E" w14:textId="77777777" w:rsidR="00244200" w:rsidRPr="007F0FA7" w:rsidRDefault="007C1956" w:rsidP="00093B44">
      <w:pPr>
        <w:pStyle w:val="Textoindependiente"/>
        <w:ind w:left="342" w:right="379"/>
        <w:jc w:val="both"/>
        <w:rPr>
          <w:rFonts w:ascii="Humanst521 BT" w:hAnsi="Humanst521 BT"/>
          <w:sz w:val="22"/>
          <w:szCs w:val="22"/>
        </w:rPr>
      </w:pPr>
      <w:r w:rsidRPr="007F0FA7">
        <w:rPr>
          <w:rFonts w:ascii="Humanst521 BT" w:hAnsi="Humanst521 BT"/>
          <w:sz w:val="22"/>
          <w:szCs w:val="22"/>
        </w:rPr>
        <w:t>En este contexto, decimos que el territorio es constitutivo de dichas relaciones incluidas también la vida, la salud, la enfermedad y la muerte.</w:t>
      </w:r>
    </w:p>
    <w:p w14:paraId="7581B237" w14:textId="77777777" w:rsidR="00244200" w:rsidRPr="007F0FA7" w:rsidRDefault="00244200" w:rsidP="00093B44">
      <w:pPr>
        <w:pStyle w:val="Textoindependiente"/>
        <w:rPr>
          <w:rFonts w:ascii="Humanst521 BT" w:hAnsi="Humanst521 BT"/>
          <w:sz w:val="22"/>
          <w:szCs w:val="22"/>
        </w:rPr>
      </w:pPr>
    </w:p>
    <w:p w14:paraId="0B9EE8C9" w14:textId="77777777" w:rsidR="00244200" w:rsidRPr="007F0FA7" w:rsidRDefault="00244200" w:rsidP="00093B44">
      <w:pPr>
        <w:pStyle w:val="Textoindependiente"/>
        <w:rPr>
          <w:rFonts w:ascii="Humanst521 BT" w:hAnsi="Humanst521 BT"/>
          <w:sz w:val="22"/>
          <w:szCs w:val="22"/>
        </w:rPr>
      </w:pPr>
    </w:p>
    <w:p w14:paraId="01C18EE1" w14:textId="7DF825B9" w:rsidR="00244200" w:rsidRPr="007F0FA7" w:rsidRDefault="007C1956" w:rsidP="00093B44">
      <w:pPr>
        <w:pStyle w:val="Textoindependiente"/>
        <w:rPr>
          <w:rFonts w:ascii="Humanst521 BT" w:hAnsi="Humanst521 BT"/>
          <w:sz w:val="22"/>
          <w:szCs w:val="22"/>
        </w:rPr>
      </w:pPr>
      <w:r w:rsidRPr="007F0FA7">
        <w:rPr>
          <w:rFonts w:ascii="Humanst521 BT" w:hAnsi="Humanst521 BT"/>
          <w:noProof/>
          <w:sz w:val="22"/>
          <w:szCs w:val="22"/>
        </w:rPr>
        <mc:AlternateContent>
          <mc:Choice Requires="wpg">
            <w:drawing>
              <wp:anchor distT="0" distB="0" distL="0" distR="0" simplePos="0" relativeHeight="251605504" behindDoc="0" locked="0" layoutInCell="1" allowOverlap="1" wp14:anchorId="0C9A3F6E" wp14:editId="4EBF0154">
                <wp:simplePos x="0" y="0"/>
                <wp:positionH relativeFrom="page">
                  <wp:posOffset>7636509</wp:posOffset>
                </wp:positionH>
                <wp:positionV relativeFrom="page">
                  <wp:posOffset>0</wp:posOffset>
                </wp:positionV>
                <wp:extent cx="135890" cy="196342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113" name="Graphic 113"/>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114" name="Graphic 114"/>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115" name="Graphic 115"/>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116" name="Graphic 116"/>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34C5F9B7" id="Group 112" o:spid="_x0000_s1026" style="position:absolute;margin-left:601.3pt;margin-top:0;width:10.7pt;height:154.6pt;z-index:251605504;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">
                <v:shape id="Graphic 113"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" path="m,473467r135889,1l135889,,,,,473467xe" fillcolor="#33aea3" stroked="f">
                  <v:path arrowok="t"/>
                </v:shape>
                <v:shape id="Graphic 114"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" path="m,l,498641r135889,l135889,,,xe" fillcolor="#5cbeb6" stroked="f">
                  <v:path arrowok="t"/>
                </v:shape>
                <v:shape id="Graphic 115"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" path="m,l,498615r135889,1l135889,,,xe" fillcolor="#85cfc7" stroked="f">
                  <v:path arrowok="t"/>
                </v:shape>
                <v:shape id="Graphic 116"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" path="m,498424r135889,l135889,,,,,498424xe" fillcolor="#d5eeec" stroked="f">
                  <v:path arrowok="t"/>
                </v:shape>
                <w10:wrap anchorx="page" anchory="page"/>
              </v:group>
            </w:pict>
          </mc:Fallback>
        </mc:AlternateContent>
      </w:r>
    </w:p>
    <w:p w14:paraId="7992FBAB" w14:textId="44627CDB" w:rsidR="00244200" w:rsidRPr="0000348F" w:rsidRDefault="00092228" w:rsidP="0000348F">
      <w:pPr>
        <w:pStyle w:val="Prrafodelista"/>
        <w:numPr>
          <w:ilvl w:val="1"/>
          <w:numId w:val="1"/>
        </w:numPr>
        <w:tabs>
          <w:tab w:val="left" w:pos="1134"/>
          <w:tab w:val="left" w:pos="1754"/>
        </w:tabs>
        <w:ind w:right="378"/>
        <w:outlineLvl w:val="1"/>
        <w:rPr>
          <w:rFonts w:ascii="Humanst521 BT" w:eastAsiaTheme="majorEastAsia" w:hAnsi="Humanst521 BT" w:cstheme="majorBidi"/>
          <w:b/>
          <w:bCs/>
          <w:color w:val="2F5496" w:themeColor="accent1" w:themeShade="BF"/>
          <w:sz w:val="28"/>
          <w:szCs w:val="28"/>
          <w:lang w:eastAsia="es-CO"/>
        </w:rPr>
      </w:pPr>
      <w:bookmarkStart w:id="8" w:name="_Toc231286780"/>
      <w:r w:rsidRPr="0000348F">
        <w:rPr>
          <w:rFonts w:ascii="Humanst521 BT" w:eastAsiaTheme="majorEastAsia" w:hAnsi="Humanst521 BT" w:cstheme="majorBidi"/>
          <w:b/>
          <w:bCs/>
          <w:color w:val="2F5496" w:themeColor="accent1" w:themeShade="BF"/>
          <w:sz w:val="28"/>
          <w:szCs w:val="28"/>
          <w:lang w:eastAsia="es-CO"/>
        </w:rPr>
        <w:lastRenderedPageBreak/>
        <w:t>SITUACIÓN DE CALIDAD DE VIDA Y SALUD EN EL TERRITORIO: MORBILIDAD, MORTALIDAD, PROBLEMÁTICAS Y NECESIDADES SOCIALES Y AMBIENTALES QUE AFECTAN LA SALUD DE LA POBLACIÓN AFILIADA EN EL TERRITORIO</w:t>
      </w:r>
      <w:bookmarkEnd w:id="8"/>
    </w:p>
    <w:p w14:paraId="16CDB63A" w14:textId="2E25028D" w:rsidR="00244200" w:rsidRPr="007F0FA7" w:rsidRDefault="007C1956" w:rsidP="00093B44">
      <w:pPr>
        <w:pStyle w:val="Textoindependiente"/>
        <w:spacing w:before="254"/>
        <w:ind w:left="342" w:right="377"/>
        <w:jc w:val="both"/>
        <w:rPr>
          <w:rFonts w:ascii="Humanst521 BT" w:hAnsi="Humanst521 BT"/>
          <w:sz w:val="22"/>
          <w:szCs w:val="22"/>
        </w:rPr>
      </w:pPr>
      <w:r w:rsidRPr="007F0FA7">
        <w:rPr>
          <w:rFonts w:ascii="Humanst521 BT" w:hAnsi="Humanst521 BT"/>
          <w:sz w:val="22"/>
          <w:szCs w:val="22"/>
        </w:rPr>
        <w:t xml:space="preserve">No siempre se tiene una idea clara de lo que son los Derechos Económicos, Sociales y Culturales (DESC en adelante), de </w:t>
      </w:r>
      <w:r w:rsidR="0013535E" w:rsidRPr="007F0FA7">
        <w:rPr>
          <w:rFonts w:ascii="Humanst521 BT" w:hAnsi="Humanst521 BT"/>
          <w:sz w:val="22"/>
          <w:szCs w:val="22"/>
        </w:rPr>
        <w:t>hecho,</w:t>
      </w:r>
      <w:r w:rsidRPr="007F0FA7">
        <w:rPr>
          <w:rFonts w:ascii="Humanst521 BT" w:hAnsi="Humanst521 BT"/>
          <w:sz w:val="22"/>
          <w:szCs w:val="22"/>
        </w:rPr>
        <w:t xml:space="preserve"> muchas veces se desconoce que se trata de aquellos derechos que posibilitan un nivel de vida adecuado para las personas dentro de un concepto de dignidad humana, que se traduce en alimentación, seguridad social, salud física y mental, vivienda, trabajo, sindicalización, educación, medio ambiente sano y agua (Naciones Unidas, 1966).</w:t>
      </w:r>
    </w:p>
    <w:p w14:paraId="6CD49739" w14:textId="77777777" w:rsidR="00244200" w:rsidRPr="007F0FA7" w:rsidRDefault="00244200" w:rsidP="00093B44">
      <w:pPr>
        <w:pStyle w:val="Textoindependiente"/>
        <w:spacing w:before="44"/>
        <w:rPr>
          <w:rFonts w:ascii="Humanst521 BT" w:hAnsi="Humanst521 BT"/>
          <w:sz w:val="22"/>
          <w:szCs w:val="22"/>
        </w:rPr>
      </w:pPr>
    </w:p>
    <w:p w14:paraId="32BA62D7" w14:textId="77777777" w:rsidR="00244200" w:rsidRPr="007F0FA7" w:rsidRDefault="007C1956" w:rsidP="00093B44">
      <w:pPr>
        <w:pStyle w:val="Textoindependiente"/>
        <w:ind w:left="342" w:right="379"/>
        <w:jc w:val="both"/>
        <w:rPr>
          <w:rFonts w:ascii="Humanst521 BT" w:hAnsi="Humanst521 BT"/>
          <w:sz w:val="22"/>
          <w:szCs w:val="22"/>
        </w:rPr>
      </w:pPr>
      <w:r w:rsidRPr="007F0FA7">
        <w:rPr>
          <w:rFonts w:ascii="Humanst521 BT" w:hAnsi="Humanst521 BT"/>
          <w:sz w:val="22"/>
          <w:szCs w:val="22"/>
        </w:rPr>
        <w:t>Ahora bien, es en el territorio donde la</w:t>
      </w:r>
      <w:r w:rsidRPr="007F0FA7">
        <w:rPr>
          <w:rFonts w:ascii="Humanst521 BT" w:hAnsi="Humanst521 BT"/>
          <w:spacing w:val="-2"/>
          <w:sz w:val="22"/>
          <w:szCs w:val="22"/>
        </w:rPr>
        <w:t xml:space="preserve"> </w:t>
      </w:r>
      <w:r w:rsidRPr="007F0FA7">
        <w:rPr>
          <w:rFonts w:ascii="Humanst521 BT" w:hAnsi="Humanst521 BT"/>
          <w:sz w:val="22"/>
          <w:szCs w:val="22"/>
        </w:rPr>
        <w:t>población accede a los DESC, por ello,</w:t>
      </w:r>
      <w:r w:rsidRPr="007F0FA7">
        <w:rPr>
          <w:rFonts w:ascii="Humanst521 BT" w:hAnsi="Humanst521 BT"/>
          <w:spacing w:val="-22"/>
          <w:sz w:val="22"/>
          <w:szCs w:val="22"/>
        </w:rPr>
        <w:t xml:space="preserve"> </w:t>
      </w:r>
      <w:r w:rsidRPr="007F0FA7">
        <w:rPr>
          <w:rFonts w:ascii="Humanst521 BT" w:hAnsi="Humanst521 BT"/>
          <w:sz w:val="22"/>
          <w:szCs w:val="22"/>
        </w:rPr>
        <w:t>las</w:t>
      </w:r>
      <w:r w:rsidRPr="007F0FA7">
        <w:rPr>
          <w:rFonts w:ascii="Humanst521 BT" w:hAnsi="Humanst521 BT"/>
          <w:spacing w:val="-21"/>
          <w:sz w:val="22"/>
          <w:szCs w:val="22"/>
        </w:rPr>
        <w:t xml:space="preserve"> </w:t>
      </w:r>
      <w:r w:rsidRPr="007F0FA7">
        <w:rPr>
          <w:rFonts w:ascii="Humanst521 BT" w:hAnsi="Humanst521 BT"/>
          <w:sz w:val="22"/>
          <w:szCs w:val="22"/>
        </w:rPr>
        <w:t>relaciones</w:t>
      </w:r>
      <w:r w:rsidRPr="007F0FA7">
        <w:rPr>
          <w:rFonts w:ascii="Humanst521 BT" w:hAnsi="Humanst521 BT"/>
          <w:spacing w:val="-21"/>
          <w:sz w:val="22"/>
          <w:szCs w:val="22"/>
        </w:rPr>
        <w:t xml:space="preserve"> </w:t>
      </w:r>
      <w:r w:rsidRPr="007F0FA7">
        <w:rPr>
          <w:rFonts w:ascii="Humanst521 BT" w:hAnsi="Humanst521 BT"/>
          <w:sz w:val="22"/>
          <w:szCs w:val="22"/>
        </w:rPr>
        <w:t>económicas,</w:t>
      </w:r>
      <w:r w:rsidRPr="007F0FA7">
        <w:rPr>
          <w:rFonts w:ascii="Humanst521 BT" w:hAnsi="Humanst521 BT"/>
          <w:spacing w:val="-21"/>
          <w:sz w:val="22"/>
          <w:szCs w:val="22"/>
        </w:rPr>
        <w:t xml:space="preserve"> </w:t>
      </w:r>
      <w:r w:rsidRPr="007F0FA7">
        <w:rPr>
          <w:rFonts w:ascii="Humanst521 BT" w:hAnsi="Humanst521 BT"/>
          <w:sz w:val="22"/>
          <w:szCs w:val="22"/>
        </w:rPr>
        <w:t>políticas</w:t>
      </w:r>
      <w:r w:rsidRPr="007F0FA7">
        <w:rPr>
          <w:rFonts w:ascii="Humanst521 BT" w:hAnsi="Humanst521 BT"/>
          <w:spacing w:val="-21"/>
          <w:sz w:val="22"/>
          <w:szCs w:val="22"/>
        </w:rPr>
        <w:t xml:space="preserve"> </w:t>
      </w:r>
      <w:r w:rsidRPr="007F0FA7">
        <w:rPr>
          <w:rFonts w:ascii="Humanst521 BT" w:hAnsi="Humanst521 BT"/>
          <w:sz w:val="22"/>
          <w:szCs w:val="22"/>
        </w:rPr>
        <w:t>y</w:t>
      </w:r>
      <w:r w:rsidRPr="007F0FA7">
        <w:rPr>
          <w:rFonts w:ascii="Humanst521 BT" w:hAnsi="Humanst521 BT"/>
          <w:spacing w:val="-21"/>
          <w:sz w:val="22"/>
          <w:szCs w:val="22"/>
        </w:rPr>
        <w:t xml:space="preserve"> </w:t>
      </w:r>
      <w:r w:rsidRPr="007F0FA7">
        <w:rPr>
          <w:rFonts w:ascii="Humanst521 BT" w:hAnsi="Humanst521 BT"/>
          <w:sz w:val="22"/>
          <w:szCs w:val="22"/>
        </w:rPr>
        <w:t>culturales</w:t>
      </w:r>
      <w:r w:rsidRPr="007F0FA7">
        <w:rPr>
          <w:rFonts w:ascii="Humanst521 BT" w:hAnsi="Humanst521 BT"/>
          <w:spacing w:val="-21"/>
          <w:sz w:val="22"/>
          <w:szCs w:val="22"/>
        </w:rPr>
        <w:t xml:space="preserve"> </w:t>
      </w:r>
      <w:r w:rsidRPr="007F0FA7">
        <w:rPr>
          <w:rFonts w:ascii="Humanst521 BT" w:hAnsi="Humanst521 BT"/>
          <w:sz w:val="22"/>
          <w:szCs w:val="22"/>
        </w:rPr>
        <w:t>que</w:t>
      </w:r>
      <w:r w:rsidRPr="007F0FA7">
        <w:rPr>
          <w:rFonts w:ascii="Humanst521 BT" w:hAnsi="Humanst521 BT"/>
          <w:spacing w:val="-21"/>
          <w:sz w:val="22"/>
          <w:szCs w:val="22"/>
        </w:rPr>
        <w:t xml:space="preserve"> </w:t>
      </w:r>
      <w:r w:rsidRPr="007F0FA7">
        <w:rPr>
          <w:rFonts w:ascii="Humanst521 BT" w:hAnsi="Humanst521 BT"/>
          <w:sz w:val="22"/>
          <w:szCs w:val="22"/>
        </w:rPr>
        <w:t>allí</w:t>
      </w:r>
      <w:r w:rsidRPr="007F0FA7">
        <w:rPr>
          <w:rFonts w:ascii="Humanst521 BT" w:hAnsi="Humanst521 BT"/>
          <w:spacing w:val="-21"/>
          <w:sz w:val="22"/>
          <w:szCs w:val="22"/>
        </w:rPr>
        <w:t xml:space="preserve"> </w:t>
      </w:r>
      <w:r w:rsidRPr="007F0FA7">
        <w:rPr>
          <w:rFonts w:ascii="Humanst521 BT" w:hAnsi="Humanst521 BT"/>
          <w:sz w:val="22"/>
          <w:szCs w:val="22"/>
        </w:rPr>
        <w:t>se</w:t>
      </w:r>
      <w:r w:rsidRPr="007F0FA7">
        <w:rPr>
          <w:rFonts w:ascii="Humanst521 BT" w:hAnsi="Humanst521 BT"/>
          <w:spacing w:val="-21"/>
          <w:sz w:val="22"/>
          <w:szCs w:val="22"/>
        </w:rPr>
        <w:t xml:space="preserve"> </w:t>
      </w:r>
      <w:r w:rsidRPr="007F0FA7">
        <w:rPr>
          <w:rFonts w:ascii="Humanst521 BT" w:hAnsi="Humanst521 BT"/>
          <w:sz w:val="22"/>
          <w:szCs w:val="22"/>
        </w:rPr>
        <w:t>establecen se materializan en temas como el mercado laboral, que, a la vez, se relaciona</w:t>
      </w:r>
      <w:r w:rsidRPr="007F0FA7">
        <w:rPr>
          <w:rFonts w:ascii="Humanst521 BT" w:hAnsi="Humanst521 BT"/>
          <w:spacing w:val="-10"/>
          <w:sz w:val="22"/>
          <w:szCs w:val="22"/>
        </w:rPr>
        <w:t xml:space="preserve"> </w:t>
      </w:r>
      <w:r w:rsidRPr="007F0FA7">
        <w:rPr>
          <w:rFonts w:ascii="Humanst521 BT" w:hAnsi="Humanst521 BT"/>
          <w:sz w:val="22"/>
          <w:szCs w:val="22"/>
        </w:rPr>
        <w:t>de</w:t>
      </w:r>
      <w:r w:rsidRPr="007F0FA7">
        <w:rPr>
          <w:rFonts w:ascii="Humanst521 BT" w:hAnsi="Humanst521 BT"/>
          <w:spacing w:val="-9"/>
          <w:sz w:val="22"/>
          <w:szCs w:val="22"/>
        </w:rPr>
        <w:t xml:space="preserve"> </w:t>
      </w:r>
      <w:r w:rsidRPr="007F0FA7">
        <w:rPr>
          <w:rFonts w:ascii="Humanst521 BT" w:hAnsi="Humanst521 BT"/>
          <w:sz w:val="22"/>
          <w:szCs w:val="22"/>
        </w:rPr>
        <w:t>manera</w:t>
      </w:r>
      <w:r w:rsidRPr="007F0FA7">
        <w:rPr>
          <w:rFonts w:ascii="Humanst521 BT" w:hAnsi="Humanst521 BT"/>
          <w:spacing w:val="-10"/>
          <w:sz w:val="22"/>
          <w:szCs w:val="22"/>
        </w:rPr>
        <w:t xml:space="preserve"> </w:t>
      </w:r>
      <w:r w:rsidRPr="007F0FA7">
        <w:rPr>
          <w:rFonts w:ascii="Humanst521 BT" w:hAnsi="Humanst521 BT"/>
          <w:sz w:val="22"/>
          <w:szCs w:val="22"/>
        </w:rPr>
        <w:t>estrecha</w:t>
      </w:r>
      <w:r w:rsidRPr="007F0FA7">
        <w:rPr>
          <w:rFonts w:ascii="Humanst521 BT" w:hAnsi="Humanst521 BT"/>
          <w:spacing w:val="-10"/>
          <w:sz w:val="22"/>
          <w:szCs w:val="22"/>
        </w:rPr>
        <w:t xml:space="preserve"> </w:t>
      </w:r>
      <w:r w:rsidRPr="007F0FA7">
        <w:rPr>
          <w:rFonts w:ascii="Humanst521 BT" w:hAnsi="Humanst521 BT"/>
          <w:sz w:val="22"/>
          <w:szCs w:val="22"/>
        </w:rPr>
        <w:t>con</w:t>
      </w:r>
      <w:r w:rsidRPr="007F0FA7">
        <w:rPr>
          <w:rFonts w:ascii="Humanst521 BT" w:hAnsi="Humanst521 BT"/>
          <w:spacing w:val="-8"/>
          <w:sz w:val="22"/>
          <w:szCs w:val="22"/>
        </w:rPr>
        <w:t xml:space="preserve"> </w:t>
      </w:r>
      <w:r w:rsidRPr="007F0FA7">
        <w:rPr>
          <w:rFonts w:ascii="Humanst521 BT" w:hAnsi="Humanst521 BT"/>
          <w:sz w:val="22"/>
          <w:szCs w:val="22"/>
        </w:rPr>
        <w:t>las</w:t>
      </w:r>
      <w:r w:rsidRPr="007F0FA7">
        <w:rPr>
          <w:rFonts w:ascii="Humanst521 BT" w:hAnsi="Humanst521 BT"/>
          <w:spacing w:val="-10"/>
          <w:sz w:val="22"/>
          <w:szCs w:val="22"/>
        </w:rPr>
        <w:t xml:space="preserve"> </w:t>
      </w:r>
      <w:r w:rsidRPr="007F0FA7">
        <w:rPr>
          <w:rFonts w:ascii="Humanst521 BT" w:hAnsi="Humanst521 BT"/>
          <w:sz w:val="22"/>
          <w:szCs w:val="22"/>
        </w:rPr>
        <w:t>condiciones</w:t>
      </w:r>
      <w:r w:rsidRPr="007F0FA7">
        <w:rPr>
          <w:rFonts w:ascii="Humanst521 BT" w:hAnsi="Humanst521 BT"/>
          <w:spacing w:val="-9"/>
          <w:sz w:val="22"/>
          <w:szCs w:val="22"/>
        </w:rPr>
        <w:t xml:space="preserve"> </w:t>
      </w:r>
      <w:r w:rsidRPr="007F0FA7">
        <w:rPr>
          <w:rFonts w:ascii="Humanst521 BT" w:hAnsi="Humanst521 BT"/>
          <w:sz w:val="22"/>
          <w:szCs w:val="22"/>
        </w:rPr>
        <w:t>socioeconómicas</w:t>
      </w:r>
      <w:r w:rsidRPr="007F0FA7">
        <w:rPr>
          <w:rFonts w:ascii="Humanst521 BT" w:hAnsi="Humanst521 BT"/>
          <w:spacing w:val="-10"/>
          <w:sz w:val="22"/>
          <w:szCs w:val="22"/>
        </w:rPr>
        <w:t xml:space="preserve"> </w:t>
      </w:r>
      <w:r w:rsidRPr="007F0FA7">
        <w:rPr>
          <w:rFonts w:ascii="Humanst521 BT" w:hAnsi="Humanst521 BT"/>
          <w:sz w:val="22"/>
          <w:szCs w:val="22"/>
        </w:rPr>
        <w:t>de</w:t>
      </w:r>
      <w:r w:rsidRPr="007F0FA7">
        <w:rPr>
          <w:rFonts w:ascii="Humanst521 BT" w:hAnsi="Humanst521 BT"/>
          <w:spacing w:val="-7"/>
          <w:sz w:val="22"/>
          <w:szCs w:val="22"/>
        </w:rPr>
        <w:t xml:space="preserve"> </w:t>
      </w:r>
      <w:r w:rsidRPr="007F0FA7">
        <w:rPr>
          <w:rFonts w:ascii="Humanst521 BT" w:hAnsi="Humanst521 BT"/>
          <w:sz w:val="22"/>
          <w:szCs w:val="22"/>
        </w:rPr>
        <w:t>las personas, así como con otros factores que de forma directa pueden afectar las condiciones de vida y salud de la población.</w:t>
      </w:r>
    </w:p>
    <w:p w14:paraId="336E92C5" w14:textId="77777777" w:rsidR="00244200" w:rsidRPr="007F0FA7" w:rsidRDefault="00244200" w:rsidP="00093B44">
      <w:pPr>
        <w:pStyle w:val="Textoindependiente"/>
        <w:spacing w:before="43"/>
        <w:rPr>
          <w:rFonts w:ascii="Humanst521 BT" w:hAnsi="Humanst521 BT"/>
          <w:sz w:val="22"/>
          <w:szCs w:val="22"/>
        </w:rPr>
      </w:pPr>
    </w:p>
    <w:p w14:paraId="3401600A" w14:textId="77777777" w:rsidR="00244200" w:rsidRPr="007F0FA7" w:rsidRDefault="007C1956" w:rsidP="00093B44">
      <w:pPr>
        <w:pStyle w:val="Textoindependiente"/>
        <w:spacing w:before="1"/>
        <w:ind w:left="342" w:right="378"/>
        <w:jc w:val="both"/>
        <w:rPr>
          <w:rFonts w:ascii="Humanst521 BT" w:hAnsi="Humanst521 BT"/>
          <w:sz w:val="22"/>
          <w:szCs w:val="22"/>
        </w:rPr>
      </w:pPr>
      <w:r w:rsidRPr="007F0FA7">
        <w:rPr>
          <w:rFonts w:ascii="Humanst521 BT" w:hAnsi="Humanst521 BT"/>
          <w:sz w:val="22"/>
          <w:szCs w:val="22"/>
        </w:rPr>
        <w:t>Se</w:t>
      </w:r>
      <w:r w:rsidRPr="007F0FA7">
        <w:rPr>
          <w:rFonts w:ascii="Humanst521 BT" w:hAnsi="Humanst521 BT"/>
          <w:spacing w:val="-2"/>
          <w:sz w:val="22"/>
          <w:szCs w:val="22"/>
        </w:rPr>
        <w:t xml:space="preserve"> </w:t>
      </w:r>
      <w:r w:rsidRPr="007F0FA7">
        <w:rPr>
          <w:rFonts w:ascii="Humanst521 BT" w:hAnsi="Humanst521 BT"/>
          <w:sz w:val="22"/>
          <w:szCs w:val="22"/>
        </w:rPr>
        <w:t>puede</w:t>
      </w:r>
      <w:r w:rsidRPr="007F0FA7">
        <w:rPr>
          <w:rFonts w:ascii="Humanst521 BT" w:hAnsi="Humanst521 BT"/>
          <w:spacing w:val="-2"/>
          <w:sz w:val="22"/>
          <w:szCs w:val="22"/>
        </w:rPr>
        <w:t xml:space="preserve"> </w:t>
      </w:r>
      <w:r w:rsidRPr="007F0FA7">
        <w:rPr>
          <w:rFonts w:ascii="Humanst521 BT" w:hAnsi="Humanst521 BT"/>
          <w:sz w:val="22"/>
          <w:szCs w:val="22"/>
        </w:rPr>
        <w:t>decir,</w:t>
      </w:r>
      <w:r w:rsidRPr="007F0FA7">
        <w:rPr>
          <w:rFonts w:ascii="Humanst521 BT" w:hAnsi="Humanst521 BT"/>
          <w:spacing w:val="-4"/>
          <w:sz w:val="22"/>
          <w:szCs w:val="22"/>
        </w:rPr>
        <w:t xml:space="preserve"> </w:t>
      </w:r>
      <w:r w:rsidRPr="007F0FA7">
        <w:rPr>
          <w:rFonts w:ascii="Humanst521 BT" w:hAnsi="Humanst521 BT"/>
          <w:sz w:val="22"/>
          <w:szCs w:val="22"/>
        </w:rPr>
        <w:t>que</w:t>
      </w:r>
      <w:r w:rsidRPr="007F0FA7">
        <w:rPr>
          <w:rFonts w:ascii="Humanst521 BT" w:hAnsi="Humanst521 BT"/>
          <w:spacing w:val="-2"/>
          <w:sz w:val="22"/>
          <w:szCs w:val="22"/>
        </w:rPr>
        <w:t xml:space="preserve"> </w:t>
      </w:r>
      <w:r w:rsidRPr="007F0FA7">
        <w:rPr>
          <w:rFonts w:ascii="Humanst521 BT" w:hAnsi="Humanst521 BT"/>
          <w:sz w:val="22"/>
          <w:szCs w:val="22"/>
        </w:rPr>
        <w:t>las</w:t>
      </w:r>
      <w:r w:rsidRPr="007F0FA7">
        <w:rPr>
          <w:rFonts w:ascii="Humanst521 BT" w:hAnsi="Humanst521 BT"/>
          <w:spacing w:val="-1"/>
          <w:sz w:val="22"/>
          <w:szCs w:val="22"/>
        </w:rPr>
        <w:t xml:space="preserve"> </w:t>
      </w:r>
      <w:r w:rsidRPr="007F0FA7">
        <w:rPr>
          <w:rFonts w:ascii="Humanst521 BT" w:hAnsi="Humanst521 BT"/>
          <w:sz w:val="22"/>
          <w:szCs w:val="22"/>
        </w:rPr>
        <w:t>relaciones</w:t>
      </w:r>
      <w:r w:rsidRPr="007F0FA7">
        <w:rPr>
          <w:rFonts w:ascii="Humanst521 BT" w:hAnsi="Humanst521 BT"/>
          <w:spacing w:val="-1"/>
          <w:sz w:val="22"/>
          <w:szCs w:val="22"/>
        </w:rPr>
        <w:t xml:space="preserve"> </w:t>
      </w:r>
      <w:r w:rsidRPr="007F0FA7">
        <w:rPr>
          <w:rFonts w:ascii="Humanst521 BT" w:hAnsi="Humanst521 BT"/>
          <w:sz w:val="22"/>
          <w:szCs w:val="22"/>
        </w:rPr>
        <w:t>de</w:t>
      </w:r>
      <w:r w:rsidRPr="007F0FA7">
        <w:rPr>
          <w:rFonts w:ascii="Humanst521 BT" w:hAnsi="Humanst521 BT"/>
          <w:spacing w:val="-2"/>
          <w:sz w:val="22"/>
          <w:szCs w:val="22"/>
        </w:rPr>
        <w:t xml:space="preserve"> </w:t>
      </w:r>
      <w:r w:rsidRPr="007F0FA7">
        <w:rPr>
          <w:rFonts w:ascii="Humanst521 BT" w:hAnsi="Humanst521 BT"/>
          <w:sz w:val="22"/>
          <w:szCs w:val="22"/>
        </w:rPr>
        <w:t>producción,</w:t>
      </w:r>
      <w:r w:rsidRPr="007F0FA7">
        <w:rPr>
          <w:rFonts w:ascii="Humanst521 BT" w:hAnsi="Humanst521 BT"/>
          <w:spacing w:val="-2"/>
          <w:sz w:val="22"/>
          <w:szCs w:val="22"/>
        </w:rPr>
        <w:t xml:space="preserve"> </w:t>
      </w:r>
      <w:r w:rsidRPr="007F0FA7">
        <w:rPr>
          <w:rFonts w:ascii="Humanst521 BT" w:hAnsi="Humanst521 BT"/>
          <w:sz w:val="22"/>
          <w:szCs w:val="22"/>
        </w:rPr>
        <w:t>es</w:t>
      </w:r>
      <w:r w:rsidRPr="007F0FA7">
        <w:rPr>
          <w:rFonts w:ascii="Humanst521 BT" w:hAnsi="Humanst521 BT"/>
          <w:spacing w:val="-3"/>
          <w:sz w:val="22"/>
          <w:szCs w:val="22"/>
        </w:rPr>
        <w:t xml:space="preserve"> </w:t>
      </w:r>
      <w:r w:rsidRPr="007F0FA7">
        <w:rPr>
          <w:rFonts w:ascii="Humanst521 BT" w:hAnsi="Humanst521 BT"/>
          <w:sz w:val="22"/>
          <w:szCs w:val="22"/>
        </w:rPr>
        <w:t>decir, las</w:t>
      </w:r>
      <w:r w:rsidRPr="007F0FA7">
        <w:rPr>
          <w:rFonts w:ascii="Humanst521 BT" w:hAnsi="Humanst521 BT"/>
          <w:spacing w:val="-3"/>
          <w:sz w:val="22"/>
          <w:szCs w:val="22"/>
        </w:rPr>
        <w:t xml:space="preserve"> </w:t>
      </w:r>
      <w:r w:rsidRPr="007F0FA7">
        <w:rPr>
          <w:rFonts w:ascii="Humanst521 BT" w:hAnsi="Humanst521 BT"/>
          <w:sz w:val="22"/>
          <w:szCs w:val="22"/>
        </w:rPr>
        <w:t>relaciones que las personas tienen como parte del proceso productivo, son fundamentales</w:t>
      </w:r>
      <w:r w:rsidRPr="007F0FA7">
        <w:rPr>
          <w:rFonts w:ascii="Humanst521 BT" w:hAnsi="Humanst521 BT"/>
          <w:spacing w:val="-11"/>
          <w:sz w:val="22"/>
          <w:szCs w:val="22"/>
        </w:rPr>
        <w:t xml:space="preserve"> </w:t>
      </w:r>
      <w:r w:rsidRPr="007F0FA7">
        <w:rPr>
          <w:rFonts w:ascii="Humanst521 BT" w:hAnsi="Humanst521 BT"/>
          <w:sz w:val="22"/>
          <w:szCs w:val="22"/>
        </w:rPr>
        <w:t>para</w:t>
      </w:r>
      <w:r w:rsidRPr="007F0FA7">
        <w:rPr>
          <w:rFonts w:ascii="Humanst521 BT" w:hAnsi="Humanst521 BT"/>
          <w:spacing w:val="-9"/>
          <w:sz w:val="22"/>
          <w:szCs w:val="22"/>
        </w:rPr>
        <w:t xml:space="preserve"> </w:t>
      </w:r>
      <w:r w:rsidRPr="007F0FA7">
        <w:rPr>
          <w:rFonts w:ascii="Humanst521 BT" w:hAnsi="Humanst521 BT"/>
          <w:sz w:val="22"/>
          <w:szCs w:val="22"/>
        </w:rPr>
        <w:t>organizar</w:t>
      </w:r>
      <w:r w:rsidRPr="007F0FA7">
        <w:rPr>
          <w:rFonts w:ascii="Humanst521 BT" w:hAnsi="Humanst521 BT"/>
          <w:spacing w:val="-10"/>
          <w:sz w:val="22"/>
          <w:szCs w:val="22"/>
        </w:rPr>
        <w:t xml:space="preserve"> </w:t>
      </w:r>
      <w:r w:rsidRPr="007F0FA7">
        <w:rPr>
          <w:rFonts w:ascii="Humanst521 BT" w:hAnsi="Humanst521 BT"/>
          <w:sz w:val="22"/>
          <w:szCs w:val="22"/>
        </w:rPr>
        <w:t>la</w:t>
      </w:r>
      <w:r w:rsidRPr="007F0FA7">
        <w:rPr>
          <w:rFonts w:ascii="Humanst521 BT" w:hAnsi="Humanst521 BT"/>
          <w:spacing w:val="-11"/>
          <w:sz w:val="22"/>
          <w:szCs w:val="22"/>
        </w:rPr>
        <w:t xml:space="preserve"> </w:t>
      </w:r>
      <w:r w:rsidRPr="007F0FA7">
        <w:rPr>
          <w:rFonts w:ascii="Humanst521 BT" w:hAnsi="Humanst521 BT"/>
          <w:sz w:val="22"/>
          <w:szCs w:val="22"/>
        </w:rPr>
        <w:t>vida</w:t>
      </w:r>
      <w:r w:rsidRPr="007F0FA7">
        <w:rPr>
          <w:rFonts w:ascii="Humanst521 BT" w:hAnsi="Humanst521 BT"/>
          <w:spacing w:val="-11"/>
          <w:sz w:val="22"/>
          <w:szCs w:val="22"/>
        </w:rPr>
        <w:t xml:space="preserve"> </w:t>
      </w:r>
      <w:r w:rsidRPr="007F0FA7">
        <w:rPr>
          <w:rFonts w:ascii="Humanst521 BT" w:hAnsi="Humanst521 BT"/>
          <w:sz w:val="22"/>
          <w:szCs w:val="22"/>
        </w:rPr>
        <w:t>social</w:t>
      </w:r>
      <w:r w:rsidRPr="007F0FA7">
        <w:rPr>
          <w:rFonts w:ascii="Humanst521 BT" w:hAnsi="Humanst521 BT"/>
          <w:spacing w:val="-11"/>
          <w:sz w:val="22"/>
          <w:szCs w:val="22"/>
        </w:rPr>
        <w:t xml:space="preserve"> </w:t>
      </w:r>
      <w:r w:rsidRPr="007F0FA7">
        <w:rPr>
          <w:rFonts w:ascii="Humanst521 BT" w:hAnsi="Humanst521 BT"/>
          <w:sz w:val="22"/>
          <w:szCs w:val="22"/>
        </w:rPr>
        <w:t>en</w:t>
      </w:r>
      <w:r w:rsidRPr="007F0FA7">
        <w:rPr>
          <w:rFonts w:ascii="Humanst521 BT" w:hAnsi="Humanst521 BT"/>
          <w:spacing w:val="-11"/>
          <w:sz w:val="22"/>
          <w:szCs w:val="22"/>
        </w:rPr>
        <w:t xml:space="preserve"> </w:t>
      </w:r>
      <w:r w:rsidRPr="007F0FA7">
        <w:rPr>
          <w:rFonts w:ascii="Humanst521 BT" w:hAnsi="Humanst521 BT"/>
          <w:sz w:val="22"/>
          <w:szCs w:val="22"/>
        </w:rPr>
        <w:t>una</w:t>
      </w:r>
      <w:r w:rsidRPr="007F0FA7">
        <w:rPr>
          <w:rFonts w:ascii="Humanst521 BT" w:hAnsi="Humanst521 BT"/>
          <w:spacing w:val="-11"/>
          <w:sz w:val="22"/>
          <w:szCs w:val="22"/>
        </w:rPr>
        <w:t xml:space="preserve"> </w:t>
      </w:r>
      <w:r w:rsidRPr="007F0FA7">
        <w:rPr>
          <w:rFonts w:ascii="Humanst521 BT" w:hAnsi="Humanst521 BT"/>
          <w:sz w:val="22"/>
          <w:szCs w:val="22"/>
        </w:rPr>
        <w:t>sociedad</w:t>
      </w:r>
      <w:r w:rsidRPr="007F0FA7">
        <w:rPr>
          <w:rFonts w:ascii="Humanst521 BT" w:hAnsi="Humanst521 BT"/>
          <w:spacing w:val="-9"/>
          <w:sz w:val="22"/>
          <w:szCs w:val="22"/>
        </w:rPr>
        <w:t xml:space="preserve"> </w:t>
      </w:r>
      <w:r w:rsidRPr="007F0FA7">
        <w:rPr>
          <w:rFonts w:ascii="Humanst521 BT" w:hAnsi="Humanst521 BT"/>
          <w:sz w:val="22"/>
          <w:szCs w:val="22"/>
        </w:rPr>
        <w:t>de</w:t>
      </w:r>
      <w:r w:rsidRPr="007F0FA7">
        <w:rPr>
          <w:rFonts w:ascii="Humanst521 BT" w:hAnsi="Humanst521 BT"/>
          <w:spacing w:val="-10"/>
          <w:sz w:val="22"/>
          <w:szCs w:val="22"/>
        </w:rPr>
        <w:t xml:space="preserve"> </w:t>
      </w:r>
      <w:r w:rsidRPr="007F0FA7">
        <w:rPr>
          <w:rFonts w:ascii="Humanst521 BT" w:hAnsi="Humanst521 BT"/>
          <w:sz w:val="22"/>
          <w:szCs w:val="22"/>
        </w:rPr>
        <w:t>mercado, dado que, estas producen estratificación de grupos de población o jerarquías sociales, que se acompañan de inequidades socio-sanitarias.</w:t>
      </w:r>
    </w:p>
    <w:p w14:paraId="33CE3C9F" w14:textId="77777777" w:rsidR="00244200" w:rsidRPr="007F0FA7" w:rsidRDefault="00244200" w:rsidP="00093B44">
      <w:pPr>
        <w:pStyle w:val="Textoindependiente"/>
        <w:spacing w:before="44"/>
        <w:rPr>
          <w:rFonts w:ascii="Humanst521 BT" w:hAnsi="Humanst521 BT"/>
          <w:sz w:val="22"/>
          <w:szCs w:val="22"/>
        </w:rPr>
      </w:pPr>
    </w:p>
    <w:p w14:paraId="09F86333" w14:textId="77777777" w:rsidR="00244200" w:rsidRPr="007F0FA7" w:rsidRDefault="007C1956" w:rsidP="00093B44">
      <w:pPr>
        <w:pStyle w:val="Textoindependiente"/>
        <w:ind w:left="342" w:right="377"/>
        <w:jc w:val="both"/>
        <w:rPr>
          <w:rFonts w:ascii="Humanst521 BT" w:hAnsi="Humanst521 BT"/>
          <w:sz w:val="22"/>
          <w:szCs w:val="22"/>
        </w:rPr>
      </w:pPr>
      <w:r w:rsidRPr="007F0FA7">
        <w:rPr>
          <w:rFonts w:ascii="Humanst521 BT" w:hAnsi="Humanst521 BT"/>
          <w:sz w:val="22"/>
          <w:szCs w:val="22"/>
        </w:rPr>
        <w:t>No obstante, no son los únicos procesos sociales que influyen en la manera</w:t>
      </w:r>
      <w:r w:rsidRPr="007F0FA7">
        <w:rPr>
          <w:rFonts w:ascii="Humanst521 BT" w:hAnsi="Humanst521 BT"/>
          <w:spacing w:val="-8"/>
          <w:sz w:val="22"/>
          <w:szCs w:val="22"/>
        </w:rPr>
        <w:t xml:space="preserve"> </w:t>
      </w:r>
      <w:r w:rsidRPr="007F0FA7">
        <w:rPr>
          <w:rFonts w:ascii="Humanst521 BT" w:hAnsi="Humanst521 BT"/>
          <w:sz w:val="22"/>
          <w:szCs w:val="22"/>
        </w:rPr>
        <w:t>como</w:t>
      </w:r>
      <w:r w:rsidRPr="007F0FA7">
        <w:rPr>
          <w:rFonts w:ascii="Humanst521 BT" w:hAnsi="Humanst521 BT"/>
          <w:spacing w:val="-8"/>
          <w:sz w:val="22"/>
          <w:szCs w:val="22"/>
        </w:rPr>
        <w:t xml:space="preserve"> </w:t>
      </w:r>
      <w:r w:rsidRPr="007F0FA7">
        <w:rPr>
          <w:rFonts w:ascii="Humanst521 BT" w:hAnsi="Humanst521 BT"/>
          <w:sz w:val="22"/>
          <w:szCs w:val="22"/>
        </w:rPr>
        <w:t>se</w:t>
      </w:r>
      <w:r w:rsidRPr="007F0FA7">
        <w:rPr>
          <w:rFonts w:ascii="Humanst521 BT" w:hAnsi="Humanst521 BT"/>
          <w:spacing w:val="-10"/>
          <w:sz w:val="22"/>
          <w:szCs w:val="22"/>
        </w:rPr>
        <w:t xml:space="preserve"> </w:t>
      </w:r>
      <w:r w:rsidRPr="007F0FA7">
        <w:rPr>
          <w:rFonts w:ascii="Humanst521 BT" w:hAnsi="Humanst521 BT"/>
          <w:sz w:val="22"/>
          <w:szCs w:val="22"/>
        </w:rPr>
        <w:t>organiza</w:t>
      </w:r>
      <w:r w:rsidRPr="007F0FA7">
        <w:rPr>
          <w:rFonts w:ascii="Humanst521 BT" w:hAnsi="Humanst521 BT"/>
          <w:spacing w:val="-8"/>
          <w:sz w:val="22"/>
          <w:szCs w:val="22"/>
        </w:rPr>
        <w:t xml:space="preserve"> </w:t>
      </w:r>
      <w:r w:rsidRPr="007F0FA7">
        <w:rPr>
          <w:rFonts w:ascii="Humanst521 BT" w:hAnsi="Humanst521 BT"/>
          <w:sz w:val="22"/>
          <w:szCs w:val="22"/>
        </w:rPr>
        <w:t>una</w:t>
      </w:r>
      <w:r w:rsidRPr="007F0FA7">
        <w:rPr>
          <w:rFonts w:ascii="Humanst521 BT" w:hAnsi="Humanst521 BT"/>
          <w:spacing w:val="-8"/>
          <w:sz w:val="22"/>
          <w:szCs w:val="22"/>
        </w:rPr>
        <w:t xml:space="preserve"> </w:t>
      </w:r>
      <w:r w:rsidRPr="007F0FA7">
        <w:rPr>
          <w:rFonts w:ascii="Humanst521 BT" w:hAnsi="Humanst521 BT"/>
          <w:sz w:val="22"/>
          <w:szCs w:val="22"/>
        </w:rPr>
        <w:t>sociedad,</w:t>
      </w:r>
      <w:r w:rsidRPr="007F0FA7">
        <w:rPr>
          <w:rFonts w:ascii="Humanst521 BT" w:hAnsi="Humanst521 BT"/>
          <w:spacing w:val="-9"/>
          <w:sz w:val="22"/>
          <w:szCs w:val="22"/>
        </w:rPr>
        <w:t xml:space="preserve"> </w:t>
      </w:r>
      <w:r w:rsidRPr="007F0FA7">
        <w:rPr>
          <w:rFonts w:ascii="Humanst521 BT" w:hAnsi="Humanst521 BT"/>
          <w:sz w:val="22"/>
          <w:szCs w:val="22"/>
        </w:rPr>
        <w:t>dado</w:t>
      </w:r>
      <w:r w:rsidRPr="007F0FA7">
        <w:rPr>
          <w:rFonts w:ascii="Humanst521 BT" w:hAnsi="Humanst521 BT"/>
          <w:spacing w:val="-8"/>
          <w:sz w:val="22"/>
          <w:szCs w:val="22"/>
        </w:rPr>
        <w:t xml:space="preserve"> </w:t>
      </w:r>
      <w:r w:rsidRPr="007F0FA7">
        <w:rPr>
          <w:rFonts w:ascii="Humanst521 BT" w:hAnsi="Humanst521 BT"/>
          <w:sz w:val="22"/>
          <w:szCs w:val="22"/>
        </w:rPr>
        <w:t>que</w:t>
      </w:r>
      <w:r w:rsidRPr="007F0FA7">
        <w:rPr>
          <w:rFonts w:ascii="Humanst521 BT" w:hAnsi="Humanst521 BT"/>
          <w:spacing w:val="-7"/>
          <w:sz w:val="22"/>
          <w:szCs w:val="22"/>
        </w:rPr>
        <w:t xml:space="preserve"> </w:t>
      </w:r>
      <w:r w:rsidRPr="007F0FA7">
        <w:rPr>
          <w:rFonts w:ascii="Humanst521 BT" w:hAnsi="Humanst521 BT"/>
          <w:sz w:val="22"/>
          <w:szCs w:val="22"/>
        </w:rPr>
        <w:t>también</w:t>
      </w:r>
      <w:r w:rsidRPr="007F0FA7">
        <w:rPr>
          <w:rFonts w:ascii="Humanst521 BT" w:hAnsi="Humanst521 BT"/>
          <w:spacing w:val="-6"/>
          <w:sz w:val="22"/>
          <w:szCs w:val="22"/>
        </w:rPr>
        <w:t xml:space="preserve"> </w:t>
      </w:r>
      <w:r w:rsidRPr="007F0FA7">
        <w:rPr>
          <w:rFonts w:ascii="Humanst521 BT" w:hAnsi="Humanst521 BT"/>
          <w:sz w:val="22"/>
          <w:szCs w:val="22"/>
        </w:rPr>
        <w:t>se</w:t>
      </w:r>
      <w:r w:rsidRPr="007F0FA7">
        <w:rPr>
          <w:rFonts w:ascii="Humanst521 BT" w:hAnsi="Humanst521 BT"/>
          <w:spacing w:val="-7"/>
          <w:sz w:val="22"/>
          <w:szCs w:val="22"/>
        </w:rPr>
        <w:t xml:space="preserve"> </w:t>
      </w:r>
      <w:r w:rsidRPr="007F0FA7">
        <w:rPr>
          <w:rFonts w:ascii="Humanst521 BT" w:hAnsi="Humanst521 BT"/>
          <w:sz w:val="22"/>
          <w:szCs w:val="22"/>
        </w:rPr>
        <w:t>debe</w:t>
      </w:r>
      <w:r w:rsidRPr="007F0FA7">
        <w:rPr>
          <w:rFonts w:ascii="Humanst521 BT" w:hAnsi="Humanst521 BT"/>
          <w:spacing w:val="-7"/>
          <w:sz w:val="22"/>
          <w:szCs w:val="22"/>
        </w:rPr>
        <w:t xml:space="preserve"> </w:t>
      </w:r>
      <w:r w:rsidRPr="007F0FA7">
        <w:rPr>
          <w:rFonts w:ascii="Humanst521 BT" w:hAnsi="Humanst521 BT"/>
          <w:sz w:val="22"/>
          <w:szCs w:val="22"/>
        </w:rPr>
        <w:t>tener presente la exclusión social, que ha generado la discriminación por raza, etnia o las inequidades de género.</w:t>
      </w:r>
    </w:p>
    <w:p w14:paraId="1902614A" w14:textId="77777777" w:rsidR="00244200" w:rsidRPr="007F0FA7" w:rsidRDefault="00244200" w:rsidP="00093B44">
      <w:pPr>
        <w:pStyle w:val="Textoindependiente"/>
        <w:spacing w:before="45"/>
        <w:rPr>
          <w:rFonts w:ascii="Humanst521 BT" w:hAnsi="Humanst521 BT"/>
          <w:sz w:val="22"/>
          <w:szCs w:val="22"/>
        </w:rPr>
      </w:pPr>
    </w:p>
    <w:p w14:paraId="14D29E11" w14:textId="1897494A" w:rsidR="00244200" w:rsidRPr="007F0FA7" w:rsidRDefault="007C1956" w:rsidP="00093B44">
      <w:pPr>
        <w:pStyle w:val="Textoindependiente"/>
        <w:ind w:left="342" w:right="379"/>
        <w:jc w:val="both"/>
        <w:rPr>
          <w:rFonts w:ascii="Humanst521 BT" w:hAnsi="Humanst521 BT"/>
          <w:sz w:val="22"/>
          <w:szCs w:val="22"/>
        </w:rPr>
      </w:pPr>
      <w:r w:rsidRPr="007F0FA7">
        <w:rPr>
          <w:rFonts w:ascii="Humanst521 BT" w:hAnsi="Humanst521 BT"/>
          <w:sz w:val="22"/>
          <w:szCs w:val="22"/>
        </w:rPr>
        <w:t>Además, en Colombia se ha descrito una desigualdad territorial, que se expresó</w:t>
      </w:r>
      <w:r w:rsidRPr="007F0FA7">
        <w:rPr>
          <w:rFonts w:ascii="Humanst521 BT" w:hAnsi="Humanst521 BT"/>
          <w:spacing w:val="-15"/>
          <w:sz w:val="22"/>
          <w:szCs w:val="22"/>
        </w:rPr>
        <w:t xml:space="preserve"> </w:t>
      </w:r>
      <w:r w:rsidRPr="007F0FA7">
        <w:rPr>
          <w:rFonts w:ascii="Humanst521 BT" w:hAnsi="Humanst521 BT"/>
          <w:sz w:val="22"/>
          <w:szCs w:val="22"/>
        </w:rPr>
        <w:t>de</w:t>
      </w:r>
      <w:r w:rsidRPr="007F0FA7">
        <w:rPr>
          <w:rFonts w:ascii="Humanst521 BT" w:hAnsi="Humanst521 BT"/>
          <w:spacing w:val="-15"/>
          <w:sz w:val="22"/>
          <w:szCs w:val="22"/>
        </w:rPr>
        <w:t xml:space="preserve"> </w:t>
      </w:r>
      <w:r w:rsidRPr="007F0FA7">
        <w:rPr>
          <w:rFonts w:ascii="Humanst521 BT" w:hAnsi="Humanst521 BT"/>
          <w:sz w:val="22"/>
          <w:szCs w:val="22"/>
        </w:rPr>
        <w:t>manera</w:t>
      </w:r>
      <w:r w:rsidRPr="007F0FA7">
        <w:rPr>
          <w:rFonts w:ascii="Humanst521 BT" w:hAnsi="Humanst521 BT"/>
          <w:spacing w:val="-16"/>
          <w:sz w:val="22"/>
          <w:szCs w:val="22"/>
        </w:rPr>
        <w:t xml:space="preserve"> </w:t>
      </w:r>
      <w:r w:rsidRPr="007F0FA7">
        <w:rPr>
          <w:rFonts w:ascii="Humanst521 BT" w:hAnsi="Humanst521 BT"/>
          <w:sz w:val="22"/>
          <w:szCs w:val="22"/>
        </w:rPr>
        <w:t>contundente</w:t>
      </w:r>
      <w:r w:rsidRPr="007F0FA7">
        <w:rPr>
          <w:rFonts w:ascii="Humanst521 BT" w:hAnsi="Humanst521 BT"/>
          <w:spacing w:val="-15"/>
          <w:sz w:val="22"/>
          <w:szCs w:val="22"/>
        </w:rPr>
        <w:t xml:space="preserve"> </w:t>
      </w:r>
      <w:r w:rsidRPr="007F0FA7">
        <w:rPr>
          <w:rFonts w:ascii="Humanst521 BT" w:hAnsi="Humanst521 BT"/>
          <w:sz w:val="22"/>
          <w:szCs w:val="22"/>
        </w:rPr>
        <w:t>en</w:t>
      </w:r>
      <w:r w:rsidRPr="007F0FA7">
        <w:rPr>
          <w:rFonts w:ascii="Humanst521 BT" w:hAnsi="Humanst521 BT"/>
          <w:spacing w:val="-16"/>
          <w:sz w:val="22"/>
          <w:szCs w:val="22"/>
        </w:rPr>
        <w:t xml:space="preserve"> </w:t>
      </w:r>
      <w:r w:rsidRPr="007F0FA7">
        <w:rPr>
          <w:rFonts w:ascii="Humanst521 BT" w:hAnsi="Humanst521 BT"/>
          <w:sz w:val="22"/>
          <w:szCs w:val="22"/>
        </w:rPr>
        <w:t>el</w:t>
      </w:r>
      <w:r w:rsidRPr="007F0FA7">
        <w:rPr>
          <w:rFonts w:ascii="Humanst521 BT" w:hAnsi="Humanst521 BT"/>
          <w:spacing w:val="-17"/>
          <w:sz w:val="22"/>
          <w:szCs w:val="22"/>
        </w:rPr>
        <w:t xml:space="preserve"> </w:t>
      </w:r>
      <w:r w:rsidRPr="007F0FA7">
        <w:rPr>
          <w:rFonts w:ascii="Humanst521 BT" w:hAnsi="Humanst521 BT"/>
          <w:sz w:val="22"/>
          <w:szCs w:val="22"/>
        </w:rPr>
        <w:t>Índice</w:t>
      </w:r>
      <w:r w:rsidRPr="007F0FA7">
        <w:rPr>
          <w:rFonts w:ascii="Humanst521 BT" w:hAnsi="Humanst521 BT"/>
          <w:spacing w:val="-15"/>
          <w:sz w:val="22"/>
          <w:szCs w:val="22"/>
        </w:rPr>
        <w:t xml:space="preserve"> </w:t>
      </w:r>
      <w:r w:rsidRPr="007F0FA7">
        <w:rPr>
          <w:rFonts w:ascii="Humanst521 BT" w:hAnsi="Humanst521 BT"/>
          <w:sz w:val="22"/>
          <w:szCs w:val="22"/>
        </w:rPr>
        <w:t>de</w:t>
      </w:r>
      <w:r w:rsidRPr="007F0FA7">
        <w:rPr>
          <w:rFonts w:ascii="Humanst521 BT" w:hAnsi="Humanst521 BT"/>
          <w:spacing w:val="-15"/>
          <w:sz w:val="22"/>
          <w:szCs w:val="22"/>
        </w:rPr>
        <w:t xml:space="preserve"> </w:t>
      </w:r>
      <w:r w:rsidRPr="007F0FA7">
        <w:rPr>
          <w:rFonts w:ascii="Humanst521 BT" w:hAnsi="Humanst521 BT"/>
          <w:sz w:val="22"/>
          <w:szCs w:val="22"/>
        </w:rPr>
        <w:t>Pobreza</w:t>
      </w:r>
      <w:r w:rsidRPr="007F0FA7">
        <w:rPr>
          <w:rFonts w:ascii="Humanst521 BT" w:hAnsi="Humanst521 BT"/>
          <w:spacing w:val="-16"/>
          <w:sz w:val="22"/>
          <w:szCs w:val="22"/>
        </w:rPr>
        <w:t xml:space="preserve"> </w:t>
      </w:r>
      <w:r w:rsidRPr="007F0FA7">
        <w:rPr>
          <w:rFonts w:ascii="Humanst521 BT" w:hAnsi="Humanst521 BT"/>
          <w:sz w:val="22"/>
          <w:szCs w:val="22"/>
        </w:rPr>
        <w:t>Multidimensional del</w:t>
      </w:r>
      <w:r w:rsidRPr="007F0FA7">
        <w:rPr>
          <w:rFonts w:ascii="Humanst521 BT" w:hAnsi="Humanst521 BT"/>
          <w:spacing w:val="32"/>
          <w:sz w:val="22"/>
          <w:szCs w:val="22"/>
        </w:rPr>
        <w:t xml:space="preserve"> </w:t>
      </w:r>
      <w:r w:rsidRPr="007F0FA7">
        <w:rPr>
          <w:rFonts w:ascii="Humanst521 BT" w:hAnsi="Humanst521 BT"/>
          <w:sz w:val="22"/>
          <w:szCs w:val="22"/>
        </w:rPr>
        <w:t>año</w:t>
      </w:r>
      <w:r w:rsidRPr="007F0FA7">
        <w:rPr>
          <w:rFonts w:ascii="Humanst521 BT" w:hAnsi="Humanst521 BT"/>
          <w:spacing w:val="37"/>
          <w:sz w:val="22"/>
          <w:szCs w:val="22"/>
        </w:rPr>
        <w:t xml:space="preserve"> </w:t>
      </w:r>
      <w:r w:rsidRPr="007F0FA7">
        <w:rPr>
          <w:rFonts w:ascii="Humanst521 BT" w:hAnsi="Humanst521 BT"/>
          <w:sz w:val="22"/>
          <w:szCs w:val="22"/>
        </w:rPr>
        <w:t>2018,</w:t>
      </w:r>
      <w:r w:rsidRPr="007F0FA7">
        <w:rPr>
          <w:rFonts w:ascii="Humanst521 BT" w:hAnsi="Humanst521 BT"/>
          <w:spacing w:val="35"/>
          <w:sz w:val="22"/>
          <w:szCs w:val="22"/>
        </w:rPr>
        <w:t xml:space="preserve"> </w:t>
      </w:r>
      <w:r w:rsidRPr="007F0FA7">
        <w:rPr>
          <w:rFonts w:ascii="Humanst521 BT" w:hAnsi="Humanst521 BT"/>
          <w:sz w:val="22"/>
          <w:szCs w:val="22"/>
        </w:rPr>
        <w:t>y</w:t>
      </w:r>
      <w:r w:rsidRPr="007F0FA7">
        <w:rPr>
          <w:rFonts w:ascii="Humanst521 BT" w:hAnsi="Humanst521 BT"/>
          <w:spacing w:val="35"/>
          <w:sz w:val="22"/>
          <w:szCs w:val="22"/>
        </w:rPr>
        <w:t xml:space="preserve"> </w:t>
      </w:r>
      <w:r w:rsidRPr="007F0FA7">
        <w:rPr>
          <w:rFonts w:ascii="Humanst521 BT" w:hAnsi="Humanst521 BT"/>
          <w:sz w:val="22"/>
          <w:szCs w:val="22"/>
        </w:rPr>
        <w:t>mostró</w:t>
      </w:r>
      <w:r w:rsidRPr="007F0FA7">
        <w:rPr>
          <w:rFonts w:ascii="Humanst521 BT" w:hAnsi="Humanst521 BT"/>
          <w:spacing w:val="38"/>
          <w:sz w:val="22"/>
          <w:szCs w:val="22"/>
        </w:rPr>
        <w:t xml:space="preserve"> </w:t>
      </w:r>
      <w:r w:rsidRPr="007F0FA7">
        <w:rPr>
          <w:rFonts w:ascii="Humanst521 BT" w:hAnsi="Humanst521 BT"/>
          <w:sz w:val="22"/>
          <w:szCs w:val="22"/>
        </w:rPr>
        <w:t>que,</w:t>
      </w:r>
      <w:r w:rsidRPr="007F0FA7">
        <w:rPr>
          <w:rFonts w:ascii="Humanst521 BT" w:hAnsi="Humanst521 BT"/>
          <w:spacing w:val="35"/>
          <w:sz w:val="22"/>
          <w:szCs w:val="22"/>
        </w:rPr>
        <w:t xml:space="preserve"> </w:t>
      </w:r>
      <w:r w:rsidRPr="007F0FA7">
        <w:rPr>
          <w:rFonts w:ascii="Humanst521 BT" w:hAnsi="Humanst521 BT"/>
          <w:sz w:val="22"/>
          <w:szCs w:val="22"/>
        </w:rPr>
        <w:t>si</w:t>
      </w:r>
      <w:r w:rsidRPr="007F0FA7">
        <w:rPr>
          <w:rFonts w:ascii="Humanst521 BT" w:hAnsi="Humanst521 BT"/>
          <w:spacing w:val="34"/>
          <w:sz w:val="22"/>
          <w:szCs w:val="22"/>
        </w:rPr>
        <w:t xml:space="preserve"> </w:t>
      </w:r>
      <w:r w:rsidRPr="007F0FA7">
        <w:rPr>
          <w:rFonts w:ascii="Humanst521 BT" w:hAnsi="Humanst521 BT"/>
          <w:sz w:val="22"/>
          <w:szCs w:val="22"/>
        </w:rPr>
        <w:t>bien</w:t>
      </w:r>
      <w:r w:rsidRPr="007F0FA7">
        <w:rPr>
          <w:rFonts w:ascii="Humanst521 BT" w:hAnsi="Humanst521 BT"/>
          <w:spacing w:val="39"/>
          <w:sz w:val="22"/>
          <w:szCs w:val="22"/>
        </w:rPr>
        <w:t xml:space="preserve"> </w:t>
      </w:r>
      <w:r w:rsidRPr="007F0FA7">
        <w:rPr>
          <w:rFonts w:ascii="Humanst521 BT" w:hAnsi="Humanst521 BT"/>
          <w:sz w:val="22"/>
          <w:szCs w:val="22"/>
        </w:rPr>
        <w:t>el</w:t>
      </w:r>
      <w:r w:rsidRPr="007F0FA7">
        <w:rPr>
          <w:rFonts w:ascii="Humanst521 BT" w:hAnsi="Humanst521 BT"/>
          <w:spacing w:val="35"/>
          <w:sz w:val="22"/>
          <w:szCs w:val="22"/>
        </w:rPr>
        <w:t xml:space="preserve"> </w:t>
      </w:r>
      <w:r w:rsidRPr="007F0FA7">
        <w:rPr>
          <w:rFonts w:ascii="Humanst521 BT" w:hAnsi="Humanst521 BT"/>
          <w:sz w:val="22"/>
          <w:szCs w:val="22"/>
        </w:rPr>
        <w:t>país</w:t>
      </w:r>
      <w:r w:rsidRPr="007F0FA7">
        <w:rPr>
          <w:rFonts w:ascii="Humanst521 BT" w:hAnsi="Humanst521 BT"/>
          <w:spacing w:val="35"/>
          <w:sz w:val="22"/>
          <w:szCs w:val="22"/>
        </w:rPr>
        <w:t xml:space="preserve"> </w:t>
      </w:r>
      <w:r w:rsidRPr="007F0FA7">
        <w:rPr>
          <w:rFonts w:ascii="Humanst521 BT" w:hAnsi="Humanst521 BT"/>
          <w:sz w:val="22"/>
          <w:szCs w:val="22"/>
        </w:rPr>
        <w:t>redujo</w:t>
      </w:r>
      <w:r w:rsidRPr="007F0FA7">
        <w:rPr>
          <w:rFonts w:ascii="Humanst521 BT" w:hAnsi="Humanst521 BT"/>
          <w:spacing w:val="37"/>
          <w:sz w:val="22"/>
          <w:szCs w:val="22"/>
        </w:rPr>
        <w:t xml:space="preserve"> </w:t>
      </w:r>
      <w:r w:rsidRPr="007F0FA7">
        <w:rPr>
          <w:rFonts w:ascii="Humanst521 BT" w:hAnsi="Humanst521 BT"/>
          <w:sz w:val="22"/>
          <w:szCs w:val="22"/>
        </w:rPr>
        <w:t>el</w:t>
      </w:r>
      <w:r w:rsidRPr="007F0FA7">
        <w:rPr>
          <w:rFonts w:ascii="Humanst521 BT" w:hAnsi="Humanst521 BT"/>
          <w:spacing w:val="35"/>
          <w:sz w:val="22"/>
          <w:szCs w:val="22"/>
        </w:rPr>
        <w:t xml:space="preserve"> </w:t>
      </w:r>
      <w:r w:rsidRPr="007F0FA7">
        <w:rPr>
          <w:rFonts w:ascii="Humanst521 BT" w:hAnsi="Humanst521 BT"/>
          <w:sz w:val="22"/>
          <w:szCs w:val="22"/>
        </w:rPr>
        <w:t>índice</w:t>
      </w:r>
      <w:r w:rsidRPr="007F0FA7">
        <w:rPr>
          <w:rFonts w:ascii="Humanst521 BT" w:hAnsi="Humanst521 BT"/>
          <w:spacing w:val="36"/>
          <w:sz w:val="22"/>
          <w:szCs w:val="22"/>
        </w:rPr>
        <w:t xml:space="preserve"> </w:t>
      </w:r>
      <w:r w:rsidRPr="007F0FA7">
        <w:rPr>
          <w:rFonts w:ascii="Humanst521 BT" w:hAnsi="Humanst521 BT"/>
          <w:sz w:val="22"/>
          <w:szCs w:val="22"/>
        </w:rPr>
        <w:t>de</w:t>
      </w:r>
      <w:r w:rsidRPr="007F0FA7">
        <w:rPr>
          <w:rFonts w:ascii="Humanst521 BT" w:hAnsi="Humanst521 BT"/>
          <w:spacing w:val="37"/>
          <w:sz w:val="22"/>
          <w:szCs w:val="22"/>
        </w:rPr>
        <w:t xml:space="preserve"> </w:t>
      </w:r>
      <w:r w:rsidRPr="007F0FA7">
        <w:rPr>
          <w:rFonts w:ascii="Humanst521 BT" w:hAnsi="Humanst521 BT"/>
          <w:sz w:val="22"/>
          <w:szCs w:val="22"/>
        </w:rPr>
        <w:t>Gini</w:t>
      </w:r>
      <w:r w:rsidRPr="007F0FA7">
        <w:rPr>
          <w:rFonts w:ascii="Humanst521 BT" w:hAnsi="Humanst521 BT"/>
          <w:spacing w:val="35"/>
          <w:sz w:val="22"/>
          <w:szCs w:val="22"/>
        </w:rPr>
        <w:t xml:space="preserve"> </w:t>
      </w:r>
      <w:r w:rsidRPr="007F0FA7">
        <w:rPr>
          <w:rFonts w:ascii="Humanst521 BT" w:hAnsi="Humanst521 BT"/>
          <w:spacing w:val="-10"/>
          <w:sz w:val="22"/>
          <w:szCs w:val="22"/>
        </w:rPr>
        <w:t>y</w:t>
      </w:r>
      <w:r w:rsidR="00100C03" w:rsidRPr="007F0FA7">
        <w:rPr>
          <w:rFonts w:ascii="Humanst521 BT" w:hAnsi="Humanst521 BT"/>
          <w:spacing w:val="-10"/>
          <w:sz w:val="22"/>
          <w:szCs w:val="22"/>
        </w:rPr>
        <w:t xml:space="preserve"> </w:t>
      </w:r>
      <w:r w:rsidRPr="007F0FA7">
        <w:rPr>
          <w:rFonts w:ascii="Humanst521 BT" w:hAnsi="Humanst521 BT"/>
          <w:noProof/>
          <w:sz w:val="22"/>
          <w:szCs w:val="22"/>
        </w:rPr>
        <mc:AlternateContent>
          <mc:Choice Requires="wpg">
            <w:drawing>
              <wp:anchor distT="0" distB="0" distL="0" distR="0" simplePos="0" relativeHeight="251630080" behindDoc="0" locked="0" layoutInCell="1" allowOverlap="1" wp14:anchorId="3FE5F76B" wp14:editId="7EE3538D">
                <wp:simplePos x="0" y="0"/>
                <wp:positionH relativeFrom="page">
                  <wp:posOffset>7636509</wp:posOffset>
                </wp:positionH>
                <wp:positionV relativeFrom="page">
                  <wp:posOffset>0</wp:posOffset>
                </wp:positionV>
                <wp:extent cx="135890" cy="196342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119" name="Graphic 119"/>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120" name="Graphic 120"/>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121" name="Graphic 121"/>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122" name="Graphic 122"/>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681955A5" id="Group 118" o:spid="_x0000_s1026" style="position:absolute;margin-left:601.3pt;margin-top:0;width:10.7pt;height:154.6pt;z-index:251630080;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">
                <v:shape id="Graphic 119"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" path="m,473467r135889,1l135889,,,,,473467xe" fillcolor="#33aea3" stroked="f">
                  <v:path arrowok="t"/>
                </v:shape>
                <v:shape id="Graphic 120"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" path="m,l,498641r135889,l135889,,,xe" fillcolor="#5cbeb6" stroked="f">
                  <v:path arrowok="t"/>
                </v:shape>
                <v:shape id="Graphic 121"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" path="m,l,498615r135889,1l135889,,,xe" fillcolor="#85cfc7" stroked="f">
                  <v:path arrowok="t"/>
                </v:shape>
                <v:shape id="Graphic 122"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" path="m,498424r135889,l135889,,,,,498424xe" fillcolor="#d5eeec" stroked="f">
                  <v:path arrowok="t"/>
                </v:shape>
                <w10:wrap anchorx="page" anchory="page"/>
              </v:group>
            </w:pict>
          </mc:Fallback>
        </mc:AlternateContent>
      </w:r>
      <w:r w:rsidRPr="007F0FA7">
        <w:rPr>
          <w:rFonts w:ascii="Humanst521 BT" w:hAnsi="Humanst521 BT"/>
          <w:sz w:val="22"/>
          <w:szCs w:val="22"/>
        </w:rPr>
        <w:t>aumentó el PIB general, persisten brechas entre regiones y entre la ruralidad y lo urbano.</w:t>
      </w:r>
    </w:p>
    <w:p w14:paraId="6F06BE73" w14:textId="77777777" w:rsidR="00244200" w:rsidRPr="007F0FA7" w:rsidRDefault="00244200" w:rsidP="00093B44">
      <w:pPr>
        <w:pStyle w:val="Textoindependiente"/>
        <w:spacing w:before="43"/>
        <w:rPr>
          <w:rFonts w:ascii="Humanst521 BT" w:hAnsi="Humanst521 BT"/>
          <w:sz w:val="22"/>
          <w:szCs w:val="22"/>
        </w:rPr>
      </w:pPr>
    </w:p>
    <w:p w14:paraId="70C53E88" w14:textId="77777777" w:rsidR="00244200" w:rsidRPr="007F0FA7" w:rsidRDefault="007C1956" w:rsidP="00093B44">
      <w:pPr>
        <w:pStyle w:val="Textoindependiente"/>
        <w:spacing w:before="1"/>
        <w:ind w:left="342" w:right="376"/>
        <w:jc w:val="both"/>
        <w:rPr>
          <w:rFonts w:ascii="Humanst521 BT" w:hAnsi="Humanst521 BT"/>
          <w:sz w:val="22"/>
          <w:szCs w:val="22"/>
        </w:rPr>
      </w:pPr>
      <w:r w:rsidRPr="007F0FA7">
        <w:rPr>
          <w:rFonts w:ascii="Humanst521 BT" w:hAnsi="Humanst521 BT"/>
          <w:sz w:val="22"/>
          <w:szCs w:val="22"/>
        </w:rPr>
        <w:t>Estos determinantes, producen desenlaces mórbidos, los cuales se definen</w:t>
      </w:r>
      <w:r w:rsidRPr="007F0FA7">
        <w:rPr>
          <w:rFonts w:ascii="Humanst521 BT" w:hAnsi="Humanst521 BT"/>
          <w:spacing w:val="-18"/>
          <w:sz w:val="22"/>
          <w:szCs w:val="22"/>
        </w:rPr>
        <w:t xml:space="preserve"> </w:t>
      </w:r>
      <w:r w:rsidRPr="007F0FA7">
        <w:rPr>
          <w:rFonts w:ascii="Humanst521 BT" w:hAnsi="Humanst521 BT"/>
          <w:sz w:val="22"/>
          <w:szCs w:val="22"/>
        </w:rPr>
        <w:t>como</w:t>
      </w:r>
      <w:r w:rsidRPr="007F0FA7">
        <w:rPr>
          <w:rFonts w:ascii="Humanst521 BT" w:hAnsi="Humanst521 BT"/>
          <w:spacing w:val="-16"/>
          <w:sz w:val="22"/>
          <w:szCs w:val="22"/>
        </w:rPr>
        <w:t xml:space="preserve"> </w:t>
      </w:r>
      <w:r w:rsidRPr="007F0FA7">
        <w:rPr>
          <w:rFonts w:ascii="Humanst521 BT" w:hAnsi="Humanst521 BT"/>
          <w:sz w:val="22"/>
          <w:szCs w:val="22"/>
        </w:rPr>
        <w:t>un</w:t>
      </w:r>
      <w:r w:rsidRPr="007F0FA7">
        <w:rPr>
          <w:rFonts w:ascii="Humanst521 BT" w:hAnsi="Humanst521 BT"/>
          <w:spacing w:val="-16"/>
          <w:sz w:val="22"/>
          <w:szCs w:val="22"/>
        </w:rPr>
        <w:t xml:space="preserve"> </w:t>
      </w:r>
      <w:r w:rsidRPr="007F0FA7">
        <w:rPr>
          <w:rFonts w:ascii="Humanst521 BT" w:hAnsi="Humanst521 BT"/>
          <w:sz w:val="22"/>
          <w:szCs w:val="22"/>
        </w:rPr>
        <w:t>resultado</w:t>
      </w:r>
      <w:r w:rsidRPr="007F0FA7">
        <w:rPr>
          <w:rFonts w:ascii="Humanst521 BT" w:hAnsi="Humanst521 BT"/>
          <w:spacing w:val="-18"/>
          <w:sz w:val="22"/>
          <w:szCs w:val="22"/>
        </w:rPr>
        <w:t xml:space="preserve"> </w:t>
      </w:r>
      <w:r w:rsidRPr="007F0FA7">
        <w:rPr>
          <w:rFonts w:ascii="Humanst521 BT" w:hAnsi="Humanst521 BT"/>
          <w:sz w:val="22"/>
          <w:szCs w:val="22"/>
        </w:rPr>
        <w:t>adverso</w:t>
      </w:r>
      <w:r w:rsidRPr="007F0FA7">
        <w:rPr>
          <w:rFonts w:ascii="Humanst521 BT" w:hAnsi="Humanst521 BT"/>
          <w:spacing w:val="-17"/>
          <w:sz w:val="22"/>
          <w:szCs w:val="22"/>
        </w:rPr>
        <w:t xml:space="preserve"> </w:t>
      </w:r>
      <w:r w:rsidRPr="007F0FA7">
        <w:rPr>
          <w:rFonts w:ascii="Humanst521 BT" w:hAnsi="Humanst521 BT"/>
          <w:sz w:val="22"/>
          <w:szCs w:val="22"/>
        </w:rPr>
        <w:t>o</w:t>
      </w:r>
      <w:r w:rsidRPr="007F0FA7">
        <w:rPr>
          <w:rFonts w:ascii="Humanst521 BT" w:hAnsi="Humanst521 BT"/>
          <w:spacing w:val="-15"/>
          <w:sz w:val="22"/>
          <w:szCs w:val="22"/>
        </w:rPr>
        <w:t xml:space="preserve"> </w:t>
      </w:r>
      <w:r w:rsidRPr="007F0FA7">
        <w:rPr>
          <w:rFonts w:ascii="Humanst521 BT" w:hAnsi="Humanst521 BT"/>
          <w:sz w:val="22"/>
          <w:szCs w:val="22"/>
        </w:rPr>
        <w:t>fatal</w:t>
      </w:r>
      <w:r w:rsidRPr="007F0FA7">
        <w:rPr>
          <w:rFonts w:ascii="Humanst521 BT" w:hAnsi="Humanst521 BT"/>
          <w:spacing w:val="-20"/>
          <w:sz w:val="22"/>
          <w:szCs w:val="22"/>
        </w:rPr>
        <w:t xml:space="preserve"> </w:t>
      </w:r>
      <w:r w:rsidRPr="007F0FA7">
        <w:rPr>
          <w:rFonts w:ascii="Humanst521 BT" w:hAnsi="Humanst521 BT"/>
          <w:sz w:val="22"/>
          <w:szCs w:val="22"/>
        </w:rPr>
        <w:t>relacionado</w:t>
      </w:r>
      <w:r w:rsidRPr="007F0FA7">
        <w:rPr>
          <w:rFonts w:ascii="Humanst521 BT" w:hAnsi="Humanst521 BT"/>
          <w:spacing w:val="-18"/>
          <w:sz w:val="22"/>
          <w:szCs w:val="22"/>
        </w:rPr>
        <w:t xml:space="preserve"> </w:t>
      </w:r>
      <w:r w:rsidRPr="007F0FA7">
        <w:rPr>
          <w:rFonts w:ascii="Humanst521 BT" w:hAnsi="Humanst521 BT"/>
          <w:sz w:val="22"/>
          <w:szCs w:val="22"/>
        </w:rPr>
        <w:t>con</w:t>
      </w:r>
      <w:r w:rsidRPr="007F0FA7">
        <w:rPr>
          <w:rFonts w:ascii="Humanst521 BT" w:hAnsi="Humanst521 BT"/>
          <w:spacing w:val="-16"/>
          <w:sz w:val="22"/>
          <w:szCs w:val="22"/>
        </w:rPr>
        <w:t xml:space="preserve"> </w:t>
      </w:r>
      <w:r w:rsidRPr="007F0FA7">
        <w:rPr>
          <w:rFonts w:ascii="Humanst521 BT" w:hAnsi="Humanst521 BT"/>
          <w:sz w:val="22"/>
          <w:szCs w:val="22"/>
        </w:rPr>
        <w:t>la</w:t>
      </w:r>
      <w:r w:rsidRPr="007F0FA7">
        <w:rPr>
          <w:rFonts w:ascii="Humanst521 BT" w:hAnsi="Humanst521 BT"/>
          <w:spacing w:val="-17"/>
          <w:sz w:val="22"/>
          <w:szCs w:val="22"/>
        </w:rPr>
        <w:t xml:space="preserve"> </w:t>
      </w:r>
      <w:r w:rsidRPr="007F0FA7">
        <w:rPr>
          <w:rFonts w:ascii="Humanst521 BT" w:hAnsi="Humanst521 BT"/>
          <w:sz w:val="22"/>
          <w:szCs w:val="22"/>
        </w:rPr>
        <w:t>salud</w:t>
      </w:r>
      <w:r w:rsidRPr="007F0FA7">
        <w:rPr>
          <w:rFonts w:ascii="Humanst521 BT" w:hAnsi="Humanst521 BT"/>
          <w:spacing w:val="-17"/>
          <w:sz w:val="22"/>
          <w:szCs w:val="22"/>
        </w:rPr>
        <w:t xml:space="preserve"> </w:t>
      </w:r>
      <w:r w:rsidRPr="007F0FA7">
        <w:rPr>
          <w:rFonts w:ascii="Humanst521 BT" w:hAnsi="Humanst521 BT"/>
          <w:sz w:val="22"/>
          <w:szCs w:val="22"/>
        </w:rPr>
        <w:t>de</w:t>
      </w:r>
      <w:r w:rsidRPr="007F0FA7">
        <w:rPr>
          <w:rFonts w:ascii="Humanst521 BT" w:hAnsi="Humanst521 BT"/>
          <w:spacing w:val="-17"/>
          <w:sz w:val="22"/>
          <w:szCs w:val="22"/>
        </w:rPr>
        <w:t xml:space="preserve"> </w:t>
      </w:r>
      <w:r w:rsidRPr="007F0FA7">
        <w:rPr>
          <w:rFonts w:ascii="Humanst521 BT" w:hAnsi="Humanst521 BT"/>
          <w:sz w:val="22"/>
          <w:szCs w:val="22"/>
        </w:rPr>
        <w:t>una persona. Se utiliza comúnmente para describir el resultado de una enfermedad, lesión o condición médica que conduce a la muerte o a un deterioro</w:t>
      </w:r>
      <w:r w:rsidRPr="007F0FA7">
        <w:rPr>
          <w:rFonts w:ascii="Humanst521 BT" w:hAnsi="Humanst521 BT"/>
          <w:spacing w:val="-3"/>
          <w:sz w:val="22"/>
          <w:szCs w:val="22"/>
        </w:rPr>
        <w:t xml:space="preserve"> </w:t>
      </w:r>
      <w:r w:rsidRPr="007F0FA7">
        <w:rPr>
          <w:rFonts w:ascii="Humanst521 BT" w:hAnsi="Humanst521 BT"/>
          <w:sz w:val="22"/>
          <w:szCs w:val="22"/>
        </w:rPr>
        <w:t>significativo</w:t>
      </w:r>
      <w:r w:rsidRPr="007F0FA7">
        <w:rPr>
          <w:rFonts w:ascii="Humanst521 BT" w:hAnsi="Humanst521 BT"/>
          <w:spacing w:val="-4"/>
          <w:sz w:val="22"/>
          <w:szCs w:val="22"/>
        </w:rPr>
        <w:t xml:space="preserve"> </w:t>
      </w:r>
      <w:r w:rsidRPr="007F0FA7">
        <w:rPr>
          <w:rFonts w:ascii="Humanst521 BT" w:hAnsi="Humanst521 BT"/>
          <w:sz w:val="22"/>
          <w:szCs w:val="22"/>
        </w:rPr>
        <w:t>de</w:t>
      </w:r>
      <w:r w:rsidRPr="007F0FA7">
        <w:rPr>
          <w:rFonts w:ascii="Humanst521 BT" w:hAnsi="Humanst521 BT"/>
          <w:spacing w:val="-4"/>
          <w:sz w:val="22"/>
          <w:szCs w:val="22"/>
        </w:rPr>
        <w:t xml:space="preserve"> </w:t>
      </w:r>
      <w:r w:rsidRPr="007F0FA7">
        <w:rPr>
          <w:rFonts w:ascii="Humanst521 BT" w:hAnsi="Humanst521 BT"/>
          <w:sz w:val="22"/>
          <w:szCs w:val="22"/>
        </w:rPr>
        <w:t>la</w:t>
      </w:r>
      <w:r w:rsidRPr="007F0FA7">
        <w:rPr>
          <w:rFonts w:ascii="Humanst521 BT" w:hAnsi="Humanst521 BT"/>
          <w:spacing w:val="-2"/>
          <w:sz w:val="22"/>
          <w:szCs w:val="22"/>
        </w:rPr>
        <w:t xml:space="preserve"> </w:t>
      </w:r>
      <w:r w:rsidRPr="007F0FA7">
        <w:rPr>
          <w:rFonts w:ascii="Humanst521 BT" w:hAnsi="Humanst521 BT"/>
          <w:sz w:val="22"/>
          <w:szCs w:val="22"/>
        </w:rPr>
        <w:t>salud,</w:t>
      </w:r>
      <w:r w:rsidRPr="007F0FA7">
        <w:rPr>
          <w:rFonts w:ascii="Humanst521 BT" w:hAnsi="Humanst521 BT"/>
          <w:spacing w:val="-3"/>
          <w:sz w:val="22"/>
          <w:szCs w:val="22"/>
        </w:rPr>
        <w:t xml:space="preserve"> </w:t>
      </w:r>
      <w:r w:rsidRPr="007F0FA7">
        <w:rPr>
          <w:rFonts w:ascii="Humanst521 BT" w:hAnsi="Humanst521 BT"/>
          <w:sz w:val="22"/>
          <w:szCs w:val="22"/>
        </w:rPr>
        <w:t>resultado</w:t>
      </w:r>
      <w:r w:rsidRPr="007F0FA7">
        <w:rPr>
          <w:rFonts w:ascii="Humanst521 BT" w:hAnsi="Humanst521 BT"/>
          <w:spacing w:val="-4"/>
          <w:sz w:val="22"/>
          <w:szCs w:val="22"/>
        </w:rPr>
        <w:t xml:space="preserve"> </w:t>
      </w:r>
      <w:r w:rsidRPr="007F0FA7">
        <w:rPr>
          <w:rFonts w:ascii="Humanst521 BT" w:hAnsi="Humanst521 BT"/>
          <w:sz w:val="22"/>
          <w:szCs w:val="22"/>
        </w:rPr>
        <w:t>de</w:t>
      </w:r>
      <w:r w:rsidRPr="007F0FA7">
        <w:rPr>
          <w:rFonts w:ascii="Humanst521 BT" w:hAnsi="Humanst521 BT"/>
          <w:spacing w:val="-4"/>
          <w:sz w:val="22"/>
          <w:szCs w:val="22"/>
        </w:rPr>
        <w:t xml:space="preserve"> </w:t>
      </w:r>
      <w:r w:rsidRPr="007F0FA7">
        <w:rPr>
          <w:rFonts w:ascii="Humanst521 BT" w:hAnsi="Humanst521 BT"/>
          <w:sz w:val="22"/>
          <w:szCs w:val="22"/>
        </w:rPr>
        <w:t>las</w:t>
      </w:r>
      <w:r w:rsidRPr="007F0FA7">
        <w:rPr>
          <w:rFonts w:ascii="Humanst521 BT" w:hAnsi="Humanst521 BT"/>
          <w:spacing w:val="-5"/>
          <w:sz w:val="22"/>
          <w:szCs w:val="22"/>
        </w:rPr>
        <w:t xml:space="preserve"> </w:t>
      </w:r>
      <w:r w:rsidRPr="007F0FA7">
        <w:rPr>
          <w:rFonts w:ascii="Humanst521 BT" w:hAnsi="Humanst521 BT"/>
          <w:sz w:val="22"/>
          <w:szCs w:val="22"/>
        </w:rPr>
        <w:t>circunstancias</w:t>
      </w:r>
      <w:r w:rsidRPr="007F0FA7">
        <w:rPr>
          <w:rFonts w:ascii="Humanst521 BT" w:hAnsi="Humanst521 BT"/>
          <w:spacing w:val="-3"/>
          <w:sz w:val="22"/>
          <w:szCs w:val="22"/>
        </w:rPr>
        <w:t xml:space="preserve"> </w:t>
      </w:r>
      <w:r w:rsidRPr="007F0FA7">
        <w:rPr>
          <w:rFonts w:ascii="Humanst521 BT" w:hAnsi="Humanst521 BT"/>
          <w:sz w:val="22"/>
          <w:szCs w:val="22"/>
        </w:rPr>
        <w:t>propias donde vive, crece y se reproduce y puede desencadenar en un proceso mortal,</w:t>
      </w:r>
      <w:r w:rsidRPr="007F0FA7">
        <w:rPr>
          <w:rFonts w:ascii="Humanst521 BT" w:hAnsi="Humanst521 BT"/>
          <w:spacing w:val="-8"/>
          <w:sz w:val="22"/>
          <w:szCs w:val="22"/>
        </w:rPr>
        <w:t xml:space="preserve"> </w:t>
      </w:r>
      <w:r w:rsidRPr="007F0FA7">
        <w:rPr>
          <w:rFonts w:ascii="Humanst521 BT" w:hAnsi="Humanst521 BT"/>
          <w:sz w:val="22"/>
          <w:szCs w:val="22"/>
        </w:rPr>
        <w:t>siendo</w:t>
      </w:r>
      <w:r w:rsidRPr="007F0FA7">
        <w:rPr>
          <w:rFonts w:ascii="Humanst521 BT" w:hAnsi="Humanst521 BT"/>
          <w:spacing w:val="-8"/>
          <w:sz w:val="22"/>
          <w:szCs w:val="22"/>
        </w:rPr>
        <w:t xml:space="preserve"> </w:t>
      </w:r>
      <w:r w:rsidRPr="007F0FA7">
        <w:rPr>
          <w:rFonts w:ascii="Humanst521 BT" w:hAnsi="Humanst521 BT"/>
          <w:sz w:val="22"/>
          <w:szCs w:val="22"/>
        </w:rPr>
        <w:t>estos</w:t>
      </w:r>
      <w:r w:rsidRPr="007F0FA7">
        <w:rPr>
          <w:rFonts w:ascii="Humanst521 BT" w:hAnsi="Humanst521 BT"/>
          <w:spacing w:val="-8"/>
          <w:sz w:val="22"/>
          <w:szCs w:val="22"/>
        </w:rPr>
        <w:t xml:space="preserve"> </w:t>
      </w:r>
      <w:r w:rsidRPr="007F0FA7">
        <w:rPr>
          <w:rFonts w:ascii="Humanst521 BT" w:hAnsi="Humanst521 BT"/>
          <w:sz w:val="22"/>
          <w:szCs w:val="22"/>
        </w:rPr>
        <w:t>resultados</w:t>
      </w:r>
      <w:r w:rsidRPr="007F0FA7">
        <w:rPr>
          <w:rFonts w:ascii="Humanst521 BT" w:hAnsi="Humanst521 BT"/>
          <w:spacing w:val="-8"/>
          <w:sz w:val="22"/>
          <w:szCs w:val="22"/>
        </w:rPr>
        <w:t xml:space="preserve"> </w:t>
      </w:r>
      <w:r w:rsidRPr="007F0FA7">
        <w:rPr>
          <w:rFonts w:ascii="Humanst521 BT" w:hAnsi="Humanst521 BT"/>
          <w:sz w:val="22"/>
          <w:szCs w:val="22"/>
        </w:rPr>
        <w:t>potencialmente</w:t>
      </w:r>
      <w:r w:rsidRPr="007F0FA7">
        <w:rPr>
          <w:rFonts w:ascii="Humanst521 BT" w:hAnsi="Humanst521 BT"/>
          <w:spacing w:val="-7"/>
          <w:sz w:val="22"/>
          <w:szCs w:val="22"/>
        </w:rPr>
        <w:t xml:space="preserve"> </w:t>
      </w:r>
      <w:r w:rsidRPr="007F0FA7">
        <w:rPr>
          <w:rFonts w:ascii="Humanst521 BT" w:hAnsi="Humanst521 BT"/>
          <w:sz w:val="22"/>
          <w:szCs w:val="22"/>
        </w:rPr>
        <w:t>evitables,</w:t>
      </w:r>
      <w:r w:rsidRPr="007F0FA7">
        <w:rPr>
          <w:rFonts w:ascii="Humanst521 BT" w:hAnsi="Humanst521 BT"/>
          <w:spacing w:val="-8"/>
          <w:sz w:val="22"/>
          <w:szCs w:val="22"/>
        </w:rPr>
        <w:t xml:space="preserve"> </w:t>
      </w:r>
      <w:r w:rsidRPr="007F0FA7">
        <w:rPr>
          <w:rFonts w:ascii="Humanst521 BT" w:hAnsi="Humanst521 BT"/>
          <w:sz w:val="22"/>
          <w:szCs w:val="22"/>
        </w:rPr>
        <w:t>mediado</w:t>
      </w:r>
      <w:r w:rsidRPr="007F0FA7">
        <w:rPr>
          <w:rFonts w:ascii="Humanst521 BT" w:hAnsi="Humanst521 BT"/>
          <w:spacing w:val="-8"/>
          <w:sz w:val="22"/>
          <w:szCs w:val="22"/>
        </w:rPr>
        <w:t xml:space="preserve"> </w:t>
      </w:r>
      <w:r w:rsidRPr="007F0FA7">
        <w:rPr>
          <w:rFonts w:ascii="Humanst521 BT" w:hAnsi="Humanst521 BT"/>
          <w:sz w:val="22"/>
          <w:szCs w:val="22"/>
        </w:rPr>
        <w:t>por</w:t>
      </w:r>
      <w:r w:rsidRPr="007F0FA7">
        <w:rPr>
          <w:rFonts w:ascii="Humanst521 BT" w:hAnsi="Humanst521 BT"/>
          <w:spacing w:val="-7"/>
          <w:sz w:val="22"/>
          <w:szCs w:val="22"/>
        </w:rPr>
        <w:t xml:space="preserve"> </w:t>
      </w:r>
      <w:r w:rsidRPr="007F0FA7">
        <w:rPr>
          <w:rFonts w:ascii="Humanst521 BT" w:hAnsi="Humanst521 BT"/>
          <w:sz w:val="22"/>
          <w:szCs w:val="22"/>
        </w:rPr>
        <w:t>la capacidad de regulación que tiene el Estado y el desarrollo de acciones intersectoriales y preventivas de manera anticipada.</w:t>
      </w:r>
    </w:p>
    <w:p w14:paraId="59FCD1E1" w14:textId="77777777" w:rsidR="00244200" w:rsidRDefault="00244200" w:rsidP="00093B44">
      <w:pPr>
        <w:pStyle w:val="Textoindependiente"/>
        <w:spacing w:before="43"/>
        <w:rPr>
          <w:rFonts w:ascii="Humanst521 BT" w:hAnsi="Humanst521 BT"/>
          <w:sz w:val="22"/>
          <w:szCs w:val="22"/>
        </w:rPr>
      </w:pPr>
    </w:p>
    <w:p w14:paraId="15558295" w14:textId="77777777" w:rsidR="00D42F43" w:rsidRDefault="00D42F43" w:rsidP="00093B44">
      <w:pPr>
        <w:pStyle w:val="Textoindependiente"/>
        <w:spacing w:before="43"/>
        <w:rPr>
          <w:rFonts w:ascii="Humanst521 BT" w:hAnsi="Humanst521 BT"/>
          <w:sz w:val="22"/>
          <w:szCs w:val="22"/>
        </w:rPr>
      </w:pPr>
    </w:p>
    <w:p w14:paraId="0121C158" w14:textId="77777777" w:rsidR="0000348F" w:rsidRDefault="0000348F" w:rsidP="00093B44">
      <w:pPr>
        <w:pStyle w:val="Textoindependiente"/>
        <w:spacing w:before="43"/>
        <w:rPr>
          <w:rFonts w:ascii="Humanst521 BT" w:hAnsi="Humanst521 BT"/>
          <w:sz w:val="22"/>
          <w:szCs w:val="22"/>
        </w:rPr>
      </w:pPr>
    </w:p>
    <w:p w14:paraId="1AECB34E" w14:textId="77777777" w:rsidR="0000348F" w:rsidRPr="007F0FA7" w:rsidRDefault="0000348F" w:rsidP="00093B44">
      <w:pPr>
        <w:pStyle w:val="Textoindependiente"/>
        <w:spacing w:before="43"/>
        <w:rPr>
          <w:rFonts w:ascii="Humanst521 BT" w:hAnsi="Humanst521 BT"/>
          <w:sz w:val="22"/>
          <w:szCs w:val="22"/>
        </w:rPr>
      </w:pPr>
    </w:p>
    <w:p w14:paraId="530C82EC" w14:textId="2A7245FC" w:rsidR="00244200" w:rsidRPr="0000348F" w:rsidRDefault="00092228" w:rsidP="0000348F">
      <w:pPr>
        <w:pStyle w:val="Prrafodelista"/>
        <w:numPr>
          <w:ilvl w:val="1"/>
          <w:numId w:val="1"/>
        </w:numPr>
        <w:tabs>
          <w:tab w:val="left" w:pos="1134"/>
          <w:tab w:val="left" w:pos="1754"/>
        </w:tabs>
        <w:ind w:right="378"/>
        <w:outlineLvl w:val="1"/>
        <w:rPr>
          <w:rFonts w:ascii="Humanst521 BT" w:eastAsiaTheme="majorEastAsia" w:hAnsi="Humanst521 BT" w:cstheme="majorBidi"/>
          <w:b/>
          <w:bCs/>
          <w:color w:val="2F5496" w:themeColor="accent1" w:themeShade="BF"/>
          <w:sz w:val="28"/>
          <w:szCs w:val="28"/>
          <w:lang w:eastAsia="es-CO"/>
        </w:rPr>
      </w:pPr>
      <w:bookmarkStart w:id="9" w:name="_Toc231286781"/>
      <w:r w:rsidRPr="0000348F">
        <w:rPr>
          <w:rFonts w:ascii="Humanst521 BT" w:eastAsiaTheme="majorEastAsia" w:hAnsi="Humanst521 BT" w:cstheme="majorBidi"/>
          <w:b/>
          <w:bCs/>
          <w:color w:val="2F5496" w:themeColor="accent1" w:themeShade="BF"/>
          <w:sz w:val="28"/>
          <w:szCs w:val="28"/>
          <w:lang w:eastAsia="es-CO"/>
        </w:rPr>
        <w:lastRenderedPageBreak/>
        <w:t>PRIORIZACIÓN</w:t>
      </w:r>
      <w:r w:rsidRPr="0000348F">
        <w:rPr>
          <w:rFonts w:ascii="Humanst521 BT" w:eastAsiaTheme="majorEastAsia" w:hAnsi="Humanst521 BT" w:cstheme="majorBidi"/>
          <w:b/>
          <w:bCs/>
          <w:color w:val="2F5496" w:themeColor="accent1" w:themeShade="BF"/>
          <w:sz w:val="28"/>
          <w:szCs w:val="28"/>
          <w:lang w:eastAsia="es-CO"/>
        </w:rPr>
        <w:tab/>
        <w:t>DE</w:t>
      </w:r>
      <w:r w:rsidRPr="0000348F">
        <w:rPr>
          <w:rFonts w:ascii="Humanst521 BT" w:eastAsiaTheme="majorEastAsia" w:hAnsi="Humanst521 BT" w:cstheme="majorBidi"/>
          <w:b/>
          <w:bCs/>
          <w:color w:val="2F5496" w:themeColor="accent1" w:themeShade="BF"/>
          <w:sz w:val="28"/>
          <w:szCs w:val="28"/>
          <w:lang w:eastAsia="es-CO"/>
        </w:rPr>
        <w:tab/>
        <w:t>LAS</w:t>
      </w:r>
      <w:r w:rsidRPr="0000348F">
        <w:rPr>
          <w:rFonts w:ascii="Humanst521 BT" w:eastAsiaTheme="majorEastAsia" w:hAnsi="Humanst521 BT" w:cstheme="majorBidi"/>
          <w:b/>
          <w:bCs/>
          <w:color w:val="2F5496" w:themeColor="accent1" w:themeShade="BF"/>
          <w:sz w:val="28"/>
          <w:szCs w:val="28"/>
          <w:lang w:eastAsia="es-CO"/>
        </w:rPr>
        <w:tab/>
        <w:t>NECESIDADES</w:t>
      </w:r>
      <w:r w:rsidRPr="0000348F">
        <w:rPr>
          <w:rFonts w:ascii="Humanst521 BT" w:eastAsiaTheme="majorEastAsia" w:hAnsi="Humanst521 BT" w:cstheme="majorBidi"/>
          <w:b/>
          <w:bCs/>
          <w:color w:val="2F5496" w:themeColor="accent1" w:themeShade="BF"/>
          <w:sz w:val="28"/>
          <w:szCs w:val="28"/>
          <w:lang w:eastAsia="es-CO"/>
        </w:rPr>
        <w:tab/>
        <w:t>Y PROBLEMÁTICAS EN SALUD DE LOS AFILIADOS.</w:t>
      </w:r>
      <w:bookmarkEnd w:id="9"/>
    </w:p>
    <w:p w14:paraId="22077DF0" w14:textId="77777777" w:rsidR="00244200" w:rsidRPr="007F0FA7" w:rsidRDefault="007C1956" w:rsidP="00093B44">
      <w:pPr>
        <w:pStyle w:val="Textoindependiente"/>
        <w:spacing w:before="335"/>
        <w:ind w:left="342" w:right="375"/>
        <w:jc w:val="both"/>
        <w:rPr>
          <w:rFonts w:ascii="Humanst521 BT" w:hAnsi="Humanst521 BT"/>
          <w:sz w:val="22"/>
          <w:szCs w:val="22"/>
        </w:rPr>
      </w:pPr>
      <w:r w:rsidRPr="007F0FA7">
        <w:rPr>
          <w:rFonts w:ascii="Humanst521 BT" w:hAnsi="Humanst521 BT"/>
          <w:sz w:val="22"/>
          <w:szCs w:val="22"/>
        </w:rPr>
        <w:t>La</w:t>
      </w:r>
      <w:r w:rsidRPr="007F0FA7">
        <w:rPr>
          <w:rFonts w:ascii="Humanst521 BT" w:hAnsi="Humanst521 BT"/>
          <w:spacing w:val="-12"/>
          <w:sz w:val="22"/>
          <w:szCs w:val="22"/>
        </w:rPr>
        <w:t xml:space="preserve"> </w:t>
      </w:r>
      <w:r w:rsidRPr="007F0FA7">
        <w:rPr>
          <w:rFonts w:ascii="Humanst521 BT" w:hAnsi="Humanst521 BT"/>
          <w:sz w:val="22"/>
          <w:szCs w:val="22"/>
        </w:rPr>
        <w:t>priorización</w:t>
      </w:r>
      <w:r w:rsidRPr="007F0FA7">
        <w:rPr>
          <w:rFonts w:ascii="Humanst521 BT" w:hAnsi="Humanst521 BT"/>
          <w:spacing w:val="-13"/>
          <w:sz w:val="22"/>
          <w:szCs w:val="22"/>
        </w:rPr>
        <w:t xml:space="preserve"> </w:t>
      </w:r>
      <w:r w:rsidRPr="007F0FA7">
        <w:rPr>
          <w:rFonts w:ascii="Humanst521 BT" w:hAnsi="Humanst521 BT"/>
          <w:sz w:val="22"/>
          <w:szCs w:val="22"/>
        </w:rPr>
        <w:t>como</w:t>
      </w:r>
      <w:r w:rsidRPr="007F0FA7">
        <w:rPr>
          <w:rFonts w:ascii="Humanst521 BT" w:hAnsi="Humanst521 BT"/>
          <w:spacing w:val="-12"/>
          <w:sz w:val="22"/>
          <w:szCs w:val="22"/>
        </w:rPr>
        <w:t xml:space="preserve"> </w:t>
      </w:r>
      <w:r w:rsidRPr="007F0FA7">
        <w:rPr>
          <w:rFonts w:ascii="Humanst521 BT" w:hAnsi="Humanst521 BT"/>
          <w:sz w:val="22"/>
          <w:szCs w:val="22"/>
        </w:rPr>
        <w:t>instrumento</w:t>
      </w:r>
      <w:r w:rsidRPr="007F0FA7">
        <w:rPr>
          <w:rFonts w:ascii="Humanst521 BT" w:hAnsi="Humanst521 BT"/>
          <w:spacing w:val="-9"/>
          <w:sz w:val="22"/>
          <w:szCs w:val="22"/>
        </w:rPr>
        <w:t xml:space="preserve"> </w:t>
      </w:r>
      <w:r w:rsidRPr="007F0FA7">
        <w:rPr>
          <w:rFonts w:ascii="Humanst521 BT" w:hAnsi="Humanst521 BT"/>
          <w:sz w:val="22"/>
          <w:szCs w:val="22"/>
        </w:rPr>
        <w:t>para</w:t>
      </w:r>
      <w:r w:rsidRPr="007F0FA7">
        <w:rPr>
          <w:rFonts w:ascii="Humanst521 BT" w:hAnsi="Humanst521 BT"/>
          <w:spacing w:val="-10"/>
          <w:sz w:val="22"/>
          <w:szCs w:val="22"/>
        </w:rPr>
        <w:t xml:space="preserve"> </w:t>
      </w:r>
      <w:r w:rsidRPr="007F0FA7">
        <w:rPr>
          <w:rFonts w:ascii="Humanst521 BT" w:hAnsi="Humanst521 BT"/>
          <w:sz w:val="22"/>
          <w:szCs w:val="22"/>
        </w:rPr>
        <w:t>la</w:t>
      </w:r>
      <w:r w:rsidRPr="007F0FA7">
        <w:rPr>
          <w:rFonts w:ascii="Humanst521 BT" w:hAnsi="Humanst521 BT"/>
          <w:spacing w:val="-12"/>
          <w:sz w:val="22"/>
          <w:szCs w:val="22"/>
        </w:rPr>
        <w:t xml:space="preserve"> </w:t>
      </w:r>
      <w:r w:rsidRPr="007F0FA7">
        <w:rPr>
          <w:rFonts w:ascii="Humanst521 BT" w:hAnsi="Humanst521 BT"/>
          <w:sz w:val="22"/>
          <w:szCs w:val="22"/>
        </w:rPr>
        <w:t>toma</w:t>
      </w:r>
      <w:r w:rsidRPr="007F0FA7">
        <w:rPr>
          <w:rFonts w:ascii="Humanst521 BT" w:hAnsi="Humanst521 BT"/>
          <w:spacing w:val="-10"/>
          <w:sz w:val="22"/>
          <w:szCs w:val="22"/>
        </w:rPr>
        <w:t xml:space="preserve"> </w:t>
      </w:r>
      <w:r w:rsidRPr="007F0FA7">
        <w:rPr>
          <w:rFonts w:ascii="Humanst521 BT" w:hAnsi="Humanst521 BT"/>
          <w:sz w:val="22"/>
          <w:szCs w:val="22"/>
        </w:rPr>
        <w:t>de</w:t>
      </w:r>
      <w:r w:rsidRPr="007F0FA7">
        <w:rPr>
          <w:rFonts w:ascii="Humanst521 BT" w:hAnsi="Humanst521 BT"/>
          <w:spacing w:val="-11"/>
          <w:sz w:val="22"/>
          <w:szCs w:val="22"/>
        </w:rPr>
        <w:t xml:space="preserve"> </w:t>
      </w:r>
      <w:r w:rsidRPr="007F0FA7">
        <w:rPr>
          <w:rFonts w:ascii="Humanst521 BT" w:hAnsi="Humanst521 BT"/>
          <w:sz w:val="22"/>
          <w:szCs w:val="22"/>
        </w:rPr>
        <w:t>decisiones</w:t>
      </w:r>
      <w:r w:rsidRPr="007F0FA7">
        <w:rPr>
          <w:rFonts w:ascii="Humanst521 BT" w:hAnsi="Humanst521 BT"/>
          <w:spacing w:val="-12"/>
          <w:sz w:val="22"/>
          <w:szCs w:val="22"/>
        </w:rPr>
        <w:t xml:space="preserve"> </w:t>
      </w:r>
      <w:r w:rsidRPr="007F0FA7">
        <w:rPr>
          <w:rFonts w:ascii="Humanst521 BT" w:hAnsi="Humanst521 BT"/>
          <w:sz w:val="22"/>
          <w:szCs w:val="22"/>
        </w:rPr>
        <w:t>se</w:t>
      </w:r>
      <w:r w:rsidRPr="007F0FA7">
        <w:rPr>
          <w:rFonts w:ascii="Humanst521 BT" w:hAnsi="Humanst521 BT"/>
          <w:spacing w:val="-11"/>
          <w:sz w:val="22"/>
          <w:szCs w:val="22"/>
        </w:rPr>
        <w:t xml:space="preserve"> </w:t>
      </w:r>
      <w:r w:rsidRPr="007F0FA7">
        <w:rPr>
          <w:rFonts w:ascii="Humanst521 BT" w:hAnsi="Humanst521 BT"/>
          <w:sz w:val="22"/>
          <w:szCs w:val="22"/>
        </w:rPr>
        <w:t>consolida como una estrategia para enfrentar la gran pregunta: ¿Con los recursos disponibles,</w:t>
      </w:r>
      <w:r w:rsidRPr="007F0FA7">
        <w:rPr>
          <w:rFonts w:ascii="Humanst521 BT" w:hAnsi="Humanst521 BT"/>
          <w:spacing w:val="-10"/>
          <w:sz w:val="22"/>
          <w:szCs w:val="22"/>
        </w:rPr>
        <w:t xml:space="preserve"> </w:t>
      </w:r>
      <w:r w:rsidRPr="007F0FA7">
        <w:rPr>
          <w:rFonts w:ascii="Humanst521 BT" w:hAnsi="Humanst521 BT"/>
          <w:sz w:val="22"/>
          <w:szCs w:val="22"/>
        </w:rPr>
        <w:t>cuáles</w:t>
      </w:r>
      <w:r w:rsidRPr="007F0FA7">
        <w:rPr>
          <w:rFonts w:ascii="Humanst521 BT" w:hAnsi="Humanst521 BT"/>
          <w:spacing w:val="-10"/>
          <w:sz w:val="22"/>
          <w:szCs w:val="22"/>
        </w:rPr>
        <w:t xml:space="preserve"> </w:t>
      </w:r>
      <w:r w:rsidRPr="007F0FA7">
        <w:rPr>
          <w:rFonts w:ascii="Humanst521 BT" w:hAnsi="Humanst521 BT"/>
          <w:sz w:val="22"/>
          <w:szCs w:val="22"/>
        </w:rPr>
        <w:t>tecnologías</w:t>
      </w:r>
      <w:r w:rsidRPr="007F0FA7">
        <w:rPr>
          <w:rFonts w:ascii="Humanst521 BT" w:hAnsi="Humanst521 BT"/>
          <w:spacing w:val="-10"/>
          <w:sz w:val="22"/>
          <w:szCs w:val="22"/>
        </w:rPr>
        <w:t xml:space="preserve"> </w:t>
      </w:r>
      <w:r w:rsidRPr="007F0FA7">
        <w:rPr>
          <w:rFonts w:ascii="Humanst521 BT" w:hAnsi="Humanst521 BT"/>
          <w:sz w:val="22"/>
          <w:szCs w:val="22"/>
        </w:rPr>
        <w:t>sanitarias</w:t>
      </w:r>
      <w:r w:rsidRPr="007F0FA7">
        <w:rPr>
          <w:rFonts w:ascii="Humanst521 BT" w:hAnsi="Humanst521 BT"/>
          <w:spacing w:val="-10"/>
          <w:sz w:val="22"/>
          <w:szCs w:val="22"/>
        </w:rPr>
        <w:t xml:space="preserve"> </w:t>
      </w:r>
      <w:r w:rsidRPr="007F0FA7">
        <w:rPr>
          <w:rFonts w:ascii="Humanst521 BT" w:hAnsi="Humanst521 BT"/>
          <w:sz w:val="22"/>
          <w:szCs w:val="22"/>
        </w:rPr>
        <w:t>deben</w:t>
      </w:r>
      <w:r w:rsidRPr="007F0FA7">
        <w:rPr>
          <w:rFonts w:ascii="Humanst521 BT" w:hAnsi="Humanst521 BT"/>
          <w:spacing w:val="-10"/>
          <w:sz w:val="22"/>
          <w:szCs w:val="22"/>
        </w:rPr>
        <w:t xml:space="preserve"> </w:t>
      </w:r>
      <w:r w:rsidRPr="007F0FA7">
        <w:rPr>
          <w:rFonts w:ascii="Humanst521 BT" w:hAnsi="Humanst521 BT"/>
          <w:sz w:val="22"/>
          <w:szCs w:val="22"/>
        </w:rPr>
        <w:t>financiarse</w:t>
      </w:r>
      <w:r w:rsidRPr="007F0FA7">
        <w:rPr>
          <w:rFonts w:ascii="Humanst521 BT" w:hAnsi="Humanst521 BT"/>
          <w:spacing w:val="-8"/>
          <w:sz w:val="22"/>
          <w:szCs w:val="22"/>
        </w:rPr>
        <w:t xml:space="preserve"> </w:t>
      </w:r>
      <w:r w:rsidRPr="007F0FA7">
        <w:rPr>
          <w:rFonts w:ascii="Humanst521 BT" w:hAnsi="Humanst521 BT"/>
          <w:sz w:val="22"/>
          <w:szCs w:val="22"/>
        </w:rPr>
        <w:t>para</w:t>
      </w:r>
      <w:r w:rsidRPr="007F0FA7">
        <w:rPr>
          <w:rFonts w:ascii="Humanst521 BT" w:hAnsi="Humanst521 BT"/>
          <w:spacing w:val="-9"/>
          <w:sz w:val="22"/>
          <w:szCs w:val="22"/>
        </w:rPr>
        <w:t xml:space="preserve"> </w:t>
      </w:r>
      <w:r w:rsidRPr="007F0FA7">
        <w:rPr>
          <w:rFonts w:ascii="Humanst521 BT" w:hAnsi="Humanst521 BT"/>
          <w:sz w:val="22"/>
          <w:szCs w:val="22"/>
        </w:rPr>
        <w:t>lograr</w:t>
      </w:r>
      <w:r w:rsidRPr="007F0FA7">
        <w:rPr>
          <w:rFonts w:ascii="Humanst521 BT" w:hAnsi="Humanst521 BT"/>
          <w:spacing w:val="-9"/>
          <w:sz w:val="22"/>
          <w:szCs w:val="22"/>
        </w:rPr>
        <w:t xml:space="preserve"> </w:t>
      </w:r>
      <w:r w:rsidRPr="007F0FA7">
        <w:rPr>
          <w:rFonts w:ascii="Humanst521 BT" w:hAnsi="Humanst521 BT"/>
          <w:sz w:val="22"/>
          <w:szCs w:val="22"/>
        </w:rPr>
        <w:t>el mayor bienestar de la población posible?</w:t>
      </w:r>
      <w:r w:rsidRPr="007F0FA7">
        <w:rPr>
          <w:rFonts w:ascii="Humanst521 BT" w:hAnsi="Humanst521 BT"/>
          <w:spacing w:val="40"/>
          <w:sz w:val="22"/>
          <w:szCs w:val="22"/>
        </w:rPr>
        <w:t xml:space="preserve"> </w:t>
      </w:r>
      <w:r w:rsidRPr="007F0FA7">
        <w:rPr>
          <w:rFonts w:ascii="Humanst521 BT" w:hAnsi="Humanst521 BT"/>
          <w:sz w:val="22"/>
          <w:szCs w:val="22"/>
        </w:rPr>
        <w:t>(</w:t>
      </w:r>
      <w:proofErr w:type="spellStart"/>
      <w:r w:rsidRPr="007F0FA7">
        <w:rPr>
          <w:rFonts w:ascii="Humanst521 BT" w:hAnsi="Humanst521 BT"/>
          <w:sz w:val="22"/>
          <w:szCs w:val="22"/>
        </w:rPr>
        <w:t>Hauck</w:t>
      </w:r>
      <w:proofErr w:type="spellEnd"/>
      <w:r w:rsidRPr="007F0FA7">
        <w:rPr>
          <w:rFonts w:ascii="Humanst521 BT" w:hAnsi="Humanst521 BT"/>
          <w:sz w:val="22"/>
          <w:szCs w:val="22"/>
        </w:rPr>
        <w:t>, 2004).</w:t>
      </w:r>
    </w:p>
    <w:p w14:paraId="147730BD" w14:textId="77777777" w:rsidR="00244200" w:rsidRPr="007F0FA7" w:rsidRDefault="00244200" w:rsidP="00093B44">
      <w:pPr>
        <w:pStyle w:val="Textoindependiente"/>
        <w:spacing w:before="44"/>
        <w:rPr>
          <w:rFonts w:ascii="Humanst521 BT" w:hAnsi="Humanst521 BT"/>
          <w:sz w:val="22"/>
          <w:szCs w:val="22"/>
        </w:rPr>
      </w:pPr>
    </w:p>
    <w:p w14:paraId="3B958040" w14:textId="77777777" w:rsidR="00244200" w:rsidRPr="007F0FA7" w:rsidRDefault="007C1956" w:rsidP="00093B44">
      <w:pPr>
        <w:pStyle w:val="Textoindependiente"/>
        <w:spacing w:before="1"/>
        <w:ind w:left="342" w:right="376"/>
        <w:jc w:val="both"/>
        <w:rPr>
          <w:rFonts w:ascii="Humanst521 BT" w:hAnsi="Humanst521 BT"/>
          <w:sz w:val="22"/>
          <w:szCs w:val="22"/>
        </w:rPr>
      </w:pPr>
      <w:r w:rsidRPr="007F0FA7">
        <w:rPr>
          <w:rFonts w:ascii="Humanst521 BT" w:hAnsi="Humanst521 BT"/>
          <w:sz w:val="22"/>
          <w:szCs w:val="22"/>
        </w:rPr>
        <w:t>Se define como un enfoque más o menos sistemático para distribuir los recursos</w:t>
      </w:r>
      <w:r w:rsidRPr="007F0FA7">
        <w:rPr>
          <w:rFonts w:ascii="Humanst521 BT" w:hAnsi="Humanst521 BT"/>
          <w:spacing w:val="-8"/>
          <w:sz w:val="22"/>
          <w:szCs w:val="22"/>
        </w:rPr>
        <w:t xml:space="preserve"> </w:t>
      </w:r>
      <w:r w:rsidRPr="007F0FA7">
        <w:rPr>
          <w:rFonts w:ascii="Humanst521 BT" w:hAnsi="Humanst521 BT"/>
          <w:sz w:val="22"/>
          <w:szCs w:val="22"/>
        </w:rPr>
        <w:t>disponibles</w:t>
      </w:r>
      <w:r w:rsidRPr="007F0FA7">
        <w:rPr>
          <w:rFonts w:ascii="Humanst521 BT" w:hAnsi="Humanst521 BT"/>
          <w:spacing w:val="-7"/>
          <w:sz w:val="22"/>
          <w:szCs w:val="22"/>
        </w:rPr>
        <w:t xml:space="preserve"> </w:t>
      </w:r>
      <w:r w:rsidRPr="007F0FA7">
        <w:rPr>
          <w:rFonts w:ascii="Humanst521 BT" w:hAnsi="Humanst521 BT"/>
          <w:sz w:val="22"/>
          <w:szCs w:val="22"/>
        </w:rPr>
        <w:t>entre</w:t>
      </w:r>
      <w:r w:rsidRPr="007F0FA7">
        <w:rPr>
          <w:rFonts w:ascii="Humanst521 BT" w:hAnsi="Humanst521 BT"/>
          <w:spacing w:val="-6"/>
          <w:sz w:val="22"/>
          <w:szCs w:val="22"/>
        </w:rPr>
        <w:t xml:space="preserve"> </w:t>
      </w:r>
      <w:r w:rsidRPr="007F0FA7">
        <w:rPr>
          <w:rFonts w:ascii="Humanst521 BT" w:hAnsi="Humanst521 BT"/>
          <w:sz w:val="22"/>
          <w:szCs w:val="22"/>
        </w:rPr>
        <w:t>las</w:t>
      </w:r>
      <w:r w:rsidRPr="007F0FA7">
        <w:rPr>
          <w:rFonts w:ascii="Humanst521 BT" w:hAnsi="Humanst521 BT"/>
          <w:spacing w:val="-8"/>
          <w:sz w:val="22"/>
          <w:szCs w:val="22"/>
        </w:rPr>
        <w:t xml:space="preserve"> </w:t>
      </w:r>
      <w:r w:rsidRPr="007F0FA7">
        <w:rPr>
          <w:rFonts w:ascii="Humanst521 BT" w:hAnsi="Humanst521 BT"/>
          <w:sz w:val="22"/>
          <w:szCs w:val="22"/>
        </w:rPr>
        <w:t>demandas</w:t>
      </w:r>
      <w:r w:rsidRPr="007F0FA7">
        <w:rPr>
          <w:rFonts w:ascii="Humanst521 BT" w:hAnsi="Humanst521 BT"/>
          <w:spacing w:val="-6"/>
          <w:sz w:val="22"/>
          <w:szCs w:val="22"/>
        </w:rPr>
        <w:t xml:space="preserve"> </w:t>
      </w:r>
      <w:r w:rsidRPr="007F0FA7">
        <w:rPr>
          <w:rFonts w:ascii="Humanst521 BT" w:hAnsi="Humanst521 BT"/>
          <w:sz w:val="22"/>
          <w:szCs w:val="22"/>
        </w:rPr>
        <w:t>existentes</w:t>
      </w:r>
      <w:r w:rsidRPr="007F0FA7">
        <w:rPr>
          <w:rFonts w:ascii="Humanst521 BT" w:hAnsi="Humanst521 BT"/>
          <w:spacing w:val="-8"/>
          <w:sz w:val="22"/>
          <w:szCs w:val="22"/>
        </w:rPr>
        <w:t xml:space="preserve"> </w:t>
      </w:r>
      <w:r w:rsidRPr="007F0FA7">
        <w:rPr>
          <w:rFonts w:ascii="Humanst521 BT" w:hAnsi="Humanst521 BT"/>
          <w:sz w:val="22"/>
          <w:szCs w:val="22"/>
        </w:rPr>
        <w:t>de</w:t>
      </w:r>
      <w:r w:rsidRPr="007F0FA7">
        <w:rPr>
          <w:rFonts w:ascii="Humanst521 BT" w:hAnsi="Humanst521 BT"/>
          <w:spacing w:val="-6"/>
          <w:sz w:val="22"/>
          <w:szCs w:val="22"/>
        </w:rPr>
        <w:t xml:space="preserve"> </w:t>
      </w:r>
      <w:r w:rsidRPr="007F0FA7">
        <w:rPr>
          <w:rFonts w:ascii="Humanst521 BT" w:hAnsi="Humanst521 BT"/>
          <w:sz w:val="22"/>
          <w:szCs w:val="22"/>
        </w:rPr>
        <w:t>tal</w:t>
      </w:r>
      <w:r w:rsidRPr="007F0FA7">
        <w:rPr>
          <w:rFonts w:ascii="Humanst521 BT" w:hAnsi="Humanst521 BT"/>
          <w:spacing w:val="-8"/>
          <w:sz w:val="22"/>
          <w:szCs w:val="22"/>
        </w:rPr>
        <w:t xml:space="preserve"> </w:t>
      </w:r>
      <w:r w:rsidRPr="007F0FA7">
        <w:rPr>
          <w:rFonts w:ascii="Humanst521 BT" w:hAnsi="Humanst521 BT"/>
          <w:sz w:val="22"/>
          <w:szCs w:val="22"/>
        </w:rPr>
        <w:t>manera</w:t>
      </w:r>
      <w:r w:rsidRPr="007F0FA7">
        <w:rPr>
          <w:rFonts w:ascii="Humanst521 BT" w:hAnsi="Humanst521 BT"/>
          <w:spacing w:val="-7"/>
          <w:sz w:val="22"/>
          <w:szCs w:val="22"/>
        </w:rPr>
        <w:t xml:space="preserve"> </w:t>
      </w:r>
      <w:r w:rsidRPr="007F0FA7">
        <w:rPr>
          <w:rFonts w:ascii="Humanst521 BT" w:hAnsi="Humanst521 BT"/>
          <w:sz w:val="22"/>
          <w:szCs w:val="22"/>
        </w:rPr>
        <w:t>que</w:t>
      </w:r>
      <w:r w:rsidRPr="007F0FA7">
        <w:rPr>
          <w:rFonts w:ascii="Humanst521 BT" w:hAnsi="Humanst521 BT"/>
          <w:spacing w:val="-6"/>
          <w:sz w:val="22"/>
          <w:szCs w:val="22"/>
        </w:rPr>
        <w:t xml:space="preserve"> </w:t>
      </w:r>
      <w:r w:rsidRPr="007F0FA7">
        <w:rPr>
          <w:rFonts w:ascii="Humanst521 BT" w:hAnsi="Humanst521 BT"/>
          <w:sz w:val="22"/>
          <w:szCs w:val="22"/>
        </w:rPr>
        <w:t xml:space="preserve">se logre el mejor sistema de salud posible con los recursos que se tienen. </w:t>
      </w:r>
      <w:r w:rsidRPr="007F0FA7">
        <w:rPr>
          <w:rFonts w:ascii="Humanst521 BT" w:hAnsi="Humanst521 BT"/>
          <w:spacing w:val="-2"/>
          <w:sz w:val="22"/>
          <w:szCs w:val="22"/>
        </w:rPr>
        <w:t>Asimismo,</w:t>
      </w:r>
      <w:r w:rsidRPr="007F0FA7">
        <w:rPr>
          <w:rFonts w:ascii="Humanst521 BT" w:hAnsi="Humanst521 BT"/>
          <w:spacing w:val="-12"/>
          <w:sz w:val="22"/>
          <w:szCs w:val="22"/>
        </w:rPr>
        <w:t xml:space="preserve"> </w:t>
      </w:r>
      <w:r w:rsidRPr="007F0FA7">
        <w:rPr>
          <w:rFonts w:ascii="Humanst521 BT" w:hAnsi="Humanst521 BT"/>
          <w:spacing w:val="-2"/>
          <w:sz w:val="22"/>
          <w:szCs w:val="22"/>
        </w:rPr>
        <w:t>la</w:t>
      </w:r>
      <w:r w:rsidRPr="007F0FA7">
        <w:rPr>
          <w:rFonts w:ascii="Humanst521 BT" w:hAnsi="Humanst521 BT"/>
          <w:spacing w:val="-14"/>
          <w:sz w:val="22"/>
          <w:szCs w:val="22"/>
        </w:rPr>
        <w:t xml:space="preserve"> </w:t>
      </w:r>
      <w:r w:rsidRPr="007F0FA7">
        <w:rPr>
          <w:rFonts w:ascii="Humanst521 BT" w:hAnsi="Humanst521 BT"/>
          <w:spacing w:val="-2"/>
          <w:sz w:val="22"/>
          <w:szCs w:val="22"/>
        </w:rPr>
        <w:t>priorización</w:t>
      </w:r>
      <w:r w:rsidRPr="007F0FA7">
        <w:rPr>
          <w:rFonts w:ascii="Humanst521 BT" w:hAnsi="Humanst521 BT"/>
          <w:spacing w:val="-14"/>
          <w:sz w:val="22"/>
          <w:szCs w:val="22"/>
        </w:rPr>
        <w:t xml:space="preserve"> </w:t>
      </w:r>
      <w:r w:rsidRPr="007F0FA7">
        <w:rPr>
          <w:rFonts w:ascii="Humanst521 BT" w:hAnsi="Humanst521 BT"/>
          <w:spacing w:val="-2"/>
          <w:sz w:val="22"/>
          <w:szCs w:val="22"/>
        </w:rPr>
        <w:t>busca</w:t>
      </w:r>
      <w:r w:rsidRPr="007F0FA7">
        <w:rPr>
          <w:rFonts w:ascii="Humanst521 BT" w:hAnsi="Humanst521 BT"/>
          <w:spacing w:val="-12"/>
          <w:sz w:val="22"/>
          <w:szCs w:val="22"/>
        </w:rPr>
        <w:t xml:space="preserve"> </w:t>
      </w:r>
      <w:r w:rsidRPr="007F0FA7">
        <w:rPr>
          <w:rFonts w:ascii="Humanst521 BT" w:hAnsi="Humanst521 BT"/>
          <w:spacing w:val="-2"/>
          <w:sz w:val="22"/>
          <w:szCs w:val="22"/>
        </w:rPr>
        <w:t>dar</w:t>
      </w:r>
      <w:r w:rsidRPr="007F0FA7">
        <w:rPr>
          <w:rFonts w:ascii="Humanst521 BT" w:hAnsi="Humanst521 BT"/>
          <w:spacing w:val="-13"/>
          <w:sz w:val="22"/>
          <w:szCs w:val="22"/>
        </w:rPr>
        <w:t xml:space="preserve"> </w:t>
      </w:r>
      <w:r w:rsidRPr="007F0FA7">
        <w:rPr>
          <w:rFonts w:ascii="Humanst521 BT" w:hAnsi="Humanst521 BT"/>
          <w:spacing w:val="-2"/>
          <w:sz w:val="22"/>
          <w:szCs w:val="22"/>
        </w:rPr>
        <w:t>respuesta</w:t>
      </w:r>
      <w:r w:rsidRPr="007F0FA7">
        <w:rPr>
          <w:rFonts w:ascii="Humanst521 BT" w:hAnsi="Humanst521 BT"/>
          <w:spacing w:val="-14"/>
          <w:sz w:val="22"/>
          <w:szCs w:val="22"/>
        </w:rPr>
        <w:t xml:space="preserve"> </w:t>
      </w:r>
      <w:r w:rsidRPr="007F0FA7">
        <w:rPr>
          <w:rFonts w:ascii="Humanst521 BT" w:hAnsi="Humanst521 BT"/>
          <w:spacing w:val="-2"/>
          <w:sz w:val="22"/>
          <w:szCs w:val="22"/>
        </w:rPr>
        <w:t>a</w:t>
      </w:r>
      <w:r w:rsidRPr="007F0FA7">
        <w:rPr>
          <w:rFonts w:ascii="Humanst521 BT" w:hAnsi="Humanst521 BT"/>
          <w:spacing w:val="-11"/>
          <w:sz w:val="22"/>
          <w:szCs w:val="22"/>
        </w:rPr>
        <w:t xml:space="preserve"> </w:t>
      </w:r>
      <w:r w:rsidRPr="007F0FA7">
        <w:rPr>
          <w:rFonts w:ascii="Humanst521 BT" w:hAnsi="Humanst521 BT"/>
          <w:spacing w:val="-2"/>
          <w:sz w:val="22"/>
          <w:szCs w:val="22"/>
        </w:rPr>
        <w:t>cómo</w:t>
      </w:r>
      <w:r w:rsidRPr="007F0FA7">
        <w:rPr>
          <w:rFonts w:ascii="Humanst521 BT" w:hAnsi="Humanst521 BT"/>
          <w:spacing w:val="-13"/>
          <w:sz w:val="22"/>
          <w:szCs w:val="22"/>
        </w:rPr>
        <w:t xml:space="preserve"> </w:t>
      </w:r>
      <w:r w:rsidRPr="007F0FA7">
        <w:rPr>
          <w:rFonts w:ascii="Humanst521 BT" w:hAnsi="Humanst521 BT"/>
          <w:spacing w:val="-2"/>
          <w:sz w:val="22"/>
          <w:szCs w:val="22"/>
        </w:rPr>
        <w:t>tomar</w:t>
      </w:r>
      <w:r w:rsidRPr="007F0FA7">
        <w:rPr>
          <w:rFonts w:ascii="Humanst521 BT" w:hAnsi="Humanst521 BT"/>
          <w:spacing w:val="-11"/>
          <w:sz w:val="22"/>
          <w:szCs w:val="22"/>
        </w:rPr>
        <w:t xml:space="preserve"> </w:t>
      </w:r>
      <w:r w:rsidRPr="007F0FA7">
        <w:rPr>
          <w:rFonts w:ascii="Humanst521 BT" w:hAnsi="Humanst521 BT"/>
          <w:spacing w:val="-2"/>
          <w:sz w:val="22"/>
          <w:szCs w:val="22"/>
        </w:rPr>
        <w:t>las</w:t>
      </w:r>
      <w:r w:rsidRPr="007F0FA7">
        <w:rPr>
          <w:rFonts w:ascii="Humanst521 BT" w:hAnsi="Humanst521 BT"/>
          <w:spacing w:val="-14"/>
          <w:sz w:val="22"/>
          <w:szCs w:val="22"/>
        </w:rPr>
        <w:t xml:space="preserve"> </w:t>
      </w:r>
      <w:r w:rsidRPr="007F0FA7">
        <w:rPr>
          <w:rFonts w:ascii="Humanst521 BT" w:hAnsi="Humanst521 BT"/>
          <w:spacing w:val="-2"/>
          <w:sz w:val="22"/>
          <w:szCs w:val="22"/>
        </w:rPr>
        <w:t xml:space="preserve">decisiones </w:t>
      </w:r>
      <w:r w:rsidRPr="007F0FA7">
        <w:rPr>
          <w:rFonts w:ascii="Humanst521 BT" w:hAnsi="Humanst521 BT"/>
          <w:sz w:val="22"/>
          <w:szCs w:val="22"/>
        </w:rPr>
        <w:t>de asignación de recursos, involucrando a todos los actores afectados y dando espacio a los valores culturales, sociales, técnicos y políticos que puedan incidir en las decisiones de cobertura en un territorio</w:t>
      </w:r>
      <w:r w:rsidRPr="007F0FA7">
        <w:rPr>
          <w:rFonts w:ascii="Humanst521 BT" w:hAnsi="Humanst521 BT"/>
          <w:spacing w:val="40"/>
          <w:sz w:val="22"/>
          <w:szCs w:val="22"/>
        </w:rPr>
        <w:t xml:space="preserve"> </w:t>
      </w:r>
      <w:r w:rsidRPr="007F0FA7">
        <w:rPr>
          <w:rFonts w:ascii="Humanst521 BT" w:hAnsi="Humanst521 BT"/>
          <w:sz w:val="22"/>
          <w:szCs w:val="22"/>
        </w:rPr>
        <w:t>(</w:t>
      </w:r>
      <w:proofErr w:type="spellStart"/>
      <w:r w:rsidRPr="007F0FA7">
        <w:rPr>
          <w:rFonts w:ascii="Humanst521 BT" w:hAnsi="Humanst521 BT"/>
          <w:sz w:val="22"/>
          <w:szCs w:val="22"/>
        </w:rPr>
        <w:t>Sourdis</w:t>
      </w:r>
      <w:proofErr w:type="spellEnd"/>
      <w:r w:rsidRPr="007F0FA7">
        <w:rPr>
          <w:rFonts w:ascii="Humanst521 BT" w:hAnsi="Humanst521 BT"/>
          <w:sz w:val="22"/>
          <w:szCs w:val="22"/>
        </w:rPr>
        <w:t xml:space="preserve">, </w:t>
      </w:r>
      <w:r w:rsidRPr="007F0FA7">
        <w:rPr>
          <w:rFonts w:ascii="Humanst521 BT" w:hAnsi="Humanst521 BT"/>
          <w:spacing w:val="-2"/>
          <w:sz w:val="22"/>
          <w:szCs w:val="22"/>
        </w:rPr>
        <w:t>2012)</w:t>
      </w:r>
    </w:p>
    <w:p w14:paraId="6055958D" w14:textId="07C2AC90" w:rsidR="00244200" w:rsidRPr="007F0FA7" w:rsidRDefault="007C1956" w:rsidP="00093B44">
      <w:pPr>
        <w:pStyle w:val="Textoindependiente"/>
        <w:rPr>
          <w:rFonts w:ascii="Humanst521 BT" w:hAnsi="Humanst521 BT"/>
          <w:b/>
          <w:sz w:val="22"/>
          <w:szCs w:val="22"/>
        </w:rPr>
      </w:pPr>
      <w:r w:rsidRPr="007F0FA7">
        <w:rPr>
          <w:rFonts w:ascii="Humanst521 BT" w:hAnsi="Humanst521 BT"/>
          <w:noProof/>
          <w:sz w:val="22"/>
          <w:szCs w:val="22"/>
        </w:rPr>
        <mc:AlternateContent>
          <mc:Choice Requires="wpg">
            <w:drawing>
              <wp:anchor distT="0" distB="0" distL="0" distR="0" simplePos="0" relativeHeight="251654656" behindDoc="0" locked="0" layoutInCell="1" allowOverlap="1" wp14:anchorId="73B56069" wp14:editId="5262D266">
                <wp:simplePos x="0" y="0"/>
                <wp:positionH relativeFrom="page">
                  <wp:posOffset>7636509</wp:posOffset>
                </wp:positionH>
                <wp:positionV relativeFrom="page">
                  <wp:posOffset>0</wp:posOffset>
                </wp:positionV>
                <wp:extent cx="135890" cy="196342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125" name="Graphic 125"/>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126" name="Graphic 126"/>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127" name="Graphic 127"/>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128" name="Graphic 128"/>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39783B4F" id="Group 124" o:spid="_x0000_s1026" style="position:absolute;margin-left:601.3pt;margin-top:0;width:10.7pt;height:154.6pt;z-index:251654656;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">
                <v:shape id="Graphic 125"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" path="m,473467r135889,1l135889,,,,,473467xe" fillcolor="#33aea3" stroked="f">
                  <v:path arrowok="t"/>
                </v:shape>
                <v:shape id="Graphic 126"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" path="m,l,498641r135889,l135889,,,xe" fillcolor="#5cbeb6" stroked="f">
                  <v:path arrowok="t"/>
                </v:shape>
                <v:shape id="Graphic 127"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" path="m,l,498615r135889,1l135889,,,xe" fillcolor="#85cfc7" stroked="f">
                  <v:path arrowok="t"/>
                </v:shape>
                <v:shape id="Graphic 128"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" path="m,498424r135889,l135889,,,,,498424xe" fillcolor="#d5eeec" stroked="f">
                  <v:path arrowok="t"/>
                </v:shape>
                <w10:wrap anchorx="page" anchory="page"/>
              </v:group>
            </w:pict>
          </mc:Fallback>
        </mc:AlternateContent>
      </w:r>
    </w:p>
    <w:p w14:paraId="4E572E6B" w14:textId="2B41F76C" w:rsidR="00244200" w:rsidRPr="0000348F" w:rsidRDefault="00092228" w:rsidP="0000348F">
      <w:pPr>
        <w:pStyle w:val="Ttulo2"/>
        <w:numPr>
          <w:ilvl w:val="1"/>
          <w:numId w:val="1"/>
        </w:numPr>
        <w:tabs>
          <w:tab w:val="left" w:pos="1134"/>
          <w:tab w:val="left" w:pos="1756"/>
        </w:tabs>
        <w:rPr>
          <w:rFonts w:ascii="Humanst521 BT" w:eastAsiaTheme="majorEastAsia" w:hAnsi="Humanst521 BT" w:cstheme="majorBidi"/>
          <w:color w:val="2F5496" w:themeColor="accent1" w:themeShade="BF"/>
          <w:sz w:val="28"/>
          <w:szCs w:val="28"/>
          <w:lang w:eastAsia="es-CO"/>
        </w:rPr>
      </w:pPr>
      <w:bookmarkStart w:id="10" w:name="_Toc231286782"/>
      <w:r w:rsidRPr="0000348F">
        <w:rPr>
          <w:rFonts w:ascii="Humanst521 BT" w:eastAsiaTheme="majorEastAsia" w:hAnsi="Humanst521 BT" w:cstheme="majorBidi"/>
          <w:color w:val="2F5496" w:themeColor="accent1" w:themeShade="BF"/>
          <w:sz w:val="28"/>
          <w:szCs w:val="28"/>
          <w:lang w:eastAsia="es-CO"/>
        </w:rPr>
        <w:t>ACCIONES QUE LA ENTIDAD ENCARGADA DEL ASEGURAMIENTO EN SALUD REALIZA A PARTIR DEL ANÁLISIS Y EN EL MARCO DEL PLAN DECENAL DE SALUD PÚBLICA 2022-2031.</w:t>
      </w:r>
      <w:bookmarkEnd w:id="10"/>
    </w:p>
    <w:p w14:paraId="019CA3CE" w14:textId="77777777" w:rsidR="00244200" w:rsidRPr="007F0FA7" w:rsidRDefault="007C1956" w:rsidP="00093B44">
      <w:pPr>
        <w:pStyle w:val="Textoindependiente"/>
        <w:spacing w:before="337"/>
        <w:ind w:left="342" w:right="380"/>
        <w:jc w:val="both"/>
        <w:rPr>
          <w:rFonts w:ascii="Humanst521 BT" w:hAnsi="Humanst521 BT"/>
          <w:sz w:val="22"/>
          <w:szCs w:val="22"/>
        </w:rPr>
      </w:pPr>
      <w:r w:rsidRPr="007F0FA7">
        <w:rPr>
          <w:rFonts w:ascii="Humanst521 BT" w:hAnsi="Humanst521 BT"/>
          <w:sz w:val="22"/>
          <w:szCs w:val="22"/>
        </w:rPr>
        <w:t>La</w:t>
      </w:r>
      <w:r w:rsidRPr="007F0FA7">
        <w:rPr>
          <w:rFonts w:ascii="Humanst521 BT" w:hAnsi="Humanst521 BT"/>
          <w:spacing w:val="-4"/>
          <w:sz w:val="22"/>
          <w:szCs w:val="22"/>
        </w:rPr>
        <w:t xml:space="preserve"> </w:t>
      </w:r>
      <w:r w:rsidRPr="007F0FA7">
        <w:rPr>
          <w:rFonts w:ascii="Humanst521 BT" w:hAnsi="Humanst521 BT"/>
          <w:sz w:val="22"/>
          <w:szCs w:val="22"/>
        </w:rPr>
        <w:t>gestión</w:t>
      </w:r>
      <w:r w:rsidRPr="007F0FA7">
        <w:rPr>
          <w:rFonts w:ascii="Humanst521 BT" w:hAnsi="Humanst521 BT"/>
          <w:spacing w:val="-5"/>
          <w:sz w:val="22"/>
          <w:szCs w:val="22"/>
        </w:rPr>
        <w:t xml:space="preserve"> </w:t>
      </w:r>
      <w:r w:rsidRPr="007F0FA7">
        <w:rPr>
          <w:rFonts w:ascii="Humanst521 BT" w:hAnsi="Humanst521 BT"/>
          <w:sz w:val="22"/>
          <w:szCs w:val="22"/>
        </w:rPr>
        <w:t>del</w:t>
      </w:r>
      <w:r w:rsidRPr="007F0FA7">
        <w:rPr>
          <w:rFonts w:ascii="Humanst521 BT" w:hAnsi="Humanst521 BT"/>
          <w:spacing w:val="-6"/>
          <w:sz w:val="22"/>
          <w:szCs w:val="22"/>
        </w:rPr>
        <w:t xml:space="preserve"> </w:t>
      </w:r>
      <w:r w:rsidRPr="007F0FA7">
        <w:rPr>
          <w:rFonts w:ascii="Humanst521 BT" w:hAnsi="Humanst521 BT"/>
          <w:sz w:val="22"/>
          <w:szCs w:val="22"/>
        </w:rPr>
        <w:t>riesgo</w:t>
      </w:r>
      <w:r w:rsidRPr="007F0FA7">
        <w:rPr>
          <w:rFonts w:ascii="Humanst521 BT" w:hAnsi="Humanst521 BT"/>
          <w:spacing w:val="-4"/>
          <w:sz w:val="22"/>
          <w:szCs w:val="22"/>
        </w:rPr>
        <w:t xml:space="preserve"> </w:t>
      </w:r>
      <w:r w:rsidRPr="007F0FA7">
        <w:rPr>
          <w:rFonts w:ascii="Humanst521 BT" w:hAnsi="Humanst521 BT"/>
          <w:sz w:val="22"/>
          <w:szCs w:val="22"/>
        </w:rPr>
        <w:t>es</w:t>
      </w:r>
      <w:r w:rsidRPr="007F0FA7">
        <w:rPr>
          <w:rFonts w:ascii="Humanst521 BT" w:hAnsi="Humanst521 BT"/>
          <w:spacing w:val="-4"/>
          <w:sz w:val="22"/>
          <w:szCs w:val="22"/>
        </w:rPr>
        <w:t xml:space="preserve"> </w:t>
      </w:r>
      <w:r w:rsidRPr="007F0FA7">
        <w:rPr>
          <w:rFonts w:ascii="Humanst521 BT" w:hAnsi="Humanst521 BT"/>
          <w:sz w:val="22"/>
          <w:szCs w:val="22"/>
        </w:rPr>
        <w:t>un</w:t>
      </w:r>
      <w:r w:rsidRPr="007F0FA7">
        <w:rPr>
          <w:rFonts w:ascii="Humanst521 BT" w:hAnsi="Humanst521 BT"/>
          <w:spacing w:val="-5"/>
          <w:sz w:val="22"/>
          <w:szCs w:val="22"/>
        </w:rPr>
        <w:t xml:space="preserve"> </w:t>
      </w:r>
      <w:r w:rsidRPr="007F0FA7">
        <w:rPr>
          <w:rFonts w:ascii="Humanst521 BT" w:hAnsi="Humanst521 BT"/>
          <w:sz w:val="22"/>
          <w:szCs w:val="22"/>
        </w:rPr>
        <w:t>enfoque</w:t>
      </w:r>
      <w:r w:rsidRPr="007F0FA7">
        <w:rPr>
          <w:rFonts w:ascii="Humanst521 BT" w:hAnsi="Humanst521 BT"/>
          <w:spacing w:val="-4"/>
          <w:sz w:val="22"/>
          <w:szCs w:val="22"/>
        </w:rPr>
        <w:t xml:space="preserve"> </w:t>
      </w:r>
      <w:r w:rsidRPr="007F0FA7">
        <w:rPr>
          <w:rFonts w:ascii="Humanst521 BT" w:hAnsi="Humanst521 BT"/>
          <w:sz w:val="22"/>
          <w:szCs w:val="22"/>
        </w:rPr>
        <w:t>poblacional</w:t>
      </w:r>
      <w:r w:rsidRPr="007F0FA7">
        <w:rPr>
          <w:rFonts w:ascii="Humanst521 BT" w:hAnsi="Humanst521 BT"/>
          <w:spacing w:val="-6"/>
          <w:sz w:val="22"/>
          <w:szCs w:val="22"/>
        </w:rPr>
        <w:t xml:space="preserve"> </w:t>
      </w:r>
      <w:r w:rsidRPr="007F0FA7">
        <w:rPr>
          <w:rFonts w:ascii="Humanst521 BT" w:hAnsi="Humanst521 BT"/>
          <w:sz w:val="22"/>
          <w:szCs w:val="22"/>
        </w:rPr>
        <w:t>(GIRS),</w:t>
      </w:r>
      <w:r w:rsidRPr="007F0FA7">
        <w:rPr>
          <w:rFonts w:ascii="Humanst521 BT" w:hAnsi="Humanst521 BT"/>
          <w:spacing w:val="-5"/>
          <w:sz w:val="22"/>
          <w:szCs w:val="22"/>
        </w:rPr>
        <w:t xml:space="preserve"> </w:t>
      </w:r>
      <w:r w:rsidRPr="007F0FA7">
        <w:rPr>
          <w:rFonts w:ascii="Humanst521 BT" w:hAnsi="Humanst521 BT"/>
          <w:sz w:val="22"/>
          <w:szCs w:val="22"/>
        </w:rPr>
        <w:t>cuya</w:t>
      </w:r>
      <w:r w:rsidRPr="007F0FA7">
        <w:rPr>
          <w:rFonts w:ascii="Humanst521 BT" w:hAnsi="Humanst521 BT"/>
          <w:spacing w:val="-4"/>
          <w:sz w:val="22"/>
          <w:szCs w:val="22"/>
        </w:rPr>
        <w:t xml:space="preserve"> </w:t>
      </w:r>
      <w:r w:rsidRPr="007F0FA7">
        <w:rPr>
          <w:rFonts w:ascii="Humanst521 BT" w:hAnsi="Humanst521 BT"/>
          <w:sz w:val="22"/>
          <w:szCs w:val="22"/>
        </w:rPr>
        <w:t>experiencia se</w:t>
      </w:r>
      <w:r w:rsidRPr="007F0FA7">
        <w:rPr>
          <w:rFonts w:ascii="Humanst521 BT" w:hAnsi="Humanst521 BT"/>
          <w:spacing w:val="-4"/>
          <w:sz w:val="22"/>
          <w:szCs w:val="22"/>
        </w:rPr>
        <w:t xml:space="preserve"> </w:t>
      </w:r>
      <w:r w:rsidRPr="007F0FA7">
        <w:rPr>
          <w:rFonts w:ascii="Humanst521 BT" w:hAnsi="Humanst521 BT"/>
          <w:sz w:val="22"/>
          <w:szCs w:val="22"/>
        </w:rPr>
        <w:t>ha</w:t>
      </w:r>
      <w:r w:rsidRPr="007F0FA7">
        <w:rPr>
          <w:rFonts w:ascii="Humanst521 BT" w:hAnsi="Humanst521 BT"/>
          <w:spacing w:val="-5"/>
          <w:sz w:val="22"/>
          <w:szCs w:val="22"/>
        </w:rPr>
        <w:t xml:space="preserve"> </w:t>
      </w:r>
      <w:r w:rsidRPr="007F0FA7">
        <w:rPr>
          <w:rFonts w:ascii="Humanst521 BT" w:hAnsi="Humanst521 BT"/>
          <w:sz w:val="22"/>
          <w:szCs w:val="22"/>
        </w:rPr>
        <w:t>documentado</w:t>
      </w:r>
      <w:r w:rsidRPr="007F0FA7">
        <w:rPr>
          <w:rFonts w:ascii="Humanst521 BT" w:hAnsi="Humanst521 BT"/>
          <w:spacing w:val="-2"/>
          <w:sz w:val="22"/>
          <w:szCs w:val="22"/>
        </w:rPr>
        <w:t xml:space="preserve"> </w:t>
      </w:r>
      <w:r w:rsidRPr="007F0FA7">
        <w:rPr>
          <w:rFonts w:ascii="Humanst521 BT" w:hAnsi="Humanst521 BT"/>
          <w:sz w:val="22"/>
          <w:szCs w:val="22"/>
        </w:rPr>
        <w:t>en</w:t>
      </w:r>
      <w:r w:rsidRPr="007F0FA7">
        <w:rPr>
          <w:rFonts w:ascii="Humanst521 BT" w:hAnsi="Humanst521 BT"/>
          <w:spacing w:val="-5"/>
          <w:sz w:val="22"/>
          <w:szCs w:val="22"/>
        </w:rPr>
        <w:t xml:space="preserve"> </w:t>
      </w:r>
      <w:r w:rsidRPr="007F0FA7">
        <w:rPr>
          <w:rFonts w:ascii="Humanst521 BT" w:hAnsi="Humanst521 BT"/>
          <w:sz w:val="22"/>
          <w:szCs w:val="22"/>
        </w:rPr>
        <w:t>el</w:t>
      </w:r>
      <w:r w:rsidRPr="007F0FA7">
        <w:rPr>
          <w:rFonts w:ascii="Humanst521 BT" w:hAnsi="Humanst521 BT"/>
          <w:spacing w:val="-5"/>
          <w:sz w:val="22"/>
          <w:szCs w:val="22"/>
        </w:rPr>
        <w:t xml:space="preserve"> </w:t>
      </w:r>
      <w:r w:rsidRPr="007F0FA7">
        <w:rPr>
          <w:rFonts w:ascii="Humanst521 BT" w:hAnsi="Humanst521 BT"/>
          <w:sz w:val="22"/>
          <w:szCs w:val="22"/>
        </w:rPr>
        <w:t>marco</w:t>
      </w:r>
      <w:r w:rsidRPr="007F0FA7">
        <w:rPr>
          <w:rFonts w:ascii="Humanst521 BT" w:hAnsi="Humanst521 BT"/>
          <w:spacing w:val="-4"/>
          <w:sz w:val="22"/>
          <w:szCs w:val="22"/>
        </w:rPr>
        <w:t xml:space="preserve"> </w:t>
      </w:r>
      <w:r w:rsidRPr="007F0FA7">
        <w:rPr>
          <w:rFonts w:ascii="Humanst521 BT" w:hAnsi="Humanst521 BT"/>
          <w:sz w:val="22"/>
          <w:szCs w:val="22"/>
        </w:rPr>
        <w:t>de</w:t>
      </w:r>
      <w:r w:rsidRPr="007F0FA7">
        <w:rPr>
          <w:rFonts w:ascii="Humanst521 BT" w:hAnsi="Humanst521 BT"/>
          <w:spacing w:val="-4"/>
          <w:sz w:val="22"/>
          <w:szCs w:val="22"/>
        </w:rPr>
        <w:t xml:space="preserve"> </w:t>
      </w:r>
      <w:r w:rsidRPr="007F0FA7">
        <w:rPr>
          <w:rFonts w:ascii="Humanst521 BT" w:hAnsi="Humanst521 BT"/>
          <w:sz w:val="22"/>
          <w:szCs w:val="22"/>
        </w:rPr>
        <w:t>procesos</w:t>
      </w:r>
      <w:r w:rsidRPr="007F0FA7">
        <w:rPr>
          <w:rFonts w:ascii="Humanst521 BT" w:hAnsi="Humanst521 BT"/>
          <w:spacing w:val="-5"/>
          <w:sz w:val="22"/>
          <w:szCs w:val="22"/>
        </w:rPr>
        <w:t xml:space="preserve"> </w:t>
      </w:r>
      <w:r w:rsidRPr="007F0FA7">
        <w:rPr>
          <w:rFonts w:ascii="Humanst521 BT" w:hAnsi="Humanst521 BT"/>
          <w:sz w:val="22"/>
          <w:szCs w:val="22"/>
        </w:rPr>
        <w:t>de</w:t>
      </w:r>
      <w:r w:rsidRPr="007F0FA7">
        <w:rPr>
          <w:rFonts w:ascii="Humanst521 BT" w:hAnsi="Humanst521 BT"/>
          <w:spacing w:val="-4"/>
          <w:sz w:val="22"/>
          <w:szCs w:val="22"/>
        </w:rPr>
        <w:t xml:space="preserve"> </w:t>
      </w:r>
      <w:r w:rsidRPr="007F0FA7">
        <w:rPr>
          <w:rFonts w:ascii="Humanst521 BT" w:hAnsi="Humanst521 BT"/>
          <w:sz w:val="22"/>
          <w:szCs w:val="22"/>
        </w:rPr>
        <w:t>aseguramiento</w:t>
      </w:r>
      <w:r w:rsidRPr="007F0FA7">
        <w:rPr>
          <w:rFonts w:ascii="Humanst521 BT" w:hAnsi="Humanst521 BT"/>
          <w:spacing w:val="-4"/>
          <w:sz w:val="22"/>
          <w:szCs w:val="22"/>
        </w:rPr>
        <w:t xml:space="preserve"> </w:t>
      </w:r>
      <w:r w:rsidRPr="007F0FA7">
        <w:rPr>
          <w:rFonts w:ascii="Humanst521 BT" w:hAnsi="Humanst521 BT"/>
          <w:sz w:val="22"/>
          <w:szCs w:val="22"/>
        </w:rPr>
        <w:t>en</w:t>
      </w:r>
      <w:r w:rsidRPr="007F0FA7">
        <w:rPr>
          <w:rFonts w:ascii="Humanst521 BT" w:hAnsi="Humanst521 BT"/>
          <w:spacing w:val="-5"/>
          <w:sz w:val="22"/>
          <w:szCs w:val="22"/>
        </w:rPr>
        <w:t xml:space="preserve"> </w:t>
      </w:r>
      <w:r w:rsidRPr="007F0FA7">
        <w:rPr>
          <w:rFonts w:ascii="Humanst521 BT" w:hAnsi="Humanst521 BT"/>
          <w:sz w:val="22"/>
          <w:szCs w:val="22"/>
        </w:rPr>
        <w:t>salud. En</w:t>
      </w:r>
      <w:r w:rsidRPr="007F0FA7">
        <w:rPr>
          <w:rFonts w:ascii="Humanst521 BT" w:hAnsi="Humanst521 BT"/>
          <w:spacing w:val="-6"/>
          <w:sz w:val="22"/>
          <w:szCs w:val="22"/>
        </w:rPr>
        <w:t xml:space="preserve"> </w:t>
      </w:r>
      <w:r w:rsidRPr="007F0FA7">
        <w:rPr>
          <w:rFonts w:ascii="Humanst521 BT" w:hAnsi="Humanst521 BT"/>
          <w:sz w:val="22"/>
          <w:szCs w:val="22"/>
        </w:rPr>
        <w:t>el</w:t>
      </w:r>
      <w:r w:rsidRPr="007F0FA7">
        <w:rPr>
          <w:rFonts w:ascii="Humanst521 BT" w:hAnsi="Humanst521 BT"/>
          <w:spacing w:val="-5"/>
          <w:sz w:val="22"/>
          <w:szCs w:val="22"/>
        </w:rPr>
        <w:t xml:space="preserve"> </w:t>
      </w:r>
      <w:r w:rsidRPr="007F0FA7">
        <w:rPr>
          <w:rFonts w:ascii="Humanst521 BT" w:hAnsi="Humanst521 BT"/>
          <w:sz w:val="22"/>
          <w:szCs w:val="22"/>
        </w:rPr>
        <w:t>año</w:t>
      </w:r>
      <w:r w:rsidRPr="007F0FA7">
        <w:rPr>
          <w:rFonts w:ascii="Humanst521 BT" w:hAnsi="Humanst521 BT"/>
          <w:spacing w:val="-4"/>
          <w:sz w:val="22"/>
          <w:szCs w:val="22"/>
        </w:rPr>
        <w:t xml:space="preserve"> </w:t>
      </w:r>
      <w:r w:rsidRPr="007F0FA7">
        <w:rPr>
          <w:rFonts w:ascii="Humanst521 BT" w:hAnsi="Humanst521 BT"/>
          <w:sz w:val="22"/>
          <w:szCs w:val="22"/>
        </w:rPr>
        <w:t>2015,</w:t>
      </w:r>
      <w:r w:rsidRPr="007F0FA7">
        <w:rPr>
          <w:rFonts w:ascii="Humanst521 BT" w:hAnsi="Humanst521 BT"/>
          <w:spacing w:val="-5"/>
          <w:sz w:val="22"/>
          <w:szCs w:val="22"/>
        </w:rPr>
        <w:t xml:space="preserve"> </w:t>
      </w:r>
      <w:r w:rsidRPr="007F0FA7">
        <w:rPr>
          <w:rFonts w:ascii="Humanst521 BT" w:hAnsi="Humanst521 BT"/>
          <w:sz w:val="22"/>
          <w:szCs w:val="22"/>
        </w:rPr>
        <w:t>el</w:t>
      </w:r>
      <w:r w:rsidRPr="007F0FA7">
        <w:rPr>
          <w:rFonts w:ascii="Humanst521 BT" w:hAnsi="Humanst521 BT"/>
          <w:spacing w:val="-8"/>
          <w:sz w:val="22"/>
          <w:szCs w:val="22"/>
        </w:rPr>
        <w:t xml:space="preserve"> </w:t>
      </w:r>
      <w:r w:rsidRPr="007F0FA7">
        <w:rPr>
          <w:rFonts w:ascii="Humanst521 BT" w:hAnsi="Humanst521 BT"/>
          <w:sz w:val="22"/>
          <w:szCs w:val="22"/>
        </w:rPr>
        <w:t>Ministerio</w:t>
      </w:r>
      <w:r w:rsidRPr="007F0FA7">
        <w:rPr>
          <w:rFonts w:ascii="Humanst521 BT" w:hAnsi="Humanst521 BT"/>
          <w:spacing w:val="-4"/>
          <w:sz w:val="22"/>
          <w:szCs w:val="22"/>
        </w:rPr>
        <w:t xml:space="preserve"> </w:t>
      </w:r>
      <w:r w:rsidRPr="007F0FA7">
        <w:rPr>
          <w:rFonts w:ascii="Humanst521 BT" w:hAnsi="Humanst521 BT"/>
          <w:sz w:val="22"/>
          <w:szCs w:val="22"/>
        </w:rPr>
        <w:t>de</w:t>
      </w:r>
      <w:r w:rsidRPr="007F0FA7">
        <w:rPr>
          <w:rFonts w:ascii="Humanst521 BT" w:hAnsi="Humanst521 BT"/>
          <w:spacing w:val="-4"/>
          <w:sz w:val="22"/>
          <w:szCs w:val="22"/>
        </w:rPr>
        <w:t xml:space="preserve"> </w:t>
      </w:r>
      <w:r w:rsidRPr="007F0FA7">
        <w:rPr>
          <w:rFonts w:ascii="Humanst521 BT" w:hAnsi="Humanst521 BT"/>
          <w:sz w:val="22"/>
          <w:szCs w:val="22"/>
        </w:rPr>
        <w:t>Salud</w:t>
      </w:r>
      <w:r w:rsidRPr="007F0FA7">
        <w:rPr>
          <w:rFonts w:ascii="Humanst521 BT" w:hAnsi="Humanst521 BT"/>
          <w:spacing w:val="-3"/>
          <w:sz w:val="22"/>
          <w:szCs w:val="22"/>
        </w:rPr>
        <w:t xml:space="preserve"> </w:t>
      </w:r>
      <w:r w:rsidRPr="007F0FA7">
        <w:rPr>
          <w:rFonts w:ascii="Humanst521 BT" w:hAnsi="Humanst521 BT"/>
          <w:sz w:val="22"/>
          <w:szCs w:val="22"/>
        </w:rPr>
        <w:t>y</w:t>
      </w:r>
      <w:r w:rsidRPr="007F0FA7">
        <w:rPr>
          <w:rFonts w:ascii="Humanst521 BT" w:hAnsi="Humanst521 BT"/>
          <w:spacing w:val="-2"/>
          <w:sz w:val="22"/>
          <w:szCs w:val="22"/>
        </w:rPr>
        <w:t xml:space="preserve"> </w:t>
      </w:r>
      <w:r w:rsidRPr="007F0FA7">
        <w:rPr>
          <w:rFonts w:ascii="Humanst521 BT" w:hAnsi="Humanst521 BT"/>
          <w:sz w:val="22"/>
          <w:szCs w:val="22"/>
        </w:rPr>
        <w:t>Protección</w:t>
      </w:r>
      <w:r w:rsidRPr="007F0FA7">
        <w:rPr>
          <w:rFonts w:ascii="Humanst521 BT" w:hAnsi="Humanst521 BT"/>
          <w:spacing w:val="-5"/>
          <w:sz w:val="22"/>
          <w:szCs w:val="22"/>
        </w:rPr>
        <w:t xml:space="preserve"> </w:t>
      </w:r>
      <w:r w:rsidRPr="007F0FA7">
        <w:rPr>
          <w:rFonts w:ascii="Humanst521 BT" w:hAnsi="Humanst521 BT"/>
          <w:sz w:val="22"/>
          <w:szCs w:val="22"/>
        </w:rPr>
        <w:t>Social</w:t>
      </w:r>
      <w:r w:rsidRPr="007F0FA7">
        <w:rPr>
          <w:rFonts w:ascii="Humanst521 BT" w:hAnsi="Humanst521 BT"/>
          <w:spacing w:val="-6"/>
          <w:sz w:val="22"/>
          <w:szCs w:val="22"/>
        </w:rPr>
        <w:t xml:space="preserve"> </w:t>
      </w:r>
      <w:r w:rsidRPr="007F0FA7">
        <w:rPr>
          <w:rFonts w:ascii="Humanst521 BT" w:hAnsi="Humanst521 BT"/>
          <w:sz w:val="22"/>
          <w:szCs w:val="22"/>
        </w:rPr>
        <w:t>lo</w:t>
      </w:r>
      <w:r w:rsidRPr="007F0FA7">
        <w:rPr>
          <w:rFonts w:ascii="Humanst521 BT" w:hAnsi="Humanst521 BT"/>
          <w:spacing w:val="-4"/>
          <w:sz w:val="22"/>
          <w:szCs w:val="22"/>
        </w:rPr>
        <w:t xml:space="preserve"> </w:t>
      </w:r>
      <w:r w:rsidRPr="007F0FA7">
        <w:rPr>
          <w:rFonts w:ascii="Humanst521 BT" w:hAnsi="Humanst521 BT"/>
          <w:sz w:val="22"/>
          <w:szCs w:val="22"/>
        </w:rPr>
        <w:t>definió</w:t>
      </w:r>
      <w:r w:rsidRPr="007F0FA7">
        <w:rPr>
          <w:rFonts w:ascii="Humanst521 BT" w:hAnsi="Humanst521 BT"/>
          <w:spacing w:val="-4"/>
          <w:sz w:val="22"/>
          <w:szCs w:val="22"/>
        </w:rPr>
        <w:t xml:space="preserve"> </w:t>
      </w:r>
      <w:r w:rsidRPr="007F0FA7">
        <w:rPr>
          <w:rFonts w:ascii="Humanst521 BT" w:hAnsi="Humanst521 BT"/>
          <w:sz w:val="22"/>
          <w:szCs w:val="22"/>
        </w:rPr>
        <w:t>como un instrumento de política, que busca:</w:t>
      </w:r>
    </w:p>
    <w:p w14:paraId="7144BCA5" w14:textId="77777777" w:rsidR="00244200" w:rsidRPr="007F0FA7" w:rsidRDefault="00244200" w:rsidP="00093B44">
      <w:pPr>
        <w:pStyle w:val="Textoindependiente"/>
        <w:spacing w:before="43"/>
        <w:rPr>
          <w:rFonts w:ascii="Humanst521 BT" w:hAnsi="Humanst521 BT"/>
          <w:sz w:val="22"/>
          <w:szCs w:val="22"/>
        </w:rPr>
      </w:pPr>
    </w:p>
    <w:p w14:paraId="75060997" w14:textId="77777777" w:rsidR="00244200" w:rsidRPr="007F0FA7" w:rsidRDefault="007C1956" w:rsidP="00093B44">
      <w:pPr>
        <w:ind w:left="1050" w:right="375"/>
        <w:jc w:val="both"/>
        <w:rPr>
          <w:rFonts w:ascii="Humanst521 BT" w:hAnsi="Humanst521 BT"/>
          <w:i/>
        </w:rPr>
      </w:pPr>
      <w:r w:rsidRPr="007F0FA7">
        <w:rPr>
          <w:rFonts w:ascii="Humanst521 BT" w:hAnsi="Humanst521 BT"/>
          <w:i/>
        </w:rPr>
        <w:t>"reducir</w:t>
      </w:r>
      <w:r w:rsidRPr="007F0FA7">
        <w:rPr>
          <w:rFonts w:ascii="Humanst521 BT" w:hAnsi="Humanst521 BT"/>
          <w:i/>
          <w:spacing w:val="-16"/>
        </w:rPr>
        <w:t xml:space="preserve"> </w:t>
      </w:r>
      <w:r w:rsidRPr="007F0FA7">
        <w:rPr>
          <w:rFonts w:ascii="Humanst521 BT" w:hAnsi="Humanst521 BT"/>
          <w:i/>
        </w:rPr>
        <w:t>los</w:t>
      </w:r>
      <w:r w:rsidRPr="007F0FA7">
        <w:rPr>
          <w:rFonts w:ascii="Humanst521 BT" w:hAnsi="Humanst521 BT"/>
          <w:i/>
          <w:spacing w:val="-15"/>
        </w:rPr>
        <w:t xml:space="preserve"> </w:t>
      </w:r>
      <w:r w:rsidRPr="007F0FA7">
        <w:rPr>
          <w:rFonts w:ascii="Humanst521 BT" w:hAnsi="Humanst521 BT"/>
          <w:i/>
        </w:rPr>
        <w:t>riesgos</w:t>
      </w:r>
      <w:r w:rsidRPr="007F0FA7">
        <w:rPr>
          <w:rFonts w:ascii="Humanst521 BT" w:hAnsi="Humanst521 BT"/>
          <w:i/>
          <w:spacing w:val="-15"/>
        </w:rPr>
        <w:t xml:space="preserve"> </w:t>
      </w:r>
      <w:r w:rsidRPr="007F0FA7">
        <w:rPr>
          <w:rFonts w:ascii="Humanst521 BT" w:hAnsi="Humanst521 BT"/>
          <w:i/>
        </w:rPr>
        <w:t>para</w:t>
      </w:r>
      <w:r w:rsidRPr="007F0FA7">
        <w:rPr>
          <w:rFonts w:ascii="Humanst521 BT" w:hAnsi="Humanst521 BT"/>
          <w:i/>
          <w:spacing w:val="-16"/>
        </w:rPr>
        <w:t xml:space="preserve"> </w:t>
      </w:r>
      <w:r w:rsidRPr="007F0FA7">
        <w:rPr>
          <w:rFonts w:ascii="Humanst521 BT" w:hAnsi="Humanst521 BT"/>
          <w:i/>
        </w:rPr>
        <w:t>la</w:t>
      </w:r>
      <w:r w:rsidRPr="007F0FA7">
        <w:rPr>
          <w:rFonts w:ascii="Humanst521 BT" w:hAnsi="Humanst521 BT"/>
          <w:i/>
          <w:spacing w:val="-14"/>
        </w:rPr>
        <w:t xml:space="preserve"> </w:t>
      </w:r>
      <w:r w:rsidRPr="007F0FA7">
        <w:rPr>
          <w:rFonts w:ascii="Humanst521 BT" w:hAnsi="Humanst521 BT"/>
          <w:i/>
        </w:rPr>
        <w:t>salud</w:t>
      </w:r>
      <w:r w:rsidRPr="007F0FA7">
        <w:rPr>
          <w:rFonts w:ascii="Humanst521 BT" w:hAnsi="Humanst521 BT"/>
          <w:i/>
          <w:spacing w:val="-16"/>
        </w:rPr>
        <w:t xml:space="preserve"> </w:t>
      </w:r>
      <w:r w:rsidRPr="007F0FA7">
        <w:rPr>
          <w:rFonts w:ascii="Humanst521 BT" w:hAnsi="Humanst521 BT"/>
          <w:i/>
        </w:rPr>
        <w:t>de</w:t>
      </w:r>
      <w:r w:rsidRPr="007F0FA7">
        <w:rPr>
          <w:rFonts w:ascii="Humanst521 BT" w:hAnsi="Humanst521 BT"/>
          <w:i/>
          <w:spacing w:val="-12"/>
        </w:rPr>
        <w:t xml:space="preserve"> </w:t>
      </w:r>
      <w:r w:rsidRPr="007F0FA7">
        <w:rPr>
          <w:rFonts w:ascii="Humanst521 BT" w:hAnsi="Humanst521 BT"/>
          <w:i/>
        </w:rPr>
        <w:t>las</w:t>
      </w:r>
      <w:r w:rsidRPr="007F0FA7">
        <w:rPr>
          <w:rFonts w:ascii="Humanst521 BT" w:hAnsi="Humanst521 BT"/>
          <w:i/>
          <w:spacing w:val="-13"/>
        </w:rPr>
        <w:t xml:space="preserve"> </w:t>
      </w:r>
      <w:r w:rsidRPr="007F0FA7">
        <w:rPr>
          <w:rFonts w:ascii="Humanst521 BT" w:hAnsi="Humanst521 BT"/>
          <w:i/>
        </w:rPr>
        <w:t>personas,</w:t>
      </w:r>
      <w:r w:rsidRPr="007F0FA7">
        <w:rPr>
          <w:rFonts w:ascii="Humanst521 BT" w:hAnsi="Humanst521 BT"/>
          <w:i/>
          <w:spacing w:val="-16"/>
        </w:rPr>
        <w:t xml:space="preserve"> </w:t>
      </w:r>
      <w:r w:rsidRPr="007F0FA7">
        <w:rPr>
          <w:rFonts w:ascii="Humanst521 BT" w:hAnsi="Humanst521 BT"/>
          <w:i/>
        </w:rPr>
        <w:t>familias</w:t>
      </w:r>
      <w:r w:rsidRPr="007F0FA7">
        <w:rPr>
          <w:rFonts w:ascii="Humanst521 BT" w:hAnsi="Humanst521 BT"/>
          <w:i/>
          <w:spacing w:val="-15"/>
        </w:rPr>
        <w:t xml:space="preserve"> </w:t>
      </w:r>
      <w:r w:rsidRPr="007F0FA7">
        <w:rPr>
          <w:rFonts w:ascii="Humanst521 BT" w:hAnsi="Humanst521 BT"/>
          <w:i/>
        </w:rPr>
        <w:t>y</w:t>
      </w:r>
      <w:r w:rsidRPr="007F0FA7">
        <w:rPr>
          <w:rFonts w:ascii="Humanst521 BT" w:hAnsi="Humanst521 BT"/>
          <w:i/>
          <w:spacing w:val="-14"/>
        </w:rPr>
        <w:t xml:space="preserve"> </w:t>
      </w:r>
      <w:r w:rsidRPr="007F0FA7">
        <w:rPr>
          <w:rFonts w:ascii="Humanst521 BT" w:hAnsi="Humanst521 BT"/>
          <w:i/>
        </w:rPr>
        <w:t>comunidades, orientada al logro de resultados en salud y al bienestar de la población.</w:t>
      </w:r>
    </w:p>
    <w:p w14:paraId="03AAD0C8" w14:textId="77777777" w:rsidR="00244200" w:rsidRPr="007F0FA7" w:rsidRDefault="00244200" w:rsidP="00093B44">
      <w:pPr>
        <w:pStyle w:val="Textoindependiente"/>
        <w:spacing w:before="39"/>
        <w:rPr>
          <w:rFonts w:ascii="Humanst521 BT" w:hAnsi="Humanst521 BT"/>
          <w:i/>
          <w:sz w:val="22"/>
          <w:szCs w:val="22"/>
        </w:rPr>
      </w:pPr>
    </w:p>
    <w:p w14:paraId="4B1843ED" w14:textId="0DE43078" w:rsidR="00244200" w:rsidRPr="007F0FA7" w:rsidRDefault="007C1956" w:rsidP="00093B44">
      <w:pPr>
        <w:ind w:left="1050" w:right="377"/>
        <w:jc w:val="both"/>
        <w:rPr>
          <w:rFonts w:ascii="Humanst521 BT" w:hAnsi="Humanst521 BT"/>
        </w:rPr>
      </w:pPr>
      <w:r w:rsidRPr="007F0FA7">
        <w:rPr>
          <w:rFonts w:ascii="Humanst521 BT" w:hAnsi="Humanst521 BT"/>
          <w:i/>
        </w:rPr>
        <w:t>La</w:t>
      </w:r>
      <w:r w:rsidRPr="007F0FA7">
        <w:rPr>
          <w:rFonts w:ascii="Humanst521 BT" w:hAnsi="Humanst521 BT"/>
          <w:i/>
          <w:spacing w:val="-12"/>
        </w:rPr>
        <w:t xml:space="preserve"> </w:t>
      </w:r>
      <w:r w:rsidRPr="007F0FA7">
        <w:rPr>
          <w:rFonts w:ascii="Humanst521 BT" w:hAnsi="Humanst521 BT"/>
          <w:i/>
        </w:rPr>
        <w:t>GIRS</w:t>
      </w:r>
      <w:r w:rsidRPr="007F0FA7">
        <w:rPr>
          <w:rFonts w:ascii="Humanst521 BT" w:hAnsi="Humanst521 BT"/>
          <w:i/>
          <w:spacing w:val="-10"/>
        </w:rPr>
        <w:t xml:space="preserve"> </w:t>
      </w:r>
      <w:r w:rsidRPr="007F0FA7">
        <w:rPr>
          <w:rFonts w:ascii="Humanst521 BT" w:hAnsi="Humanst521 BT"/>
          <w:i/>
        </w:rPr>
        <w:t>se</w:t>
      </w:r>
      <w:r w:rsidRPr="007F0FA7">
        <w:rPr>
          <w:rFonts w:ascii="Humanst521 BT" w:hAnsi="Humanst521 BT"/>
          <w:i/>
          <w:spacing w:val="-10"/>
        </w:rPr>
        <w:t xml:space="preserve"> </w:t>
      </w:r>
      <w:r w:rsidRPr="007F0FA7">
        <w:rPr>
          <w:rFonts w:ascii="Humanst521 BT" w:hAnsi="Humanst521 BT"/>
          <w:i/>
        </w:rPr>
        <w:t>anticipa</w:t>
      </w:r>
      <w:r w:rsidRPr="007F0FA7">
        <w:rPr>
          <w:rFonts w:ascii="Humanst521 BT" w:hAnsi="Humanst521 BT"/>
          <w:i/>
          <w:spacing w:val="-11"/>
        </w:rPr>
        <w:t xml:space="preserve"> </w:t>
      </w:r>
      <w:r w:rsidRPr="007F0FA7">
        <w:rPr>
          <w:rFonts w:ascii="Humanst521 BT" w:hAnsi="Humanst521 BT"/>
          <w:i/>
        </w:rPr>
        <w:t>de</w:t>
      </w:r>
      <w:r w:rsidRPr="007F0FA7">
        <w:rPr>
          <w:rFonts w:ascii="Humanst521 BT" w:hAnsi="Humanst521 BT"/>
          <w:i/>
          <w:spacing w:val="-10"/>
        </w:rPr>
        <w:t xml:space="preserve"> </w:t>
      </w:r>
      <w:r w:rsidRPr="007F0FA7">
        <w:rPr>
          <w:rFonts w:ascii="Humanst521 BT" w:hAnsi="Humanst521 BT"/>
          <w:i/>
        </w:rPr>
        <w:t>esta</w:t>
      </w:r>
      <w:r w:rsidRPr="007F0FA7">
        <w:rPr>
          <w:rFonts w:ascii="Humanst521 BT" w:hAnsi="Humanst521 BT"/>
          <w:i/>
          <w:spacing w:val="-11"/>
        </w:rPr>
        <w:t xml:space="preserve"> </w:t>
      </w:r>
      <w:r w:rsidRPr="007F0FA7">
        <w:rPr>
          <w:rFonts w:ascii="Humanst521 BT" w:hAnsi="Humanst521 BT"/>
          <w:i/>
        </w:rPr>
        <w:t>forma</w:t>
      </w:r>
      <w:r w:rsidRPr="007F0FA7">
        <w:rPr>
          <w:rFonts w:ascii="Humanst521 BT" w:hAnsi="Humanst521 BT"/>
          <w:i/>
          <w:spacing w:val="-11"/>
        </w:rPr>
        <w:t xml:space="preserve"> </w:t>
      </w:r>
      <w:r w:rsidRPr="007F0FA7">
        <w:rPr>
          <w:rFonts w:ascii="Humanst521 BT" w:hAnsi="Humanst521 BT"/>
          <w:i/>
        </w:rPr>
        <w:t>a</w:t>
      </w:r>
      <w:r w:rsidRPr="007F0FA7">
        <w:rPr>
          <w:rFonts w:ascii="Humanst521 BT" w:hAnsi="Humanst521 BT"/>
          <w:i/>
          <w:spacing w:val="-11"/>
        </w:rPr>
        <w:t xml:space="preserve"> </w:t>
      </w:r>
      <w:r w:rsidRPr="007F0FA7">
        <w:rPr>
          <w:rFonts w:ascii="Humanst521 BT" w:hAnsi="Humanst521 BT"/>
          <w:i/>
        </w:rPr>
        <w:t>las</w:t>
      </w:r>
      <w:r w:rsidRPr="007F0FA7">
        <w:rPr>
          <w:rFonts w:ascii="Humanst521 BT" w:hAnsi="Humanst521 BT"/>
          <w:i/>
          <w:spacing w:val="-10"/>
        </w:rPr>
        <w:t xml:space="preserve"> </w:t>
      </w:r>
      <w:r w:rsidRPr="007F0FA7">
        <w:rPr>
          <w:rFonts w:ascii="Humanst521 BT" w:hAnsi="Humanst521 BT"/>
          <w:i/>
        </w:rPr>
        <w:t>enfermedades</w:t>
      </w:r>
      <w:r w:rsidRPr="007F0FA7">
        <w:rPr>
          <w:rFonts w:ascii="Humanst521 BT" w:hAnsi="Humanst521 BT"/>
          <w:i/>
          <w:spacing w:val="-10"/>
        </w:rPr>
        <w:t xml:space="preserve"> </w:t>
      </w:r>
      <w:r w:rsidRPr="007F0FA7">
        <w:rPr>
          <w:rFonts w:ascii="Humanst521 BT" w:hAnsi="Humanst521 BT"/>
          <w:i/>
        </w:rPr>
        <w:t>y</w:t>
      </w:r>
      <w:r w:rsidRPr="007F0FA7">
        <w:rPr>
          <w:rFonts w:ascii="Humanst521 BT" w:hAnsi="Humanst521 BT"/>
          <w:i/>
          <w:spacing w:val="-11"/>
        </w:rPr>
        <w:t xml:space="preserve"> </w:t>
      </w:r>
      <w:r w:rsidRPr="007F0FA7">
        <w:rPr>
          <w:rFonts w:ascii="Humanst521 BT" w:hAnsi="Humanst521 BT"/>
          <w:i/>
        </w:rPr>
        <w:t>los</w:t>
      </w:r>
      <w:r w:rsidRPr="007F0FA7">
        <w:rPr>
          <w:rFonts w:ascii="Humanst521 BT" w:hAnsi="Humanst521 BT"/>
          <w:i/>
          <w:spacing w:val="-10"/>
        </w:rPr>
        <w:t xml:space="preserve"> </w:t>
      </w:r>
      <w:r w:rsidRPr="007F0FA7">
        <w:rPr>
          <w:rFonts w:ascii="Humanst521 BT" w:hAnsi="Humanst521 BT"/>
          <w:i/>
        </w:rPr>
        <w:t>traumatismos para</w:t>
      </w:r>
      <w:r w:rsidRPr="007F0FA7">
        <w:rPr>
          <w:rFonts w:ascii="Humanst521 BT" w:hAnsi="Humanst521 BT"/>
          <w:i/>
          <w:spacing w:val="-4"/>
        </w:rPr>
        <w:t xml:space="preserve"> </w:t>
      </w:r>
      <w:r w:rsidRPr="007F0FA7">
        <w:rPr>
          <w:rFonts w:ascii="Humanst521 BT" w:hAnsi="Humanst521 BT"/>
          <w:i/>
        </w:rPr>
        <w:t>que</w:t>
      </w:r>
      <w:r w:rsidRPr="007F0FA7">
        <w:rPr>
          <w:rFonts w:ascii="Humanst521 BT" w:hAnsi="Humanst521 BT"/>
          <w:i/>
          <w:spacing w:val="-3"/>
        </w:rPr>
        <w:t xml:space="preserve"> </w:t>
      </w:r>
      <w:r w:rsidRPr="007F0FA7">
        <w:rPr>
          <w:rFonts w:ascii="Humanst521 BT" w:hAnsi="Humanst521 BT"/>
          <w:i/>
        </w:rPr>
        <w:t>éstos</w:t>
      </w:r>
      <w:r w:rsidRPr="007F0FA7">
        <w:rPr>
          <w:rFonts w:ascii="Humanst521 BT" w:hAnsi="Humanst521 BT"/>
          <w:i/>
          <w:spacing w:val="-3"/>
        </w:rPr>
        <w:t xml:space="preserve"> </w:t>
      </w:r>
      <w:r w:rsidRPr="007F0FA7">
        <w:rPr>
          <w:rFonts w:ascii="Humanst521 BT" w:hAnsi="Humanst521 BT"/>
          <w:i/>
        </w:rPr>
        <w:t>no</w:t>
      </w:r>
      <w:r w:rsidRPr="007F0FA7">
        <w:rPr>
          <w:rFonts w:ascii="Humanst521 BT" w:hAnsi="Humanst521 BT"/>
          <w:i/>
          <w:spacing w:val="-4"/>
        </w:rPr>
        <w:t xml:space="preserve"> </w:t>
      </w:r>
      <w:r w:rsidRPr="007F0FA7">
        <w:rPr>
          <w:rFonts w:ascii="Humanst521 BT" w:hAnsi="Humanst521 BT"/>
          <w:i/>
        </w:rPr>
        <w:t>se</w:t>
      </w:r>
      <w:r w:rsidRPr="007F0FA7">
        <w:rPr>
          <w:rFonts w:ascii="Humanst521 BT" w:hAnsi="Humanst521 BT"/>
          <w:i/>
          <w:spacing w:val="-5"/>
        </w:rPr>
        <w:t xml:space="preserve"> </w:t>
      </w:r>
      <w:r w:rsidRPr="007F0FA7">
        <w:rPr>
          <w:rFonts w:ascii="Humanst521 BT" w:hAnsi="Humanst521 BT"/>
          <w:i/>
        </w:rPr>
        <w:t>presenten</w:t>
      </w:r>
      <w:r w:rsidRPr="007F0FA7">
        <w:rPr>
          <w:rFonts w:ascii="Humanst521 BT" w:hAnsi="Humanst521 BT"/>
          <w:i/>
          <w:spacing w:val="-4"/>
        </w:rPr>
        <w:t xml:space="preserve"> </w:t>
      </w:r>
      <w:r w:rsidRPr="007F0FA7">
        <w:rPr>
          <w:rFonts w:ascii="Humanst521 BT" w:hAnsi="Humanst521 BT"/>
          <w:i/>
        </w:rPr>
        <w:t>o</w:t>
      </w:r>
      <w:r w:rsidRPr="007F0FA7">
        <w:rPr>
          <w:rFonts w:ascii="Humanst521 BT" w:hAnsi="Humanst521 BT"/>
          <w:i/>
          <w:spacing w:val="-3"/>
        </w:rPr>
        <w:t xml:space="preserve"> </w:t>
      </w:r>
      <w:r w:rsidRPr="007F0FA7">
        <w:rPr>
          <w:rFonts w:ascii="Humanst521 BT" w:hAnsi="Humanst521 BT"/>
          <w:i/>
        </w:rPr>
        <w:t>se</w:t>
      </w:r>
      <w:r w:rsidRPr="007F0FA7">
        <w:rPr>
          <w:rFonts w:ascii="Humanst521 BT" w:hAnsi="Humanst521 BT"/>
          <w:i/>
          <w:spacing w:val="-4"/>
        </w:rPr>
        <w:t xml:space="preserve"> </w:t>
      </w:r>
      <w:r w:rsidRPr="007F0FA7">
        <w:rPr>
          <w:rFonts w:ascii="Humanst521 BT" w:hAnsi="Humanst521 BT"/>
          <w:i/>
        </w:rPr>
        <w:t>detecten</w:t>
      </w:r>
      <w:r w:rsidRPr="007F0FA7">
        <w:rPr>
          <w:rFonts w:ascii="Humanst521 BT" w:hAnsi="Humanst521 BT"/>
          <w:i/>
          <w:spacing w:val="-4"/>
        </w:rPr>
        <w:t xml:space="preserve"> </w:t>
      </w:r>
      <w:r w:rsidRPr="007F0FA7">
        <w:rPr>
          <w:rFonts w:ascii="Humanst521 BT" w:hAnsi="Humanst521 BT"/>
          <w:i/>
        </w:rPr>
        <w:t>precozmente</w:t>
      </w:r>
      <w:r w:rsidRPr="007F0FA7">
        <w:rPr>
          <w:rFonts w:ascii="Humanst521 BT" w:hAnsi="Humanst521 BT"/>
          <w:i/>
          <w:spacing w:val="-3"/>
        </w:rPr>
        <w:t xml:space="preserve"> </w:t>
      </w:r>
      <w:r w:rsidRPr="007F0FA7">
        <w:rPr>
          <w:rFonts w:ascii="Humanst521 BT" w:hAnsi="Humanst521 BT"/>
          <w:i/>
        </w:rPr>
        <w:t>para</w:t>
      </w:r>
      <w:r w:rsidRPr="007F0FA7">
        <w:rPr>
          <w:rFonts w:ascii="Humanst521 BT" w:hAnsi="Humanst521 BT"/>
          <w:i/>
          <w:spacing w:val="-4"/>
        </w:rPr>
        <w:t xml:space="preserve"> </w:t>
      </w:r>
      <w:r w:rsidRPr="007F0FA7">
        <w:rPr>
          <w:rFonts w:ascii="Humanst521 BT" w:hAnsi="Humanst521 BT"/>
          <w:i/>
        </w:rPr>
        <w:t>impedir, acortar</w:t>
      </w:r>
      <w:r w:rsidRPr="007F0FA7">
        <w:rPr>
          <w:rFonts w:ascii="Humanst521 BT" w:hAnsi="Humanst521 BT"/>
          <w:i/>
          <w:spacing w:val="-1"/>
        </w:rPr>
        <w:t xml:space="preserve"> </w:t>
      </w:r>
      <w:r w:rsidRPr="007F0FA7">
        <w:rPr>
          <w:rFonts w:ascii="Humanst521 BT" w:hAnsi="Humanst521 BT"/>
          <w:i/>
        </w:rPr>
        <w:t>o</w:t>
      </w:r>
      <w:r w:rsidRPr="007F0FA7">
        <w:rPr>
          <w:rFonts w:ascii="Humanst521 BT" w:hAnsi="Humanst521 BT"/>
          <w:i/>
          <w:spacing w:val="-1"/>
        </w:rPr>
        <w:t xml:space="preserve"> </w:t>
      </w:r>
      <w:r w:rsidRPr="007F0FA7">
        <w:rPr>
          <w:rFonts w:ascii="Humanst521 BT" w:hAnsi="Humanst521 BT"/>
          <w:i/>
        </w:rPr>
        <w:t>paliar</w:t>
      </w:r>
      <w:r w:rsidRPr="007F0FA7">
        <w:rPr>
          <w:rFonts w:ascii="Humanst521 BT" w:hAnsi="Humanst521 BT"/>
          <w:i/>
          <w:spacing w:val="-1"/>
        </w:rPr>
        <w:t xml:space="preserve"> </w:t>
      </w:r>
      <w:r w:rsidRPr="007F0FA7">
        <w:rPr>
          <w:rFonts w:ascii="Humanst521 BT" w:hAnsi="Humanst521 BT"/>
          <w:i/>
        </w:rPr>
        <w:t>su</w:t>
      </w:r>
      <w:r w:rsidRPr="007F0FA7">
        <w:rPr>
          <w:rFonts w:ascii="Humanst521 BT" w:hAnsi="Humanst521 BT"/>
          <w:i/>
          <w:spacing w:val="-1"/>
        </w:rPr>
        <w:t xml:space="preserve"> </w:t>
      </w:r>
      <w:r w:rsidRPr="007F0FA7">
        <w:rPr>
          <w:rFonts w:ascii="Humanst521 BT" w:hAnsi="Humanst521 BT"/>
          <w:i/>
        </w:rPr>
        <w:t>evolución</w:t>
      </w:r>
      <w:r w:rsidRPr="007F0FA7">
        <w:rPr>
          <w:rFonts w:ascii="Humanst521 BT" w:hAnsi="Humanst521 BT"/>
          <w:i/>
          <w:spacing w:val="-1"/>
        </w:rPr>
        <w:t xml:space="preserve"> </w:t>
      </w:r>
      <w:r w:rsidRPr="007F0FA7">
        <w:rPr>
          <w:rFonts w:ascii="Humanst521 BT" w:hAnsi="Humanst521 BT"/>
          <w:i/>
        </w:rPr>
        <w:t>y</w:t>
      </w:r>
      <w:r w:rsidRPr="007F0FA7">
        <w:rPr>
          <w:rFonts w:ascii="Humanst521 BT" w:hAnsi="Humanst521 BT"/>
          <w:i/>
          <w:spacing w:val="-2"/>
        </w:rPr>
        <w:t xml:space="preserve"> </w:t>
      </w:r>
      <w:r w:rsidRPr="007F0FA7">
        <w:rPr>
          <w:rFonts w:ascii="Humanst521 BT" w:hAnsi="Humanst521 BT"/>
          <w:i/>
        </w:rPr>
        <w:t>consecuencias.</w:t>
      </w:r>
      <w:r w:rsidRPr="007F0FA7">
        <w:rPr>
          <w:rFonts w:ascii="Humanst521 BT" w:hAnsi="Humanst521 BT"/>
          <w:i/>
          <w:spacing w:val="-2"/>
        </w:rPr>
        <w:t xml:space="preserve"> </w:t>
      </w:r>
      <w:r w:rsidRPr="007F0FA7">
        <w:rPr>
          <w:rFonts w:ascii="Humanst521 BT" w:hAnsi="Humanst521 BT"/>
          <w:i/>
        </w:rPr>
        <w:t>El</w:t>
      </w:r>
      <w:r w:rsidRPr="007F0FA7">
        <w:rPr>
          <w:rFonts w:ascii="Humanst521 BT" w:hAnsi="Humanst521 BT"/>
          <w:i/>
          <w:spacing w:val="-2"/>
        </w:rPr>
        <w:t xml:space="preserve"> </w:t>
      </w:r>
      <w:r w:rsidRPr="007F0FA7">
        <w:rPr>
          <w:rFonts w:ascii="Humanst521 BT" w:hAnsi="Humanst521 BT"/>
          <w:i/>
        </w:rPr>
        <w:t>objetivo</w:t>
      </w:r>
      <w:r w:rsidRPr="007F0FA7">
        <w:rPr>
          <w:rFonts w:ascii="Humanst521 BT" w:hAnsi="Humanst521 BT"/>
          <w:i/>
          <w:spacing w:val="-1"/>
        </w:rPr>
        <w:t xml:space="preserve"> </w:t>
      </w:r>
      <w:r w:rsidRPr="007F0FA7">
        <w:rPr>
          <w:rFonts w:ascii="Humanst521 BT" w:hAnsi="Humanst521 BT"/>
          <w:i/>
        </w:rPr>
        <w:t>que</w:t>
      </w:r>
      <w:r w:rsidRPr="007F0FA7">
        <w:rPr>
          <w:rFonts w:ascii="Humanst521 BT" w:hAnsi="Humanst521 BT"/>
          <w:i/>
          <w:spacing w:val="-1"/>
        </w:rPr>
        <w:t xml:space="preserve"> </w:t>
      </w:r>
      <w:r w:rsidRPr="007F0FA7">
        <w:rPr>
          <w:rFonts w:ascii="Humanst521 BT" w:hAnsi="Humanst521 BT"/>
          <w:i/>
        </w:rPr>
        <w:t>persigue</w:t>
      </w:r>
      <w:r w:rsidRPr="007F0FA7">
        <w:rPr>
          <w:rFonts w:ascii="Humanst521 BT" w:hAnsi="Humanst521 BT"/>
          <w:i/>
          <w:spacing w:val="-1"/>
        </w:rPr>
        <w:t xml:space="preserve"> </w:t>
      </w:r>
      <w:r w:rsidRPr="007F0FA7">
        <w:rPr>
          <w:rFonts w:ascii="Humanst521 BT" w:hAnsi="Humanst521 BT"/>
          <w:i/>
        </w:rPr>
        <w:t xml:space="preserve">la estrategia es el logro de un mejor nivel de salud de la población, una mejor experiencia de los usuarios durante el proceso de atención y unos costos acordes a los resultados obtenidos." </w:t>
      </w:r>
      <w:r w:rsidRPr="007F0FA7">
        <w:rPr>
          <w:rFonts w:ascii="Humanst521 BT" w:hAnsi="Humanst521 BT"/>
        </w:rPr>
        <w:t xml:space="preserve">(Ministerio de Salud y Protección </w:t>
      </w:r>
      <w:r w:rsidR="0013535E" w:rsidRPr="007F0FA7">
        <w:rPr>
          <w:rFonts w:ascii="Humanst521 BT" w:hAnsi="Humanst521 BT"/>
        </w:rPr>
        <w:t>Social,</w:t>
      </w:r>
      <w:r w:rsidRPr="007F0FA7">
        <w:rPr>
          <w:rFonts w:ascii="Humanst521 BT" w:hAnsi="Humanst521 BT"/>
        </w:rPr>
        <w:t xml:space="preserve"> 2015)</w:t>
      </w:r>
    </w:p>
    <w:p w14:paraId="7CF2A892" w14:textId="77777777" w:rsidR="00244200" w:rsidRPr="007F0FA7" w:rsidRDefault="00244200" w:rsidP="00093B44">
      <w:pPr>
        <w:pStyle w:val="Textoindependiente"/>
        <w:spacing w:before="71"/>
        <w:rPr>
          <w:rFonts w:ascii="Humanst521 BT" w:hAnsi="Humanst521 BT"/>
          <w:sz w:val="22"/>
          <w:szCs w:val="22"/>
        </w:rPr>
      </w:pPr>
    </w:p>
    <w:p w14:paraId="0439E234" w14:textId="77777777" w:rsidR="00244200" w:rsidRPr="007F0FA7" w:rsidRDefault="007C1956" w:rsidP="00093B44">
      <w:pPr>
        <w:pStyle w:val="Textoindependiente"/>
        <w:ind w:left="342" w:right="378"/>
        <w:jc w:val="both"/>
        <w:rPr>
          <w:rFonts w:ascii="Humanst521 BT" w:hAnsi="Humanst521 BT"/>
          <w:sz w:val="22"/>
          <w:szCs w:val="22"/>
        </w:rPr>
      </w:pPr>
      <w:r w:rsidRPr="007F0FA7">
        <w:rPr>
          <w:rFonts w:ascii="Humanst521 BT" w:hAnsi="Humanst521 BT"/>
          <w:sz w:val="22"/>
          <w:szCs w:val="22"/>
        </w:rPr>
        <w:t>Esto implica la acción coordinada de agentes sectoriales y extra sectoriales en la identificación de las circunstancias y condiciones que inciden en su aparición y desenlace, originadas en los individuos, los colectivos y en el entorno donde se vive, estudia, trabaja o recrea; la clasificación de las personas según se vean afectadas por estas circunstancias</w:t>
      </w:r>
      <w:r w:rsidRPr="007F0FA7">
        <w:rPr>
          <w:rFonts w:ascii="Humanst521 BT" w:hAnsi="Humanst521 BT"/>
          <w:spacing w:val="-6"/>
          <w:sz w:val="22"/>
          <w:szCs w:val="22"/>
        </w:rPr>
        <w:t xml:space="preserve"> </w:t>
      </w:r>
      <w:r w:rsidRPr="007F0FA7">
        <w:rPr>
          <w:rFonts w:ascii="Humanst521 BT" w:hAnsi="Humanst521 BT"/>
          <w:sz w:val="22"/>
          <w:szCs w:val="22"/>
        </w:rPr>
        <w:t>y</w:t>
      </w:r>
      <w:r w:rsidRPr="007F0FA7">
        <w:rPr>
          <w:rFonts w:ascii="Humanst521 BT" w:hAnsi="Humanst521 BT"/>
          <w:spacing w:val="-8"/>
          <w:sz w:val="22"/>
          <w:szCs w:val="22"/>
        </w:rPr>
        <w:t xml:space="preserve"> </w:t>
      </w:r>
      <w:r w:rsidRPr="007F0FA7">
        <w:rPr>
          <w:rFonts w:ascii="Humanst521 BT" w:hAnsi="Humanst521 BT"/>
          <w:sz w:val="22"/>
          <w:szCs w:val="22"/>
        </w:rPr>
        <w:t>condiciones;</w:t>
      </w:r>
      <w:r w:rsidRPr="007F0FA7">
        <w:rPr>
          <w:rFonts w:ascii="Humanst521 BT" w:hAnsi="Humanst521 BT"/>
          <w:spacing w:val="-5"/>
          <w:sz w:val="22"/>
          <w:szCs w:val="22"/>
        </w:rPr>
        <w:t xml:space="preserve"> </w:t>
      </w:r>
      <w:r w:rsidRPr="007F0FA7">
        <w:rPr>
          <w:rFonts w:ascii="Humanst521 BT" w:hAnsi="Humanst521 BT"/>
          <w:sz w:val="22"/>
          <w:szCs w:val="22"/>
        </w:rPr>
        <w:t>y</w:t>
      </w:r>
      <w:r w:rsidRPr="007F0FA7">
        <w:rPr>
          <w:rFonts w:ascii="Humanst521 BT" w:hAnsi="Humanst521 BT"/>
          <w:spacing w:val="-8"/>
          <w:sz w:val="22"/>
          <w:szCs w:val="22"/>
        </w:rPr>
        <w:t xml:space="preserve"> </w:t>
      </w:r>
      <w:r w:rsidRPr="007F0FA7">
        <w:rPr>
          <w:rFonts w:ascii="Humanst521 BT" w:hAnsi="Humanst521 BT"/>
          <w:sz w:val="22"/>
          <w:szCs w:val="22"/>
        </w:rPr>
        <w:t>el</w:t>
      </w:r>
      <w:r w:rsidRPr="007F0FA7">
        <w:rPr>
          <w:rFonts w:ascii="Humanst521 BT" w:hAnsi="Humanst521 BT"/>
          <w:spacing w:val="-8"/>
          <w:sz w:val="22"/>
          <w:szCs w:val="22"/>
        </w:rPr>
        <w:t xml:space="preserve"> </w:t>
      </w:r>
      <w:r w:rsidRPr="007F0FA7">
        <w:rPr>
          <w:rFonts w:ascii="Humanst521 BT" w:hAnsi="Humanst521 BT"/>
          <w:sz w:val="22"/>
          <w:szCs w:val="22"/>
        </w:rPr>
        <w:t>diseño</w:t>
      </w:r>
      <w:r w:rsidRPr="007F0FA7">
        <w:rPr>
          <w:rFonts w:ascii="Humanst521 BT" w:hAnsi="Humanst521 BT"/>
          <w:spacing w:val="-7"/>
          <w:sz w:val="22"/>
          <w:szCs w:val="22"/>
        </w:rPr>
        <w:t xml:space="preserve"> </w:t>
      </w:r>
      <w:r w:rsidRPr="007F0FA7">
        <w:rPr>
          <w:rFonts w:ascii="Humanst521 BT" w:hAnsi="Humanst521 BT"/>
          <w:sz w:val="22"/>
          <w:szCs w:val="22"/>
        </w:rPr>
        <w:t>y</w:t>
      </w:r>
      <w:r w:rsidRPr="007F0FA7">
        <w:rPr>
          <w:rFonts w:ascii="Humanst521 BT" w:hAnsi="Humanst521 BT"/>
          <w:spacing w:val="-8"/>
          <w:sz w:val="22"/>
          <w:szCs w:val="22"/>
        </w:rPr>
        <w:t xml:space="preserve"> </w:t>
      </w:r>
      <w:r w:rsidRPr="007F0FA7">
        <w:rPr>
          <w:rFonts w:ascii="Humanst521 BT" w:hAnsi="Humanst521 BT"/>
          <w:sz w:val="22"/>
          <w:szCs w:val="22"/>
        </w:rPr>
        <w:t>puesta</w:t>
      </w:r>
      <w:r w:rsidRPr="007F0FA7">
        <w:rPr>
          <w:rFonts w:ascii="Humanst521 BT" w:hAnsi="Humanst521 BT"/>
          <w:spacing w:val="-7"/>
          <w:sz w:val="22"/>
          <w:szCs w:val="22"/>
        </w:rPr>
        <w:t xml:space="preserve"> </w:t>
      </w:r>
      <w:r w:rsidRPr="007F0FA7">
        <w:rPr>
          <w:rFonts w:ascii="Humanst521 BT" w:hAnsi="Humanst521 BT"/>
          <w:sz w:val="22"/>
          <w:szCs w:val="22"/>
        </w:rPr>
        <w:t>en</w:t>
      </w:r>
      <w:r w:rsidRPr="007F0FA7">
        <w:rPr>
          <w:rFonts w:ascii="Humanst521 BT" w:hAnsi="Humanst521 BT"/>
          <w:spacing w:val="-8"/>
          <w:sz w:val="22"/>
          <w:szCs w:val="22"/>
        </w:rPr>
        <w:t xml:space="preserve"> </w:t>
      </w:r>
      <w:r w:rsidRPr="007F0FA7">
        <w:rPr>
          <w:rFonts w:ascii="Humanst521 BT" w:hAnsi="Humanst521 BT"/>
          <w:sz w:val="22"/>
          <w:szCs w:val="22"/>
        </w:rPr>
        <w:t>marcha</w:t>
      </w:r>
      <w:r w:rsidRPr="007F0FA7">
        <w:rPr>
          <w:rFonts w:ascii="Humanst521 BT" w:hAnsi="Humanst521 BT"/>
          <w:spacing w:val="-7"/>
          <w:sz w:val="22"/>
          <w:szCs w:val="22"/>
        </w:rPr>
        <w:t xml:space="preserve"> </w:t>
      </w:r>
      <w:r w:rsidRPr="007F0FA7">
        <w:rPr>
          <w:rFonts w:ascii="Humanst521 BT" w:hAnsi="Humanst521 BT"/>
          <w:sz w:val="22"/>
          <w:szCs w:val="22"/>
        </w:rPr>
        <w:t>de</w:t>
      </w:r>
      <w:r w:rsidRPr="007F0FA7">
        <w:rPr>
          <w:rFonts w:ascii="Humanst521 BT" w:hAnsi="Humanst521 BT"/>
          <w:spacing w:val="-6"/>
          <w:sz w:val="22"/>
          <w:szCs w:val="22"/>
        </w:rPr>
        <w:t xml:space="preserve"> </w:t>
      </w:r>
      <w:r w:rsidRPr="007F0FA7">
        <w:rPr>
          <w:rFonts w:ascii="Humanst521 BT" w:hAnsi="Humanst521 BT"/>
          <w:sz w:val="22"/>
          <w:szCs w:val="22"/>
        </w:rPr>
        <w:t>acciones integrales y efectivas para eliminarlas, disminuirlas o mitigarlas (Ministerio de Salud y Protección Social , 2015).</w:t>
      </w:r>
    </w:p>
    <w:p w14:paraId="0CA94689" w14:textId="77777777" w:rsidR="00206CA5" w:rsidRPr="007F0FA7" w:rsidRDefault="007C1956" w:rsidP="00093B44">
      <w:pPr>
        <w:pStyle w:val="Textoindependiente"/>
        <w:ind w:left="342" w:right="380"/>
        <w:jc w:val="both"/>
        <w:rPr>
          <w:rFonts w:ascii="Humanst521 BT" w:hAnsi="Humanst521 BT"/>
          <w:spacing w:val="-5"/>
          <w:sz w:val="22"/>
          <w:szCs w:val="22"/>
        </w:rPr>
      </w:pPr>
      <w:r w:rsidRPr="007F0FA7">
        <w:rPr>
          <w:rFonts w:ascii="Humanst521 BT" w:hAnsi="Humanst521 BT"/>
          <w:sz w:val="22"/>
          <w:szCs w:val="22"/>
        </w:rPr>
        <w:t>En este marco se requiere la descripción de las estrategias y acciones, dirigidas</w:t>
      </w:r>
      <w:r w:rsidRPr="007F0FA7">
        <w:rPr>
          <w:rFonts w:ascii="Humanst521 BT" w:hAnsi="Humanst521 BT"/>
          <w:spacing w:val="24"/>
          <w:sz w:val="22"/>
          <w:szCs w:val="22"/>
        </w:rPr>
        <w:t xml:space="preserve"> </w:t>
      </w:r>
      <w:r w:rsidRPr="007F0FA7">
        <w:rPr>
          <w:rFonts w:ascii="Humanst521 BT" w:hAnsi="Humanst521 BT"/>
          <w:sz w:val="22"/>
          <w:szCs w:val="22"/>
        </w:rPr>
        <w:t>a</w:t>
      </w:r>
      <w:r w:rsidRPr="007F0FA7">
        <w:rPr>
          <w:rFonts w:ascii="Humanst521 BT" w:hAnsi="Humanst521 BT"/>
          <w:spacing w:val="29"/>
          <w:sz w:val="22"/>
          <w:szCs w:val="22"/>
        </w:rPr>
        <w:t xml:space="preserve"> </w:t>
      </w:r>
      <w:r w:rsidRPr="007F0FA7">
        <w:rPr>
          <w:rFonts w:ascii="Humanst521 BT" w:hAnsi="Humanst521 BT"/>
          <w:sz w:val="22"/>
          <w:szCs w:val="22"/>
        </w:rPr>
        <w:t>la</w:t>
      </w:r>
      <w:r w:rsidRPr="007F0FA7">
        <w:rPr>
          <w:rFonts w:ascii="Humanst521 BT" w:hAnsi="Humanst521 BT"/>
          <w:spacing w:val="26"/>
          <w:sz w:val="22"/>
          <w:szCs w:val="22"/>
        </w:rPr>
        <w:t xml:space="preserve"> </w:t>
      </w:r>
      <w:r w:rsidRPr="007F0FA7">
        <w:rPr>
          <w:rFonts w:ascii="Humanst521 BT" w:hAnsi="Humanst521 BT"/>
          <w:sz w:val="22"/>
          <w:szCs w:val="22"/>
        </w:rPr>
        <w:t>transformación</w:t>
      </w:r>
      <w:r w:rsidRPr="007F0FA7">
        <w:rPr>
          <w:rFonts w:ascii="Humanst521 BT" w:hAnsi="Humanst521 BT"/>
          <w:spacing w:val="25"/>
          <w:sz w:val="22"/>
          <w:szCs w:val="22"/>
        </w:rPr>
        <w:t xml:space="preserve"> </w:t>
      </w:r>
      <w:r w:rsidRPr="007F0FA7">
        <w:rPr>
          <w:rFonts w:ascii="Humanst521 BT" w:hAnsi="Humanst521 BT"/>
          <w:sz w:val="22"/>
          <w:szCs w:val="22"/>
        </w:rPr>
        <w:t>de</w:t>
      </w:r>
      <w:r w:rsidRPr="007F0FA7">
        <w:rPr>
          <w:rFonts w:ascii="Humanst521 BT" w:hAnsi="Humanst521 BT"/>
          <w:spacing w:val="28"/>
          <w:sz w:val="22"/>
          <w:szCs w:val="22"/>
        </w:rPr>
        <w:t xml:space="preserve"> </w:t>
      </w:r>
      <w:r w:rsidRPr="007F0FA7">
        <w:rPr>
          <w:rFonts w:ascii="Humanst521 BT" w:hAnsi="Humanst521 BT"/>
          <w:sz w:val="22"/>
          <w:szCs w:val="22"/>
        </w:rPr>
        <w:t>la</w:t>
      </w:r>
      <w:r w:rsidRPr="007F0FA7">
        <w:rPr>
          <w:rFonts w:ascii="Humanst521 BT" w:hAnsi="Humanst521 BT"/>
          <w:spacing w:val="26"/>
          <w:sz w:val="22"/>
          <w:szCs w:val="22"/>
        </w:rPr>
        <w:t xml:space="preserve"> </w:t>
      </w:r>
      <w:r w:rsidRPr="007F0FA7">
        <w:rPr>
          <w:rFonts w:ascii="Humanst521 BT" w:hAnsi="Humanst521 BT"/>
          <w:sz w:val="22"/>
          <w:szCs w:val="22"/>
        </w:rPr>
        <w:t>realidad</w:t>
      </w:r>
      <w:r w:rsidRPr="007F0FA7">
        <w:rPr>
          <w:rFonts w:ascii="Humanst521 BT" w:hAnsi="Humanst521 BT"/>
          <w:spacing w:val="26"/>
          <w:sz w:val="22"/>
          <w:szCs w:val="22"/>
        </w:rPr>
        <w:t xml:space="preserve"> </w:t>
      </w:r>
      <w:r w:rsidRPr="007F0FA7">
        <w:rPr>
          <w:rFonts w:ascii="Humanst521 BT" w:hAnsi="Humanst521 BT"/>
          <w:sz w:val="22"/>
          <w:szCs w:val="22"/>
        </w:rPr>
        <w:t>social</w:t>
      </w:r>
      <w:r w:rsidRPr="007F0FA7">
        <w:rPr>
          <w:rFonts w:ascii="Humanst521 BT" w:hAnsi="Humanst521 BT"/>
          <w:spacing w:val="25"/>
          <w:sz w:val="22"/>
          <w:szCs w:val="22"/>
        </w:rPr>
        <w:t xml:space="preserve"> </w:t>
      </w:r>
      <w:r w:rsidRPr="007F0FA7">
        <w:rPr>
          <w:rFonts w:ascii="Humanst521 BT" w:hAnsi="Humanst521 BT"/>
          <w:sz w:val="22"/>
          <w:szCs w:val="22"/>
        </w:rPr>
        <w:t>del</w:t>
      </w:r>
      <w:r w:rsidRPr="007F0FA7">
        <w:rPr>
          <w:rFonts w:ascii="Humanst521 BT" w:hAnsi="Humanst521 BT"/>
          <w:spacing w:val="28"/>
          <w:sz w:val="22"/>
          <w:szCs w:val="22"/>
        </w:rPr>
        <w:t xml:space="preserve"> </w:t>
      </w:r>
      <w:r w:rsidRPr="007F0FA7">
        <w:rPr>
          <w:rFonts w:ascii="Humanst521 BT" w:hAnsi="Humanst521 BT"/>
          <w:sz w:val="22"/>
          <w:szCs w:val="22"/>
        </w:rPr>
        <w:t>territorio,</w:t>
      </w:r>
      <w:r w:rsidRPr="007F0FA7">
        <w:rPr>
          <w:rFonts w:ascii="Humanst521 BT" w:hAnsi="Humanst521 BT"/>
          <w:spacing w:val="26"/>
          <w:sz w:val="22"/>
          <w:szCs w:val="22"/>
        </w:rPr>
        <w:t xml:space="preserve"> </w:t>
      </w:r>
      <w:r w:rsidRPr="007F0FA7">
        <w:rPr>
          <w:rFonts w:ascii="Humanst521 BT" w:hAnsi="Humanst521 BT"/>
          <w:sz w:val="22"/>
          <w:szCs w:val="22"/>
        </w:rPr>
        <w:t>para</w:t>
      </w:r>
      <w:r w:rsidRPr="007F0FA7">
        <w:rPr>
          <w:rFonts w:ascii="Humanst521 BT" w:hAnsi="Humanst521 BT"/>
          <w:spacing w:val="27"/>
          <w:sz w:val="22"/>
          <w:szCs w:val="22"/>
        </w:rPr>
        <w:t xml:space="preserve"> </w:t>
      </w:r>
      <w:r w:rsidRPr="007F0FA7">
        <w:rPr>
          <w:rFonts w:ascii="Humanst521 BT" w:hAnsi="Humanst521 BT"/>
          <w:spacing w:val="-5"/>
          <w:sz w:val="22"/>
          <w:szCs w:val="22"/>
        </w:rPr>
        <w:t>el</w:t>
      </w:r>
      <w:r w:rsidR="00BC49D0" w:rsidRPr="007F0FA7">
        <w:rPr>
          <w:rFonts w:ascii="Humanst521 BT" w:hAnsi="Humanst521 BT"/>
          <w:spacing w:val="-5"/>
          <w:sz w:val="22"/>
          <w:szCs w:val="22"/>
        </w:rPr>
        <w:t xml:space="preserve"> </w:t>
      </w:r>
      <w:r w:rsidR="00BC49D0" w:rsidRPr="007F0FA7">
        <w:rPr>
          <w:rFonts w:ascii="Humanst521 BT" w:hAnsi="Humanst521 BT"/>
          <w:sz w:val="22"/>
          <w:szCs w:val="22"/>
        </w:rPr>
        <w:t>logro de una mejor salud de su población afiliada, que se realizan de manera conjunta con la Entidad territorial</w:t>
      </w:r>
      <w:r w:rsidR="00E01D65" w:rsidRPr="007F0FA7">
        <w:rPr>
          <w:rFonts w:ascii="Humanst521 BT" w:hAnsi="Humanst521 BT"/>
          <w:sz w:val="22"/>
          <w:szCs w:val="22"/>
        </w:rPr>
        <w:t>.</w:t>
      </w:r>
      <w:r w:rsidR="00303A7E" w:rsidRPr="007F0FA7">
        <w:rPr>
          <w:rFonts w:ascii="Humanst521 BT" w:hAnsi="Humanst521 BT"/>
          <w:spacing w:val="-5"/>
          <w:sz w:val="22"/>
          <w:szCs w:val="22"/>
        </w:rPr>
        <w:t xml:space="preserve"> </w:t>
      </w:r>
    </w:p>
    <w:p w14:paraId="06DFDA51" w14:textId="77777777" w:rsidR="00206CA5" w:rsidRPr="007F0FA7" w:rsidRDefault="00206CA5" w:rsidP="00093B44">
      <w:pPr>
        <w:pStyle w:val="Textoindependiente"/>
        <w:ind w:left="342" w:right="380"/>
        <w:jc w:val="both"/>
        <w:rPr>
          <w:rFonts w:ascii="Humanst521 BT" w:hAnsi="Humanst521 BT"/>
          <w:spacing w:val="-5"/>
          <w:sz w:val="22"/>
          <w:szCs w:val="22"/>
        </w:rPr>
      </w:pPr>
    </w:p>
    <w:p w14:paraId="6A84126D" w14:textId="77777777" w:rsidR="0043389D" w:rsidRPr="007F0FA7" w:rsidRDefault="0043389D" w:rsidP="00093B44">
      <w:pPr>
        <w:pStyle w:val="Textoindependiente"/>
        <w:ind w:left="342" w:right="380"/>
        <w:jc w:val="both"/>
        <w:rPr>
          <w:rFonts w:ascii="Humanst521 BT" w:hAnsi="Humanst521 BT"/>
          <w:spacing w:val="-5"/>
          <w:sz w:val="22"/>
          <w:szCs w:val="22"/>
        </w:rPr>
      </w:pPr>
    </w:p>
    <w:p w14:paraId="5DC44BCB" w14:textId="77777777" w:rsidR="0043389D" w:rsidRPr="0000348F" w:rsidRDefault="0043389D" w:rsidP="00093B44">
      <w:pPr>
        <w:pStyle w:val="Textoindependiente"/>
        <w:ind w:left="342" w:right="380"/>
        <w:jc w:val="both"/>
        <w:rPr>
          <w:rFonts w:ascii="Humanst521 BT" w:hAnsi="Humanst521 BT"/>
          <w:spacing w:val="-5"/>
          <w:sz w:val="32"/>
          <w:szCs w:val="32"/>
        </w:rPr>
      </w:pPr>
    </w:p>
    <w:bookmarkStart w:id="11" w:name="_Toc231286783"/>
    <w:p w14:paraId="4843FFBA" w14:textId="43860F03" w:rsidR="00244200" w:rsidRPr="00631473" w:rsidRDefault="007C1956" w:rsidP="00D05088">
      <w:pPr>
        <w:pStyle w:val="Textoindependiente"/>
        <w:numPr>
          <w:ilvl w:val="0"/>
          <w:numId w:val="1"/>
        </w:numPr>
        <w:ind w:right="380"/>
        <w:jc w:val="both"/>
        <w:outlineLvl w:val="0"/>
        <w:rPr>
          <w:rFonts w:ascii="Humanst521 BT" w:eastAsiaTheme="majorEastAsia" w:hAnsi="Humanst521 BT" w:cstheme="majorBidi"/>
          <w:b/>
          <w:bCs/>
          <w:color w:val="2F5496" w:themeColor="accent1" w:themeShade="BF"/>
          <w:sz w:val="32"/>
          <w:szCs w:val="32"/>
          <w:lang w:eastAsia="es-CO"/>
        </w:rPr>
      </w:pPr>
      <w:r w:rsidRPr="0000348F">
        <w:rPr>
          <w:rFonts w:ascii="Humanst521 BT" w:hAnsi="Humanst521 BT"/>
          <w:noProof/>
          <w:sz w:val="32"/>
          <w:szCs w:val="32"/>
        </w:rPr>
        <mc:AlternateContent>
          <mc:Choice Requires="wpg">
            <w:drawing>
              <wp:anchor distT="0" distB="0" distL="0" distR="0" simplePos="0" relativeHeight="251685376" behindDoc="0" locked="0" layoutInCell="1" allowOverlap="1" wp14:anchorId="73138BFE" wp14:editId="3E19E8C3">
                <wp:simplePos x="0" y="0"/>
                <wp:positionH relativeFrom="page">
                  <wp:posOffset>7636509</wp:posOffset>
                </wp:positionH>
                <wp:positionV relativeFrom="page">
                  <wp:posOffset>0</wp:posOffset>
                </wp:positionV>
                <wp:extent cx="135890" cy="196342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131" name="Graphic 131"/>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132" name="Graphic 132"/>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133" name="Graphic 133"/>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134" name="Graphic 134"/>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15B8DFFA" id="Group 130" o:spid="_x0000_s1026" style="position:absolute;margin-left:601.3pt;margin-top:0;width:10.7pt;height:154.6pt;z-index:251685376;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">
                <v:shape id="Graphic 131"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" path="m,473467r135889,1l135889,,,,,473467xe" fillcolor="#33aea3" stroked="f">
                  <v:path arrowok="t"/>
                </v:shape>
                <v:shape id="Graphic 132"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" path="m,l,498641r135889,l135889,,,xe" fillcolor="#5cbeb6" stroked="f">
                  <v:path arrowok="t"/>
                </v:shape>
                <v:shape id="Graphic 133"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" path="m,l,498615r135889,1l135889,,,xe" fillcolor="#85cfc7" stroked="f">
                  <v:path arrowok="t"/>
                </v:shape>
                <v:shape id="Graphic 134"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" path="m,498424r135889,l135889,,,,,498424xe" fillcolor="#d5eeec" stroked="f">
                  <v:path arrowok="t"/>
                </v:shape>
                <w10:wrap anchorx="page" anchory="page"/>
              </v:group>
            </w:pict>
          </mc:Fallback>
        </mc:AlternateContent>
      </w:r>
      <w:r w:rsidR="00092228" w:rsidRPr="0000348F">
        <w:rPr>
          <w:rFonts w:ascii="Humanst521 BT" w:eastAsiaTheme="majorEastAsia" w:hAnsi="Humanst521 BT" w:cstheme="majorBidi"/>
          <w:b/>
          <w:bCs/>
          <w:color w:val="2F5496" w:themeColor="accent1" w:themeShade="BF"/>
          <w:sz w:val="32"/>
          <w:szCs w:val="32"/>
          <w:lang w:eastAsia="es-CO"/>
        </w:rPr>
        <w:t>ANÁLISIS DE LAS CONDICIONES DE SALUD DE LA POBLACIÓN</w:t>
      </w:r>
      <w:r w:rsidR="00092228" w:rsidRPr="00631473">
        <w:rPr>
          <w:rFonts w:ascii="Humanst521 BT" w:eastAsiaTheme="majorEastAsia" w:hAnsi="Humanst521 BT" w:cstheme="majorBidi"/>
          <w:b/>
          <w:bCs/>
          <w:color w:val="2F5496" w:themeColor="accent1" w:themeShade="BF"/>
          <w:sz w:val="32"/>
          <w:szCs w:val="32"/>
          <w:lang w:eastAsia="es-CO"/>
        </w:rPr>
        <w:t xml:space="preserve"> AFILIADA UISALUD</w:t>
      </w:r>
      <w:bookmarkEnd w:id="11"/>
    </w:p>
    <w:p w14:paraId="73B655BD" w14:textId="77777777" w:rsidR="00244200" w:rsidRPr="007F0FA7" w:rsidRDefault="007C1956" w:rsidP="00093B44">
      <w:pPr>
        <w:pStyle w:val="Textoindependiente"/>
        <w:spacing w:before="10"/>
        <w:rPr>
          <w:rFonts w:ascii="Humanst521 BT" w:hAnsi="Humanst521 BT"/>
          <w:sz w:val="22"/>
          <w:szCs w:val="22"/>
        </w:rPr>
      </w:pPr>
      <w:r w:rsidRPr="007F0FA7">
        <w:rPr>
          <w:rFonts w:ascii="Humanst521 BT" w:hAnsi="Humanst521 BT"/>
          <w:noProof/>
          <w:sz w:val="22"/>
          <w:szCs w:val="22"/>
        </w:rPr>
        <mc:AlternateContent>
          <mc:Choice Requires="wps">
            <w:drawing>
              <wp:anchor distT="0" distB="0" distL="0" distR="0" simplePos="0" relativeHeight="251865600" behindDoc="1" locked="0" layoutInCell="1" allowOverlap="1" wp14:anchorId="0CC3FB5A" wp14:editId="558E5BCC">
                <wp:simplePos x="0" y="0"/>
                <wp:positionH relativeFrom="page">
                  <wp:posOffset>1080135</wp:posOffset>
                </wp:positionH>
                <wp:positionV relativeFrom="paragraph">
                  <wp:posOffset>161094</wp:posOffset>
                </wp:positionV>
                <wp:extent cx="4967605" cy="127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7605" cy="1270"/>
                        </a:xfrm>
                        <a:custGeom>
                          <a:avLst/>
                          <a:gdLst/>
                          <a:ahLst/>
                          <a:cxnLst/>
                          <a:rect l="l" t="t" r="r" b="b"/>
                          <a:pathLst>
                            <a:path w="4967605">
                              <a:moveTo>
                                <a:pt x="0" y="0"/>
                              </a:moveTo>
                              <a:lnTo>
                                <a:pt x="4967605" y="0"/>
                              </a:lnTo>
                            </a:path>
                          </a:pathLst>
                        </a:custGeom>
                        <a:ln w="12700">
                          <a:solidFill>
                            <a:srgbClr val="31B0A4"/>
                          </a:solidFill>
                          <a:prstDash val="solid"/>
                        </a:ln>
                      </wps:spPr>
                      <wps:bodyPr wrap="square" lIns="0" tIns="0" rIns="0" bIns="0" rtlCol="0">
                        <a:prstTxWarp prst="textNoShape">
                          <a:avLst/>
                        </a:prstTxWarp>
                        <a:noAutofit/>
                      </wps:bodyPr>
                    </wps:wsp>
                  </a:graphicData>
                </a:graphic>
              </wp:anchor>
            </w:drawing>
          </mc:Choice>
          <mc:Fallback>
            <w:pict>
              <v:shape w14:anchorId="4F8A3B44" id="Graphic 135" o:spid="_x0000_s1026" style="position:absolute;margin-left:85.05pt;margin-top:12.7pt;width:391.15pt;height:.1pt;z-index:-251450880;visibility:visible;mso-wrap-style:square;mso-wrap-distance-left:0;mso-wrap-distance-top:0;mso-wrap-distance-right:0;mso-wrap-distance-bottom:0;mso-position-horizontal:absolute;mso-position-horizontal-relative:page;mso-position-vertical:absolute;mso-position-vertical-relative:text;v-text-anchor:top" coordsize="4967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" path="m,l4967605,e" filled="f" strokecolor="#31b0a4" strokeweight="1pt">
                <v:path arrowok="t"/>
                <w10:wrap type="topAndBottom" anchorx="page"/>
              </v:shape>
            </w:pict>
          </mc:Fallback>
        </mc:AlternateContent>
      </w:r>
    </w:p>
    <w:p w14:paraId="33054B68" w14:textId="77777777" w:rsidR="00BD091A" w:rsidRPr="007F0FA7" w:rsidRDefault="00BD091A" w:rsidP="00093B44">
      <w:pPr>
        <w:widowControl/>
        <w:autoSpaceDE/>
        <w:autoSpaceDN/>
        <w:spacing w:before="100" w:beforeAutospacing="1" w:after="100" w:afterAutospacing="1"/>
        <w:jc w:val="both"/>
        <w:rPr>
          <w:rFonts w:ascii="Humanst521 BT" w:hAnsi="Humanst521 BT"/>
        </w:rPr>
      </w:pPr>
      <w:r w:rsidRPr="007F0FA7">
        <w:rPr>
          <w:rFonts w:ascii="Humanst521 BT" w:hAnsi="Humanst521 BT"/>
        </w:rPr>
        <w:t>Como UISALUD, el análisis de las condiciones de salud de nuestra población afiliada se realiza para cada departamento, distrito, municipio y régimen en los cuales contamos con afiliados. Para ello, utilizamos la clasificación establecida en la Base de Datos Única de Afiliados (BDUA), que considera como afiliado a las personas en estado activo, suspendido y en protección laboral, información que consultamos a través del Sistema Integrado de Información de la Protección Social (SISPRO), a partir de las estadísticas de afiliados a salud según el corte de junio de cada año en curso.</w:t>
      </w:r>
    </w:p>
    <w:p w14:paraId="6D2A9511" w14:textId="77777777" w:rsidR="00BD091A" w:rsidRPr="007F0FA7" w:rsidRDefault="00BD091A" w:rsidP="00093B44">
      <w:pPr>
        <w:widowControl/>
        <w:autoSpaceDE/>
        <w:autoSpaceDN/>
        <w:spacing w:before="100" w:beforeAutospacing="1" w:after="100" w:afterAutospacing="1"/>
        <w:jc w:val="both"/>
        <w:rPr>
          <w:rFonts w:ascii="Humanst521 BT" w:hAnsi="Humanst521 BT"/>
        </w:rPr>
      </w:pPr>
      <w:r w:rsidRPr="007F0FA7">
        <w:rPr>
          <w:rFonts w:ascii="Humanst521 BT" w:hAnsi="Humanst521 BT"/>
        </w:rPr>
        <w:t>Una vez desarrollado este análisis, lo presentamos a las entidades territoriales de salud, al Ministerio de Salud y Protección Social, y al público en general en documentos claros y concisos. Estos documentos destacan los hallazgos más relevantes en salud de nuestra población afiliada en el territorio, así como las acciones conjuntas que realizamos con las entidades territoriales de salud para mitigar dichos hallazgos. Además, el Ministerio de Salud y Protección Social ofrece servicios de información pública a través del SISPRO, con cortes oficiales que permiten una mejor comprensión de la situación de salud.</w:t>
      </w:r>
    </w:p>
    <w:p w14:paraId="15A5A789" w14:textId="77777777" w:rsidR="00BD091A" w:rsidRPr="007F0FA7" w:rsidRDefault="00BD091A" w:rsidP="00093B44">
      <w:pPr>
        <w:widowControl/>
        <w:autoSpaceDE/>
        <w:autoSpaceDN/>
        <w:spacing w:before="100" w:beforeAutospacing="1" w:after="100" w:afterAutospacing="1"/>
        <w:jc w:val="both"/>
        <w:rPr>
          <w:rFonts w:ascii="Humanst521 BT" w:hAnsi="Humanst521 BT"/>
        </w:rPr>
      </w:pPr>
      <w:r w:rsidRPr="007F0FA7">
        <w:rPr>
          <w:rFonts w:ascii="Humanst521 BT" w:hAnsi="Humanst521 BT"/>
        </w:rPr>
        <w:t>Es responsabilidad de UISALUD, dentro de nuestra capacidad técnico-científica, contar con sistemas de información y gestión del conocimiento estructurados. Esto nos permite generar indicadores propios y buscar información adicional para completar el análisis, asegurándonos de que la información utilizada cumpla con estándares mínimos de calidad, coherencia, consistencia y cobertura, con el fin de presentar un análisis de la situación de salud ajustado a la realidad de cada territorio.</w:t>
      </w:r>
    </w:p>
    <w:p w14:paraId="0F18FE13" w14:textId="77777777" w:rsidR="00BD091A" w:rsidRPr="007F0FA7" w:rsidRDefault="00BD091A" w:rsidP="00093B44">
      <w:pPr>
        <w:widowControl/>
        <w:autoSpaceDE/>
        <w:autoSpaceDN/>
        <w:spacing w:before="100" w:beforeAutospacing="1" w:after="100" w:afterAutospacing="1"/>
        <w:jc w:val="both"/>
        <w:rPr>
          <w:rFonts w:ascii="Humanst521 BT" w:hAnsi="Humanst521 BT"/>
        </w:rPr>
      </w:pPr>
      <w:r w:rsidRPr="007F0FA7">
        <w:rPr>
          <w:rFonts w:ascii="Humanst521 BT" w:hAnsi="Humanst521 BT"/>
        </w:rPr>
        <w:t>Siguiendo el marco conceptual y aprovechando las diversas fuentes de información disponibles, desarrollamos cada capítulo del documento de análisis de las condiciones de salud de nuestra población afiliada, asegurándonos de cumplir con las orientaciones mínimas necesarias para la elaboración de este informe.</w:t>
      </w:r>
    </w:p>
    <w:p w14:paraId="120269A8" w14:textId="77777777" w:rsidR="00BD091A" w:rsidRDefault="00BD091A" w:rsidP="00093B44">
      <w:pPr>
        <w:widowControl/>
        <w:autoSpaceDE/>
        <w:autoSpaceDN/>
        <w:spacing w:before="100" w:beforeAutospacing="1" w:after="100" w:afterAutospacing="1"/>
        <w:jc w:val="both"/>
        <w:rPr>
          <w:rFonts w:ascii="Humanst521 BT" w:hAnsi="Humanst521 BT"/>
        </w:rPr>
      </w:pPr>
    </w:p>
    <w:p w14:paraId="3AE8BC50" w14:textId="77777777" w:rsidR="00DF3396" w:rsidRDefault="00DF3396" w:rsidP="00093B44">
      <w:pPr>
        <w:widowControl/>
        <w:autoSpaceDE/>
        <w:autoSpaceDN/>
        <w:spacing w:before="100" w:beforeAutospacing="1" w:after="100" w:afterAutospacing="1"/>
        <w:jc w:val="both"/>
        <w:rPr>
          <w:rFonts w:ascii="Humanst521 BT" w:hAnsi="Humanst521 BT"/>
        </w:rPr>
      </w:pPr>
    </w:p>
    <w:p w14:paraId="7B1642DD" w14:textId="77777777" w:rsidR="00DF3396" w:rsidRDefault="00DF3396" w:rsidP="00093B44">
      <w:pPr>
        <w:widowControl/>
        <w:autoSpaceDE/>
        <w:autoSpaceDN/>
        <w:spacing w:before="100" w:beforeAutospacing="1" w:after="100" w:afterAutospacing="1"/>
        <w:jc w:val="both"/>
        <w:rPr>
          <w:rFonts w:ascii="Humanst521 BT" w:hAnsi="Humanst521 BT"/>
        </w:rPr>
      </w:pPr>
    </w:p>
    <w:p w14:paraId="11B4E9E4" w14:textId="77777777" w:rsidR="00DF3396" w:rsidRDefault="00DF3396" w:rsidP="00093B44">
      <w:pPr>
        <w:widowControl/>
        <w:autoSpaceDE/>
        <w:autoSpaceDN/>
        <w:spacing w:before="100" w:beforeAutospacing="1" w:after="100" w:afterAutospacing="1"/>
        <w:jc w:val="both"/>
        <w:rPr>
          <w:rFonts w:ascii="Humanst521 BT" w:hAnsi="Humanst521 BT"/>
        </w:rPr>
      </w:pPr>
    </w:p>
    <w:p w14:paraId="78A8D057" w14:textId="77777777" w:rsidR="00DF3396" w:rsidRDefault="00DF3396" w:rsidP="00093B44">
      <w:pPr>
        <w:widowControl/>
        <w:autoSpaceDE/>
        <w:autoSpaceDN/>
        <w:spacing w:before="100" w:beforeAutospacing="1" w:after="100" w:afterAutospacing="1"/>
        <w:jc w:val="both"/>
        <w:rPr>
          <w:rFonts w:ascii="Humanst521 BT" w:hAnsi="Humanst521 BT"/>
        </w:rPr>
      </w:pPr>
    </w:p>
    <w:p w14:paraId="29ED2DFE" w14:textId="77777777" w:rsidR="00DF3396" w:rsidRDefault="00DF3396" w:rsidP="00093B44">
      <w:pPr>
        <w:widowControl/>
        <w:autoSpaceDE/>
        <w:autoSpaceDN/>
        <w:spacing w:before="100" w:beforeAutospacing="1" w:after="100" w:afterAutospacing="1"/>
        <w:jc w:val="both"/>
        <w:rPr>
          <w:rFonts w:ascii="Humanst521 BT" w:hAnsi="Humanst521 BT"/>
        </w:rPr>
      </w:pPr>
    </w:p>
    <w:p w14:paraId="70FA56C7" w14:textId="77777777" w:rsidR="00DF3396" w:rsidRPr="007F0FA7" w:rsidRDefault="00DF3396" w:rsidP="00093B44">
      <w:pPr>
        <w:widowControl/>
        <w:autoSpaceDE/>
        <w:autoSpaceDN/>
        <w:spacing w:before="100" w:beforeAutospacing="1" w:after="100" w:afterAutospacing="1"/>
        <w:jc w:val="both"/>
        <w:rPr>
          <w:rFonts w:ascii="Humanst521 BT" w:hAnsi="Humanst521 BT"/>
        </w:rPr>
      </w:pPr>
    </w:p>
    <w:p w14:paraId="25965326" w14:textId="2531B573" w:rsidR="00244200" w:rsidRDefault="00092228" w:rsidP="00FF2385">
      <w:pPr>
        <w:pStyle w:val="Ttulo2"/>
        <w:numPr>
          <w:ilvl w:val="1"/>
          <w:numId w:val="1"/>
        </w:numPr>
        <w:tabs>
          <w:tab w:val="left" w:pos="769"/>
          <w:tab w:val="left" w:pos="1755"/>
        </w:tabs>
        <w:ind w:right="379"/>
        <w:rPr>
          <w:rFonts w:ascii="Humanst521 BT" w:hAnsi="Humanst521 BT"/>
          <w:sz w:val="22"/>
          <w:szCs w:val="22"/>
        </w:rPr>
      </w:pPr>
      <w:bookmarkStart w:id="12" w:name="_Toc231286784"/>
      <w:r w:rsidRPr="00FF396E">
        <w:rPr>
          <w:rFonts w:ascii="Humanst521 BT" w:eastAsiaTheme="majorEastAsia" w:hAnsi="Humanst521 BT" w:cstheme="majorBidi"/>
          <w:color w:val="2F5496" w:themeColor="accent1" w:themeShade="BF"/>
          <w:sz w:val="28"/>
          <w:szCs w:val="28"/>
          <w:lang w:eastAsia="es-CO"/>
        </w:rPr>
        <w:lastRenderedPageBreak/>
        <w:t>CAPÍTULO 1. CONFIGURACIÓN DEL TERRITORIO DESDE LA PERSPECTIVA DE LOS DETERMINANTES SOCIALES DE LA SALUD Y EL ENFOQUE DIFERENCIAL</w:t>
      </w:r>
      <w:r w:rsidR="007C1956" w:rsidRPr="007F0FA7">
        <w:rPr>
          <w:rFonts w:ascii="Humanst521 BT" w:hAnsi="Humanst521 BT"/>
          <w:sz w:val="22"/>
          <w:szCs w:val="22"/>
        </w:rPr>
        <w:t>.</w:t>
      </w:r>
      <w:bookmarkEnd w:id="12"/>
    </w:p>
    <w:p w14:paraId="7EE152C8" w14:textId="77777777" w:rsidR="00441CD0" w:rsidRPr="007F0FA7" w:rsidRDefault="00441CD0" w:rsidP="00441CD0">
      <w:pPr>
        <w:pStyle w:val="Ttulo2"/>
        <w:tabs>
          <w:tab w:val="left" w:pos="769"/>
          <w:tab w:val="left" w:pos="1755"/>
        </w:tabs>
        <w:ind w:right="379" w:firstLine="0"/>
        <w:rPr>
          <w:rFonts w:ascii="Humanst521 BT" w:hAnsi="Humanst521 BT"/>
          <w:sz w:val="22"/>
          <w:szCs w:val="22"/>
        </w:rPr>
      </w:pPr>
    </w:p>
    <w:p w14:paraId="19F81677" w14:textId="4CAF995C" w:rsidR="00244200" w:rsidRPr="007F0FA7" w:rsidRDefault="00DB164A" w:rsidP="00093B44">
      <w:pPr>
        <w:pStyle w:val="Textoindependiente"/>
        <w:spacing w:before="84"/>
        <w:jc w:val="both"/>
        <w:rPr>
          <w:rFonts w:ascii="Humanst521 BT" w:hAnsi="Humanst521 BT"/>
          <w:sz w:val="22"/>
          <w:szCs w:val="22"/>
        </w:rPr>
      </w:pPr>
      <w:r w:rsidRPr="007F0FA7">
        <w:rPr>
          <w:rFonts w:ascii="Humanst521 BT" w:hAnsi="Humanst521 BT"/>
          <w:sz w:val="22"/>
          <w:szCs w:val="22"/>
        </w:rPr>
        <w:t>En este capítulo, se aborda la configuración del territorio desde la perspectiva de los determinantes sociales de la salud y el enfoque diferencial. El análisis incorpora elementos clave para comprender cómo las condiciones sociales, económicas, culturales y ambientales impactan la salud de las personas, familias y comunidades en los territorios. A partir de esta perspectiva, se busca reconocer las particularidades y diversidades presentes en cada contexto territorial para orientar intervenciones más efectivas y equitativas en salu</w:t>
      </w:r>
      <w:r w:rsidR="0022233A" w:rsidRPr="007F0FA7">
        <w:rPr>
          <w:rFonts w:ascii="Humanst521 BT" w:hAnsi="Humanst521 BT"/>
          <w:sz w:val="22"/>
          <w:szCs w:val="22"/>
        </w:rPr>
        <w:t>d</w:t>
      </w:r>
    </w:p>
    <w:p w14:paraId="210876B9" w14:textId="77777777" w:rsidR="00B71360" w:rsidRPr="007F0FA7" w:rsidRDefault="00B71360" w:rsidP="00093B44">
      <w:pPr>
        <w:pStyle w:val="Textoindependiente"/>
        <w:spacing w:before="84"/>
        <w:jc w:val="both"/>
        <w:rPr>
          <w:rFonts w:ascii="Humanst521 BT" w:hAnsi="Humanst521 BT"/>
          <w:sz w:val="22"/>
          <w:szCs w:val="22"/>
        </w:rPr>
      </w:pPr>
    </w:p>
    <w:p w14:paraId="5D829132" w14:textId="37E727D9" w:rsidR="00244200" w:rsidRPr="008B1097" w:rsidRDefault="00376E00" w:rsidP="008B1097">
      <w:pPr>
        <w:pStyle w:val="Ttulo2"/>
        <w:tabs>
          <w:tab w:val="left" w:pos="769"/>
          <w:tab w:val="left" w:pos="1755"/>
        </w:tabs>
        <w:ind w:right="379"/>
        <w:rPr>
          <w:rFonts w:ascii="Humanst521 BT" w:eastAsiaTheme="majorEastAsia" w:hAnsi="Humanst521 BT" w:cstheme="majorBidi"/>
          <w:color w:val="2F5496" w:themeColor="accent1" w:themeShade="BF"/>
          <w:sz w:val="24"/>
          <w:szCs w:val="24"/>
          <w:lang w:eastAsia="es-CO"/>
        </w:rPr>
      </w:pPr>
      <w:bookmarkStart w:id="13" w:name="_Toc231286785"/>
      <w:r w:rsidRPr="008B1097">
        <w:rPr>
          <w:rFonts w:ascii="Humanst521 BT" w:hAnsi="Humanst521 BT"/>
          <w:color w:val="2F5496" w:themeColor="accent1" w:themeShade="BF"/>
          <w:sz w:val="24"/>
          <w:szCs w:val="24"/>
        </w:rPr>
        <w:t>5</w:t>
      </w:r>
      <w:r w:rsidRPr="008B1097">
        <w:rPr>
          <w:rFonts w:ascii="Humanst521 BT" w:eastAsiaTheme="majorEastAsia" w:hAnsi="Humanst521 BT" w:cstheme="majorBidi"/>
          <w:color w:val="2F5496" w:themeColor="accent1" w:themeShade="BF"/>
          <w:sz w:val="24"/>
          <w:szCs w:val="24"/>
          <w:lang w:eastAsia="es-CO"/>
        </w:rPr>
        <w:t>.1.1.</w:t>
      </w:r>
      <w:r w:rsidR="005C4E1F" w:rsidRPr="008B1097">
        <w:rPr>
          <w:rFonts w:ascii="Humanst521 BT" w:eastAsiaTheme="majorEastAsia" w:hAnsi="Humanst521 BT" w:cstheme="majorBidi"/>
          <w:color w:val="2F5496" w:themeColor="accent1" w:themeShade="BF"/>
          <w:sz w:val="24"/>
          <w:szCs w:val="24"/>
          <w:lang w:eastAsia="es-CO"/>
        </w:rPr>
        <w:t xml:space="preserve"> </w:t>
      </w:r>
      <w:r w:rsidR="007C1956" w:rsidRPr="008B1097">
        <w:rPr>
          <w:rFonts w:ascii="Humanst521 BT" w:eastAsiaTheme="majorEastAsia" w:hAnsi="Humanst521 BT" w:cstheme="majorBidi"/>
          <w:color w:val="2F5496" w:themeColor="accent1" w:themeShade="BF"/>
          <w:sz w:val="24"/>
          <w:szCs w:val="24"/>
          <w:lang w:eastAsia="es-CO"/>
        </w:rPr>
        <w:t>Configuración espacial, demográfica y socio-ambiental</w:t>
      </w:r>
      <w:bookmarkEnd w:id="13"/>
    </w:p>
    <w:p w14:paraId="75090D51" w14:textId="77777777" w:rsidR="00244200" w:rsidRPr="008B1097" w:rsidRDefault="00244200" w:rsidP="008B1097">
      <w:pPr>
        <w:pStyle w:val="Ttulo2"/>
        <w:tabs>
          <w:tab w:val="left" w:pos="769"/>
          <w:tab w:val="left" w:pos="1755"/>
        </w:tabs>
        <w:ind w:right="379"/>
        <w:rPr>
          <w:rFonts w:ascii="Humanst521 BT" w:eastAsiaTheme="majorEastAsia" w:hAnsi="Humanst521 BT" w:cstheme="majorBidi"/>
          <w:color w:val="2F5496" w:themeColor="accent1" w:themeShade="BF"/>
          <w:sz w:val="24"/>
          <w:szCs w:val="24"/>
          <w:lang w:eastAsia="es-CO"/>
        </w:rPr>
      </w:pPr>
    </w:p>
    <w:bookmarkStart w:id="14" w:name="_Toc231286786"/>
    <w:p w14:paraId="3D8A895F" w14:textId="315CADCE" w:rsidR="008E7908" w:rsidRPr="001873FD" w:rsidRDefault="007C1956" w:rsidP="0020363D">
      <w:pPr>
        <w:pStyle w:val="Textoindependiente"/>
        <w:outlineLvl w:val="3"/>
        <w:rPr>
          <w:rFonts w:ascii="Humanst521 BT" w:hAnsi="Humanst521 BT"/>
          <w:b/>
          <w:bCs/>
          <w:color w:val="2F5496" w:themeColor="accent1" w:themeShade="BF"/>
          <w:sz w:val="22"/>
          <w:szCs w:val="22"/>
        </w:rPr>
      </w:pPr>
      <w:r w:rsidRPr="001873FD">
        <w:rPr>
          <w:rFonts w:ascii="Humanst521 BT" w:hAnsi="Humanst521 BT"/>
          <w:b/>
          <w:bCs/>
          <w:noProof/>
          <w:color w:val="2F5496" w:themeColor="accent1" w:themeShade="BF"/>
          <w:sz w:val="22"/>
          <w:szCs w:val="22"/>
        </w:rPr>
        <mc:AlternateContent>
          <mc:Choice Requires="wpg">
            <w:drawing>
              <wp:anchor distT="0" distB="0" distL="0" distR="0" simplePos="0" relativeHeight="251714048" behindDoc="0" locked="0" layoutInCell="1" allowOverlap="1" wp14:anchorId="3E3B2A7A" wp14:editId="6425D652">
                <wp:simplePos x="0" y="0"/>
                <wp:positionH relativeFrom="page">
                  <wp:posOffset>7636509</wp:posOffset>
                </wp:positionH>
                <wp:positionV relativeFrom="page">
                  <wp:posOffset>0</wp:posOffset>
                </wp:positionV>
                <wp:extent cx="135890" cy="196342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144" name="Graphic 144"/>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145" name="Graphic 145"/>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146" name="Graphic 146"/>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147" name="Graphic 147"/>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0E97F903" id="Group 143" o:spid="_x0000_s1026" style="position:absolute;margin-left:601.3pt;margin-top:0;width:10.7pt;height:154.6pt;z-index:251714048;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">
                <v:shape id="Graphic 144"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" path="m,473467r135889,1l135889,,,,,473467xe" fillcolor="#33aea3" stroked="f">
                  <v:path arrowok="t"/>
                </v:shape>
                <v:shape id="Graphic 145"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" path="m,l,498641r135889,l135889,,,xe" fillcolor="#5cbeb6" stroked="f">
                  <v:path arrowok="t"/>
                </v:shape>
                <v:shape id="Graphic 146"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" path="m,l,498615r135889,1l135889,,,xe" fillcolor="#85cfc7" stroked="f">
                  <v:path arrowok="t"/>
                </v:shape>
                <v:shape id="Graphic 147"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" path="m,498424r135889,l135889,,,,,498424xe" fillcolor="#d5eeec" stroked="f">
                  <v:path arrowok="t"/>
                </v:shape>
                <w10:wrap anchorx="page" anchory="page"/>
              </v:group>
            </w:pict>
          </mc:Fallback>
        </mc:AlternateContent>
      </w:r>
      <w:r w:rsidR="005C4E1F" w:rsidRPr="001873FD">
        <w:rPr>
          <w:rFonts w:ascii="Humanst521 BT" w:hAnsi="Humanst521 BT"/>
          <w:b/>
          <w:bCs/>
          <w:color w:val="2F5496" w:themeColor="accent1" w:themeShade="BF"/>
          <w:sz w:val="22"/>
          <w:szCs w:val="22"/>
        </w:rPr>
        <w:t>5.1.1.</w:t>
      </w:r>
      <w:r w:rsidR="008B042E" w:rsidRPr="001873FD">
        <w:rPr>
          <w:rFonts w:ascii="Humanst521 BT" w:hAnsi="Humanst521 BT"/>
          <w:b/>
          <w:bCs/>
          <w:color w:val="2F5496" w:themeColor="accent1" w:themeShade="BF"/>
          <w:sz w:val="22"/>
          <w:szCs w:val="22"/>
        </w:rPr>
        <w:t>1. Distribución</w:t>
      </w:r>
      <w:r w:rsidR="0023162D" w:rsidRPr="001873FD">
        <w:rPr>
          <w:rFonts w:ascii="Humanst521 BT" w:hAnsi="Humanst521 BT"/>
          <w:b/>
          <w:bCs/>
          <w:color w:val="2F5496" w:themeColor="accent1" w:themeShade="BF"/>
          <w:sz w:val="22"/>
          <w:szCs w:val="22"/>
        </w:rPr>
        <w:t xml:space="preserve"> </w:t>
      </w:r>
      <w:r w:rsidR="00A7501F" w:rsidRPr="001873FD">
        <w:rPr>
          <w:rFonts w:ascii="Humanst521 BT" w:hAnsi="Humanst521 BT"/>
          <w:b/>
          <w:bCs/>
          <w:color w:val="2F5496" w:themeColor="accent1" w:themeShade="BF"/>
          <w:sz w:val="22"/>
          <w:szCs w:val="22"/>
        </w:rPr>
        <w:t>g</w:t>
      </w:r>
      <w:r w:rsidRPr="001873FD">
        <w:rPr>
          <w:rFonts w:ascii="Humanst521 BT" w:hAnsi="Humanst521 BT"/>
          <w:b/>
          <w:bCs/>
          <w:color w:val="2F5496" w:themeColor="accent1" w:themeShade="BF"/>
          <w:sz w:val="22"/>
          <w:szCs w:val="22"/>
        </w:rPr>
        <w:t xml:space="preserve">eográfica </w:t>
      </w:r>
      <w:r w:rsidR="00CA586F" w:rsidRPr="001873FD">
        <w:rPr>
          <w:rFonts w:ascii="Humanst521 BT" w:hAnsi="Humanst521 BT"/>
          <w:b/>
          <w:bCs/>
          <w:color w:val="2F5496" w:themeColor="accent1" w:themeShade="BF"/>
          <w:sz w:val="22"/>
          <w:szCs w:val="22"/>
        </w:rPr>
        <w:t>por</w:t>
      </w:r>
      <w:r w:rsidRPr="001873FD">
        <w:rPr>
          <w:rFonts w:ascii="Humanst521 BT" w:hAnsi="Humanst521 BT"/>
          <w:b/>
          <w:bCs/>
          <w:color w:val="2F5496" w:themeColor="accent1" w:themeShade="BF"/>
          <w:sz w:val="22"/>
          <w:szCs w:val="22"/>
        </w:rPr>
        <w:t xml:space="preserve"> territorios</w:t>
      </w:r>
      <w:r w:rsidR="00CA586F" w:rsidRPr="001873FD">
        <w:rPr>
          <w:rFonts w:ascii="Humanst521 BT" w:hAnsi="Humanst521 BT"/>
          <w:b/>
          <w:bCs/>
          <w:color w:val="2F5496" w:themeColor="accent1" w:themeShade="BF"/>
          <w:sz w:val="22"/>
          <w:szCs w:val="22"/>
        </w:rPr>
        <w:t>.</w:t>
      </w:r>
      <w:bookmarkEnd w:id="14"/>
    </w:p>
    <w:p w14:paraId="2302E402" w14:textId="77777777" w:rsidR="001D723C" w:rsidRDefault="001D723C" w:rsidP="0043389D">
      <w:pPr>
        <w:rPr>
          <w:rFonts w:ascii="Humanst521 BT" w:hAnsi="Humanst521 BT"/>
        </w:rPr>
      </w:pPr>
    </w:p>
    <w:p w14:paraId="25904AE5" w14:textId="77777777" w:rsidR="006C597F" w:rsidRPr="000712D6" w:rsidRDefault="006C597F" w:rsidP="006C597F">
      <w:pPr>
        <w:pStyle w:val="Textocomentario"/>
        <w:jc w:val="both"/>
        <w:rPr>
          <w:rFonts w:ascii="Humanst521 BT" w:hAnsi="Humanst521 BT" w:cstheme="minorBidi"/>
          <w:sz w:val="22"/>
          <w:szCs w:val="22"/>
        </w:rPr>
      </w:pPr>
      <w:r w:rsidRPr="000712D6">
        <w:rPr>
          <w:rFonts w:ascii="Humanst521 BT" w:hAnsi="Humanst521 BT" w:cstheme="minorBidi"/>
          <w:sz w:val="22"/>
          <w:szCs w:val="22"/>
        </w:rPr>
        <w:t xml:space="preserve">A corte de 31 de diciembre del año 2025, la población de UISALUD fue de 2.792 afiliados, que representan el 0,0052% de la población nacional y el 0,1140% del departamento de Santander. </w:t>
      </w:r>
    </w:p>
    <w:p w14:paraId="2B95F102" w14:textId="77777777" w:rsidR="006C597F" w:rsidRPr="000712D6" w:rsidRDefault="006C597F" w:rsidP="006C597F">
      <w:pPr>
        <w:autoSpaceDE/>
        <w:autoSpaceDN/>
        <w:spacing w:before="100" w:beforeAutospacing="1" w:after="100" w:afterAutospacing="1"/>
        <w:jc w:val="both"/>
        <w:rPr>
          <w:rFonts w:ascii="Humanst521 BT" w:hAnsi="Humanst521 BT" w:cstheme="minorBidi"/>
          <w:szCs w:val="18"/>
        </w:rPr>
      </w:pPr>
      <w:r w:rsidRPr="000712D6">
        <w:rPr>
          <w:rFonts w:ascii="Humanst521 BT" w:hAnsi="Humanst521 BT" w:cstheme="minorBidi"/>
          <w:szCs w:val="18"/>
        </w:rPr>
        <w:t>Se evidencia que la mayor proporción de los afiliados de UISALUD reside en el departamento de Santander, que concentra el 97,28% del total de la población afiliada.</w:t>
      </w:r>
    </w:p>
    <w:p w14:paraId="324BADF2" w14:textId="77777777" w:rsidR="006C597F" w:rsidRPr="000712D6" w:rsidRDefault="006C597F" w:rsidP="006C597F">
      <w:pPr>
        <w:autoSpaceDE/>
        <w:autoSpaceDN/>
        <w:spacing w:before="100" w:beforeAutospacing="1" w:after="100" w:afterAutospacing="1"/>
        <w:jc w:val="both"/>
        <w:rPr>
          <w:rFonts w:ascii="Humanst521 BT" w:hAnsi="Humanst521 BT" w:cstheme="minorBidi"/>
          <w:szCs w:val="18"/>
        </w:rPr>
      </w:pPr>
      <w:r w:rsidRPr="000712D6">
        <w:rPr>
          <w:rFonts w:ascii="Humanst521 BT" w:hAnsi="Humanst521 BT" w:cstheme="minorBidi"/>
          <w:szCs w:val="18"/>
        </w:rPr>
        <w:t>Dentro de este departamento, Bucaramanga es el principal municipio de residencia, al concentrar el 65,37% de los afiliados. Adicionalmente, al considerar los municipios que conforman el área metropolitana de Bucaramanga —Bucaramanga, Floridablanca (21,35%), Piedecuesta (6,81%) y Girón (2,69%)— se observa que el 96,22% de los afiliados residentes en Santander habita en esta área, lo que confirma una alta concentración poblacional en el entorno metropolitano.</w:t>
      </w:r>
    </w:p>
    <w:p w14:paraId="1C5CFD0D" w14:textId="6F60F537" w:rsidR="006C597F" w:rsidRPr="000712D6" w:rsidRDefault="006C597F" w:rsidP="006C597F">
      <w:pPr>
        <w:autoSpaceDE/>
        <w:autoSpaceDN/>
        <w:spacing w:before="100" w:beforeAutospacing="1" w:after="100" w:afterAutospacing="1"/>
        <w:jc w:val="both"/>
        <w:rPr>
          <w:rFonts w:ascii="Humanst521 BT" w:hAnsi="Humanst521 BT" w:cstheme="minorBidi"/>
        </w:rPr>
      </w:pPr>
      <w:r w:rsidRPr="297F8CA1">
        <w:rPr>
          <w:rFonts w:ascii="Humanst521 BT" w:hAnsi="Humanst521 BT" w:cstheme="minorBidi"/>
        </w:rPr>
        <w:t>Esta distribución territorial garantiza que la gran mayoría de los afiliados tenga acceso directo a la Unidad Especializada en Salud -UISALUD, ubicada en Bucaramanga. Por su parte, los afiliados que residen en otros municipios del departamento y en departamentos diferentes a Santander son atendidos a través de la Red Universitaria de Servicios de Salud (RUSS) y de las IPS de la red contratada, conforme a los mecanismos de referencia y contrarreferencia establecidos por UISALUD.</w:t>
      </w:r>
    </w:p>
    <w:p w14:paraId="366490EC" w14:textId="0AC0020A" w:rsidR="006C597F" w:rsidRPr="000712D6" w:rsidRDefault="006C597F" w:rsidP="006C597F">
      <w:pPr>
        <w:autoSpaceDE/>
        <w:autoSpaceDN/>
        <w:jc w:val="both"/>
        <w:rPr>
          <w:rFonts w:ascii="Humanst521 BT" w:hAnsi="Humanst521 BT" w:cstheme="minorBidi"/>
        </w:rPr>
      </w:pPr>
      <w:bookmarkStart w:id="15" w:name="_Toc532822389"/>
      <w:bookmarkStart w:id="16" w:name="_Toc533147828"/>
      <w:bookmarkStart w:id="17" w:name="_Toc30428336"/>
      <w:bookmarkStart w:id="18" w:name="_Toc191305056"/>
      <w:bookmarkStart w:id="19" w:name="_Toc231286247"/>
      <w:r w:rsidRPr="000712D6">
        <w:rPr>
          <w:rFonts w:ascii="Humanst521 BT" w:hAnsi="Humanst521 BT" w:cstheme="minorBidi"/>
        </w:rPr>
        <w:t xml:space="preserve">Tabla </w:t>
      </w:r>
      <w:r w:rsidRPr="000712D6">
        <w:rPr>
          <w:rFonts w:ascii="Humanst521 BT" w:hAnsi="Humanst521 BT" w:cstheme="minorBidi"/>
        </w:rPr>
        <w:fldChar w:fldCharType="begin"/>
      </w:r>
      <w:r w:rsidRPr="000712D6">
        <w:rPr>
          <w:rFonts w:ascii="Humanst521 BT" w:hAnsi="Humanst521 BT" w:cstheme="minorBidi"/>
        </w:rPr>
        <w:instrText xml:space="preserve"> SEQ Tabla \* ARABIC </w:instrText>
      </w:r>
      <w:r w:rsidRPr="000712D6">
        <w:rPr>
          <w:rFonts w:ascii="Humanst521 BT" w:hAnsi="Humanst521 BT" w:cstheme="minorBidi"/>
        </w:rPr>
        <w:fldChar w:fldCharType="separate"/>
      </w:r>
      <w:r w:rsidR="007E563D">
        <w:rPr>
          <w:rFonts w:ascii="Humanst521 BT" w:hAnsi="Humanst521 BT" w:cstheme="minorBidi"/>
          <w:noProof/>
        </w:rPr>
        <w:t>2</w:t>
      </w:r>
      <w:r w:rsidRPr="000712D6">
        <w:rPr>
          <w:rFonts w:ascii="Humanst521 BT" w:hAnsi="Humanst521 BT" w:cstheme="minorBidi"/>
        </w:rPr>
        <w:fldChar w:fldCharType="end"/>
      </w:r>
      <w:r w:rsidRPr="000712D6">
        <w:rPr>
          <w:rFonts w:ascii="Humanst521 BT" w:hAnsi="Humanst521 BT" w:cstheme="minorBidi"/>
        </w:rPr>
        <w:t>. Distribución de los afiliados UISALUD por departamento de residencia</w:t>
      </w:r>
      <w:bookmarkEnd w:id="15"/>
      <w:bookmarkEnd w:id="16"/>
      <w:r w:rsidRPr="000712D6">
        <w:rPr>
          <w:rFonts w:ascii="Humanst521 BT" w:hAnsi="Humanst521 BT" w:cstheme="minorBidi"/>
        </w:rPr>
        <w:t>.</w:t>
      </w:r>
      <w:bookmarkEnd w:id="17"/>
      <w:bookmarkEnd w:id="18"/>
      <w:bookmarkEnd w:id="19"/>
    </w:p>
    <w:p w14:paraId="4B188639" w14:textId="77777777" w:rsidR="006C597F" w:rsidRPr="000712D6" w:rsidRDefault="006C597F" w:rsidP="006C597F">
      <w:pPr>
        <w:autoSpaceDE/>
        <w:autoSpaceDN/>
        <w:jc w:val="both"/>
        <w:rPr>
          <w:rFonts w:ascii="Humanst521 BT" w:hAnsi="Humanst521 BT" w:cstheme="minorBidi"/>
        </w:rPr>
      </w:pPr>
    </w:p>
    <w:tbl>
      <w:tblPr>
        <w:tblW w:w="5000" w:type="pct"/>
        <w:tblCellMar>
          <w:left w:w="70" w:type="dxa"/>
          <w:right w:w="70" w:type="dxa"/>
        </w:tblCellMar>
        <w:tblLook w:val="04A0" w:firstRow="1" w:lastRow="0" w:firstColumn="1" w:lastColumn="0" w:noHBand="0" w:noVBand="1"/>
      </w:tblPr>
      <w:tblGrid>
        <w:gridCol w:w="2626"/>
        <w:gridCol w:w="1857"/>
        <w:gridCol w:w="1376"/>
        <w:gridCol w:w="2305"/>
        <w:gridCol w:w="1376"/>
      </w:tblGrid>
      <w:tr w:rsidR="00AE6950" w:rsidRPr="00AE6950" w14:paraId="757B828C" w14:textId="77777777" w:rsidTr="00AE6950">
        <w:trPr>
          <w:trHeight w:val="435"/>
        </w:trPr>
        <w:tc>
          <w:tcPr>
            <w:tcW w:w="1376" w:type="pc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6D8F6074" w14:textId="77777777"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Departamento de residencia</w:t>
            </w:r>
          </w:p>
        </w:tc>
        <w:tc>
          <w:tcPr>
            <w:tcW w:w="973" w:type="pct"/>
            <w:tcBorders>
              <w:top w:val="single" w:sz="8" w:space="0" w:color="67B93E"/>
              <w:left w:val="nil"/>
              <w:bottom w:val="single" w:sz="8" w:space="0" w:color="67B93E"/>
              <w:right w:val="single" w:sz="8" w:space="0" w:color="67B93E"/>
            </w:tcBorders>
            <w:shd w:val="clear" w:color="000000" w:fill="C5E0B3"/>
            <w:vAlign w:val="center"/>
            <w:hideMark/>
          </w:tcPr>
          <w:p w14:paraId="30742BB6" w14:textId="77777777"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Año 2024</w:t>
            </w:r>
          </w:p>
        </w:tc>
        <w:tc>
          <w:tcPr>
            <w:tcW w:w="721" w:type="pct"/>
            <w:tcBorders>
              <w:top w:val="single" w:sz="8" w:space="0" w:color="67B93E"/>
              <w:left w:val="nil"/>
              <w:bottom w:val="single" w:sz="8" w:space="0" w:color="67B93E"/>
              <w:right w:val="single" w:sz="8" w:space="0" w:color="67B93E"/>
            </w:tcBorders>
            <w:shd w:val="clear" w:color="000000" w:fill="C5E0B3"/>
            <w:vAlign w:val="center"/>
            <w:hideMark/>
          </w:tcPr>
          <w:p w14:paraId="73BDB4C3" w14:textId="77777777"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 Var.</w:t>
            </w:r>
          </w:p>
        </w:tc>
        <w:tc>
          <w:tcPr>
            <w:tcW w:w="1208" w:type="pct"/>
            <w:tcBorders>
              <w:top w:val="single" w:sz="8" w:space="0" w:color="67B93E"/>
              <w:left w:val="nil"/>
              <w:bottom w:val="single" w:sz="8" w:space="0" w:color="67B93E"/>
              <w:right w:val="single" w:sz="8" w:space="0" w:color="67B93E"/>
            </w:tcBorders>
            <w:shd w:val="clear" w:color="000000" w:fill="C5E0B3"/>
            <w:vAlign w:val="center"/>
            <w:hideMark/>
          </w:tcPr>
          <w:p w14:paraId="4FCCA043" w14:textId="0FA8C184"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Año 202</w:t>
            </w:r>
            <w:r w:rsidR="00872D4D">
              <w:rPr>
                <w:rFonts w:ascii="Humanst521 BT" w:eastAsia="Times New Roman" w:hAnsi="Humanst521 BT" w:cs="Arial"/>
                <w:b/>
                <w:bCs/>
                <w:color w:val="000000"/>
                <w:sz w:val="20"/>
                <w:szCs w:val="20"/>
                <w:lang w:val="es-CO" w:eastAsia="es-CO"/>
              </w:rPr>
              <w:t>5</w:t>
            </w:r>
          </w:p>
        </w:tc>
        <w:tc>
          <w:tcPr>
            <w:tcW w:w="721" w:type="pct"/>
            <w:tcBorders>
              <w:top w:val="single" w:sz="8" w:space="0" w:color="67B93E"/>
              <w:left w:val="nil"/>
              <w:bottom w:val="single" w:sz="8" w:space="0" w:color="67B93E"/>
              <w:right w:val="single" w:sz="8" w:space="0" w:color="67B93E"/>
            </w:tcBorders>
            <w:shd w:val="clear" w:color="000000" w:fill="C5E0B3"/>
            <w:vAlign w:val="center"/>
            <w:hideMark/>
          </w:tcPr>
          <w:p w14:paraId="782D1B41" w14:textId="77777777"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 Part.</w:t>
            </w:r>
          </w:p>
        </w:tc>
      </w:tr>
      <w:tr w:rsidR="00AE6950" w:rsidRPr="00AE6950" w14:paraId="51C1F475" w14:textId="77777777" w:rsidTr="00AE6950">
        <w:trPr>
          <w:trHeight w:val="360"/>
        </w:trPr>
        <w:tc>
          <w:tcPr>
            <w:tcW w:w="1376" w:type="pct"/>
            <w:tcBorders>
              <w:top w:val="nil"/>
              <w:left w:val="single" w:sz="8" w:space="0" w:color="67B93E"/>
              <w:bottom w:val="single" w:sz="8" w:space="0" w:color="67B93E"/>
              <w:right w:val="single" w:sz="8" w:space="0" w:color="67B93E"/>
            </w:tcBorders>
            <w:shd w:val="clear" w:color="000000" w:fill="FFFFFF"/>
            <w:vAlign w:val="center"/>
            <w:hideMark/>
          </w:tcPr>
          <w:p w14:paraId="1E4C3178"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Santander</w:t>
            </w:r>
          </w:p>
        </w:tc>
        <w:tc>
          <w:tcPr>
            <w:tcW w:w="973" w:type="pct"/>
            <w:tcBorders>
              <w:top w:val="nil"/>
              <w:left w:val="nil"/>
              <w:bottom w:val="single" w:sz="8" w:space="0" w:color="67B93E"/>
              <w:right w:val="single" w:sz="8" w:space="0" w:color="67B93E"/>
            </w:tcBorders>
            <w:shd w:val="clear" w:color="000000" w:fill="FFFFFF"/>
            <w:vAlign w:val="center"/>
            <w:hideMark/>
          </w:tcPr>
          <w:p w14:paraId="6C127EC4"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2.674</w:t>
            </w:r>
          </w:p>
        </w:tc>
        <w:tc>
          <w:tcPr>
            <w:tcW w:w="721" w:type="pct"/>
            <w:tcBorders>
              <w:top w:val="nil"/>
              <w:left w:val="nil"/>
              <w:bottom w:val="single" w:sz="8" w:space="0" w:color="67B93E"/>
              <w:right w:val="single" w:sz="8" w:space="0" w:color="67B93E"/>
            </w:tcBorders>
            <w:shd w:val="clear" w:color="000000" w:fill="FFFFFF"/>
            <w:vAlign w:val="center"/>
            <w:hideMark/>
          </w:tcPr>
          <w:p w14:paraId="1C960B8F"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-0,80%</w:t>
            </w:r>
          </w:p>
        </w:tc>
        <w:tc>
          <w:tcPr>
            <w:tcW w:w="1208" w:type="pct"/>
            <w:tcBorders>
              <w:top w:val="nil"/>
              <w:left w:val="nil"/>
              <w:bottom w:val="single" w:sz="8" w:space="0" w:color="67B93E"/>
              <w:right w:val="single" w:sz="8" w:space="0" w:color="67B93E"/>
            </w:tcBorders>
            <w:shd w:val="clear" w:color="000000" w:fill="FFFFFF"/>
            <w:vAlign w:val="center"/>
            <w:hideMark/>
          </w:tcPr>
          <w:p w14:paraId="43462538"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2.716</w:t>
            </w:r>
          </w:p>
        </w:tc>
        <w:tc>
          <w:tcPr>
            <w:tcW w:w="721" w:type="pct"/>
            <w:tcBorders>
              <w:top w:val="nil"/>
              <w:left w:val="nil"/>
              <w:bottom w:val="single" w:sz="8" w:space="0" w:color="67B93E"/>
              <w:right w:val="single" w:sz="8" w:space="0" w:color="67B93E"/>
            </w:tcBorders>
            <w:shd w:val="clear" w:color="000000" w:fill="FFFFFF"/>
            <w:vAlign w:val="center"/>
            <w:hideMark/>
          </w:tcPr>
          <w:p w14:paraId="750EBEFD"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97,28%</w:t>
            </w:r>
          </w:p>
        </w:tc>
      </w:tr>
      <w:tr w:rsidR="00AE6950" w:rsidRPr="00AE6950" w14:paraId="4105D6F1" w14:textId="77777777" w:rsidTr="00AE6950">
        <w:trPr>
          <w:trHeight w:val="154"/>
        </w:trPr>
        <w:tc>
          <w:tcPr>
            <w:tcW w:w="1376" w:type="pct"/>
            <w:tcBorders>
              <w:top w:val="nil"/>
              <w:left w:val="single" w:sz="8" w:space="0" w:color="67B93E"/>
              <w:bottom w:val="single" w:sz="8" w:space="0" w:color="67B93E"/>
              <w:right w:val="single" w:sz="8" w:space="0" w:color="67B93E"/>
            </w:tcBorders>
            <w:shd w:val="clear" w:color="000000" w:fill="F2F2F2"/>
            <w:vAlign w:val="center"/>
            <w:hideMark/>
          </w:tcPr>
          <w:p w14:paraId="18CC12C9"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Cundinamarca</w:t>
            </w:r>
          </w:p>
        </w:tc>
        <w:tc>
          <w:tcPr>
            <w:tcW w:w="973" w:type="pct"/>
            <w:tcBorders>
              <w:top w:val="nil"/>
              <w:left w:val="nil"/>
              <w:bottom w:val="single" w:sz="8" w:space="0" w:color="67B93E"/>
              <w:right w:val="single" w:sz="8" w:space="0" w:color="67B93E"/>
            </w:tcBorders>
            <w:shd w:val="clear" w:color="000000" w:fill="F2F2F2"/>
            <w:vAlign w:val="center"/>
            <w:hideMark/>
          </w:tcPr>
          <w:p w14:paraId="67F95A2C"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32</w:t>
            </w:r>
          </w:p>
        </w:tc>
        <w:tc>
          <w:tcPr>
            <w:tcW w:w="721" w:type="pct"/>
            <w:tcBorders>
              <w:top w:val="nil"/>
              <w:left w:val="nil"/>
              <w:bottom w:val="single" w:sz="8" w:space="0" w:color="67B93E"/>
              <w:right w:val="single" w:sz="8" w:space="0" w:color="67B93E"/>
            </w:tcBorders>
            <w:shd w:val="clear" w:color="000000" w:fill="F2F2F2"/>
            <w:vAlign w:val="center"/>
            <w:hideMark/>
          </w:tcPr>
          <w:p w14:paraId="640529D1"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-3,00%</w:t>
            </w:r>
          </w:p>
        </w:tc>
        <w:tc>
          <w:tcPr>
            <w:tcW w:w="1208" w:type="pct"/>
            <w:tcBorders>
              <w:top w:val="nil"/>
              <w:left w:val="nil"/>
              <w:bottom w:val="single" w:sz="8" w:space="0" w:color="67B93E"/>
              <w:right w:val="single" w:sz="8" w:space="0" w:color="67B93E"/>
            </w:tcBorders>
            <w:shd w:val="clear" w:color="000000" w:fill="F2F2F2"/>
            <w:vAlign w:val="center"/>
            <w:hideMark/>
          </w:tcPr>
          <w:p w14:paraId="35221CFB"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36</w:t>
            </w:r>
          </w:p>
        </w:tc>
        <w:tc>
          <w:tcPr>
            <w:tcW w:w="721" w:type="pct"/>
            <w:tcBorders>
              <w:top w:val="nil"/>
              <w:left w:val="nil"/>
              <w:bottom w:val="single" w:sz="8" w:space="0" w:color="67B93E"/>
              <w:right w:val="single" w:sz="8" w:space="0" w:color="67B93E"/>
            </w:tcBorders>
            <w:shd w:val="clear" w:color="000000" w:fill="F2F2F2"/>
            <w:vAlign w:val="center"/>
            <w:hideMark/>
          </w:tcPr>
          <w:p w14:paraId="78BE8BCB"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1,29%</w:t>
            </w:r>
          </w:p>
        </w:tc>
      </w:tr>
      <w:tr w:rsidR="00AE6950" w:rsidRPr="00AE6950" w14:paraId="29E700BD" w14:textId="77777777" w:rsidTr="00AE6950">
        <w:trPr>
          <w:trHeight w:val="171"/>
        </w:trPr>
        <w:tc>
          <w:tcPr>
            <w:tcW w:w="1376" w:type="pct"/>
            <w:tcBorders>
              <w:top w:val="nil"/>
              <w:left w:val="single" w:sz="8" w:space="0" w:color="67B93E"/>
              <w:bottom w:val="single" w:sz="8" w:space="0" w:color="67B93E"/>
              <w:right w:val="single" w:sz="8" w:space="0" w:color="67B93E"/>
            </w:tcBorders>
            <w:shd w:val="clear" w:color="000000" w:fill="FFFFFF"/>
            <w:vAlign w:val="center"/>
            <w:hideMark/>
          </w:tcPr>
          <w:p w14:paraId="1813C07B"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 xml:space="preserve">Fuera del país </w:t>
            </w:r>
          </w:p>
        </w:tc>
        <w:tc>
          <w:tcPr>
            <w:tcW w:w="973" w:type="pct"/>
            <w:tcBorders>
              <w:top w:val="nil"/>
              <w:left w:val="nil"/>
              <w:bottom w:val="single" w:sz="8" w:space="0" w:color="67B93E"/>
              <w:right w:val="single" w:sz="8" w:space="0" w:color="67B93E"/>
            </w:tcBorders>
            <w:shd w:val="clear" w:color="000000" w:fill="FFFFFF"/>
            <w:vAlign w:val="center"/>
            <w:hideMark/>
          </w:tcPr>
          <w:p w14:paraId="48CBFBDC"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16</w:t>
            </w:r>
          </w:p>
        </w:tc>
        <w:tc>
          <w:tcPr>
            <w:tcW w:w="721" w:type="pct"/>
            <w:tcBorders>
              <w:top w:val="nil"/>
              <w:left w:val="nil"/>
              <w:bottom w:val="single" w:sz="8" w:space="0" w:color="67B93E"/>
              <w:right w:val="single" w:sz="8" w:space="0" w:color="67B93E"/>
            </w:tcBorders>
            <w:shd w:val="clear" w:color="000000" w:fill="FFFFFF"/>
            <w:vAlign w:val="center"/>
            <w:hideMark/>
          </w:tcPr>
          <w:p w14:paraId="548A0435"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6,70%</w:t>
            </w:r>
          </w:p>
        </w:tc>
        <w:tc>
          <w:tcPr>
            <w:tcW w:w="1208" w:type="pct"/>
            <w:tcBorders>
              <w:top w:val="nil"/>
              <w:left w:val="nil"/>
              <w:bottom w:val="single" w:sz="8" w:space="0" w:color="67B93E"/>
              <w:right w:val="single" w:sz="8" w:space="0" w:color="67B93E"/>
            </w:tcBorders>
            <w:shd w:val="clear" w:color="000000" w:fill="FFFFFF"/>
            <w:vAlign w:val="center"/>
            <w:hideMark/>
          </w:tcPr>
          <w:p w14:paraId="4DD04490"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w:t>
            </w:r>
          </w:p>
        </w:tc>
        <w:tc>
          <w:tcPr>
            <w:tcW w:w="721" w:type="pct"/>
            <w:tcBorders>
              <w:top w:val="nil"/>
              <w:left w:val="nil"/>
              <w:bottom w:val="single" w:sz="8" w:space="0" w:color="67B93E"/>
              <w:right w:val="single" w:sz="8" w:space="0" w:color="67B93E"/>
            </w:tcBorders>
            <w:shd w:val="clear" w:color="000000" w:fill="FFFFFF"/>
            <w:vAlign w:val="center"/>
            <w:hideMark/>
          </w:tcPr>
          <w:p w14:paraId="49E323F3"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r>
      <w:tr w:rsidR="00AE6950" w:rsidRPr="00AE6950" w14:paraId="5D19F993" w14:textId="77777777" w:rsidTr="00AE6950">
        <w:trPr>
          <w:trHeight w:val="270"/>
        </w:trPr>
        <w:tc>
          <w:tcPr>
            <w:tcW w:w="1376" w:type="pct"/>
            <w:tcBorders>
              <w:top w:val="nil"/>
              <w:left w:val="single" w:sz="8" w:space="0" w:color="67B93E"/>
              <w:bottom w:val="single" w:sz="8" w:space="0" w:color="67B93E"/>
              <w:right w:val="single" w:sz="8" w:space="0" w:color="67B93E"/>
            </w:tcBorders>
            <w:shd w:val="clear" w:color="000000" w:fill="F2F2F2"/>
            <w:vAlign w:val="center"/>
            <w:hideMark/>
          </w:tcPr>
          <w:p w14:paraId="1E1415E0"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Antioquia</w:t>
            </w:r>
          </w:p>
        </w:tc>
        <w:tc>
          <w:tcPr>
            <w:tcW w:w="973" w:type="pct"/>
            <w:tcBorders>
              <w:top w:val="nil"/>
              <w:left w:val="nil"/>
              <w:bottom w:val="single" w:sz="8" w:space="0" w:color="67B93E"/>
              <w:right w:val="single" w:sz="8" w:space="0" w:color="67B93E"/>
            </w:tcBorders>
            <w:shd w:val="clear" w:color="000000" w:fill="F2F2F2"/>
            <w:vAlign w:val="center"/>
            <w:hideMark/>
          </w:tcPr>
          <w:p w14:paraId="0397E33B"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10</w:t>
            </w:r>
          </w:p>
        </w:tc>
        <w:tc>
          <w:tcPr>
            <w:tcW w:w="721" w:type="pct"/>
            <w:tcBorders>
              <w:top w:val="nil"/>
              <w:left w:val="nil"/>
              <w:bottom w:val="single" w:sz="8" w:space="0" w:color="67B93E"/>
              <w:right w:val="single" w:sz="8" w:space="0" w:color="67B93E"/>
            </w:tcBorders>
            <w:shd w:val="clear" w:color="000000" w:fill="F2F2F2"/>
            <w:vAlign w:val="center"/>
            <w:hideMark/>
          </w:tcPr>
          <w:p w14:paraId="74F51264"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11,10%</w:t>
            </w:r>
          </w:p>
        </w:tc>
        <w:tc>
          <w:tcPr>
            <w:tcW w:w="1208" w:type="pct"/>
            <w:tcBorders>
              <w:top w:val="nil"/>
              <w:left w:val="nil"/>
              <w:bottom w:val="single" w:sz="8" w:space="0" w:color="67B93E"/>
              <w:right w:val="single" w:sz="8" w:space="0" w:color="67B93E"/>
            </w:tcBorders>
            <w:shd w:val="clear" w:color="000000" w:fill="FFFFFF"/>
            <w:vAlign w:val="center"/>
            <w:hideMark/>
          </w:tcPr>
          <w:p w14:paraId="78CF7CDD"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11</w:t>
            </w:r>
          </w:p>
        </w:tc>
        <w:tc>
          <w:tcPr>
            <w:tcW w:w="721" w:type="pct"/>
            <w:tcBorders>
              <w:top w:val="nil"/>
              <w:left w:val="nil"/>
              <w:bottom w:val="single" w:sz="8" w:space="0" w:color="67B93E"/>
              <w:right w:val="single" w:sz="8" w:space="0" w:color="67B93E"/>
            </w:tcBorders>
            <w:shd w:val="clear" w:color="000000" w:fill="F2F2F2"/>
            <w:vAlign w:val="center"/>
            <w:hideMark/>
          </w:tcPr>
          <w:p w14:paraId="4AF611E9"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0,39%</w:t>
            </w:r>
          </w:p>
        </w:tc>
      </w:tr>
      <w:tr w:rsidR="00AE6950" w:rsidRPr="00AE6950" w14:paraId="09BD6E31" w14:textId="77777777" w:rsidTr="00AE6950">
        <w:trPr>
          <w:trHeight w:val="270"/>
        </w:trPr>
        <w:tc>
          <w:tcPr>
            <w:tcW w:w="1376" w:type="pct"/>
            <w:tcBorders>
              <w:top w:val="nil"/>
              <w:left w:val="single" w:sz="8" w:space="0" w:color="67B93E"/>
              <w:bottom w:val="single" w:sz="8" w:space="0" w:color="67B93E"/>
              <w:right w:val="single" w:sz="8" w:space="0" w:color="67B93E"/>
            </w:tcBorders>
            <w:shd w:val="clear" w:color="000000" w:fill="FFFFFF"/>
            <w:vAlign w:val="center"/>
            <w:hideMark/>
          </w:tcPr>
          <w:p w14:paraId="488865C0"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Boyacá</w:t>
            </w:r>
          </w:p>
        </w:tc>
        <w:tc>
          <w:tcPr>
            <w:tcW w:w="973" w:type="pct"/>
            <w:tcBorders>
              <w:top w:val="nil"/>
              <w:left w:val="nil"/>
              <w:bottom w:val="single" w:sz="8" w:space="0" w:color="67B93E"/>
              <w:right w:val="single" w:sz="8" w:space="0" w:color="67B93E"/>
            </w:tcBorders>
            <w:shd w:val="clear" w:color="000000" w:fill="FFFFFF"/>
            <w:vAlign w:val="center"/>
            <w:hideMark/>
          </w:tcPr>
          <w:p w14:paraId="33B45F6D"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9</w:t>
            </w:r>
          </w:p>
        </w:tc>
        <w:tc>
          <w:tcPr>
            <w:tcW w:w="721" w:type="pct"/>
            <w:tcBorders>
              <w:top w:val="nil"/>
              <w:left w:val="nil"/>
              <w:bottom w:val="single" w:sz="8" w:space="0" w:color="67B93E"/>
              <w:right w:val="single" w:sz="8" w:space="0" w:color="67B93E"/>
            </w:tcBorders>
            <w:shd w:val="clear" w:color="000000" w:fill="FFFFFF"/>
            <w:vAlign w:val="center"/>
            <w:hideMark/>
          </w:tcPr>
          <w:p w14:paraId="29BDA8EC"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c>
          <w:tcPr>
            <w:tcW w:w="1208" w:type="pct"/>
            <w:tcBorders>
              <w:top w:val="nil"/>
              <w:left w:val="nil"/>
              <w:bottom w:val="single" w:sz="8" w:space="0" w:color="67B93E"/>
              <w:right w:val="single" w:sz="8" w:space="0" w:color="67B93E"/>
            </w:tcBorders>
            <w:shd w:val="clear" w:color="000000" w:fill="F2F2F2"/>
            <w:vAlign w:val="center"/>
            <w:hideMark/>
          </w:tcPr>
          <w:p w14:paraId="6C0634C8"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9</w:t>
            </w:r>
          </w:p>
        </w:tc>
        <w:tc>
          <w:tcPr>
            <w:tcW w:w="721" w:type="pct"/>
            <w:tcBorders>
              <w:top w:val="nil"/>
              <w:left w:val="nil"/>
              <w:bottom w:val="single" w:sz="8" w:space="0" w:color="67B93E"/>
              <w:right w:val="single" w:sz="8" w:space="0" w:color="67B93E"/>
            </w:tcBorders>
            <w:shd w:val="clear" w:color="000000" w:fill="FFFFFF"/>
            <w:vAlign w:val="center"/>
            <w:hideMark/>
          </w:tcPr>
          <w:p w14:paraId="4523CEB2"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0,32%</w:t>
            </w:r>
          </w:p>
        </w:tc>
      </w:tr>
      <w:tr w:rsidR="00AE6950" w:rsidRPr="00AE6950" w14:paraId="4CA0054B" w14:textId="77777777" w:rsidTr="00AE6950">
        <w:trPr>
          <w:trHeight w:val="270"/>
        </w:trPr>
        <w:tc>
          <w:tcPr>
            <w:tcW w:w="1376" w:type="pct"/>
            <w:tcBorders>
              <w:top w:val="nil"/>
              <w:left w:val="single" w:sz="8" w:space="0" w:color="67B93E"/>
              <w:bottom w:val="single" w:sz="8" w:space="0" w:color="67B93E"/>
              <w:right w:val="single" w:sz="8" w:space="0" w:color="67B93E"/>
            </w:tcBorders>
            <w:shd w:val="clear" w:color="000000" w:fill="F2F2F2"/>
            <w:vAlign w:val="center"/>
            <w:hideMark/>
          </w:tcPr>
          <w:p w14:paraId="4338F404"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Valle</w:t>
            </w:r>
          </w:p>
        </w:tc>
        <w:tc>
          <w:tcPr>
            <w:tcW w:w="973" w:type="pct"/>
            <w:tcBorders>
              <w:top w:val="nil"/>
              <w:left w:val="nil"/>
              <w:bottom w:val="single" w:sz="8" w:space="0" w:color="67B93E"/>
              <w:right w:val="single" w:sz="8" w:space="0" w:color="67B93E"/>
            </w:tcBorders>
            <w:shd w:val="clear" w:color="000000" w:fill="F2F2F2"/>
            <w:vAlign w:val="center"/>
            <w:hideMark/>
          </w:tcPr>
          <w:p w14:paraId="7AF6095A"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7</w:t>
            </w:r>
          </w:p>
        </w:tc>
        <w:tc>
          <w:tcPr>
            <w:tcW w:w="721" w:type="pct"/>
            <w:tcBorders>
              <w:top w:val="nil"/>
              <w:left w:val="nil"/>
              <w:bottom w:val="single" w:sz="8" w:space="0" w:color="67B93E"/>
              <w:right w:val="single" w:sz="8" w:space="0" w:color="67B93E"/>
            </w:tcBorders>
            <w:shd w:val="clear" w:color="000000" w:fill="F2F2F2"/>
            <w:vAlign w:val="center"/>
            <w:hideMark/>
          </w:tcPr>
          <w:p w14:paraId="4BD1C1F9"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c>
          <w:tcPr>
            <w:tcW w:w="1208" w:type="pct"/>
            <w:tcBorders>
              <w:top w:val="nil"/>
              <w:left w:val="nil"/>
              <w:bottom w:val="single" w:sz="8" w:space="0" w:color="67B93E"/>
              <w:right w:val="single" w:sz="8" w:space="0" w:color="67B93E"/>
            </w:tcBorders>
            <w:shd w:val="clear" w:color="000000" w:fill="FFFFFF"/>
            <w:vAlign w:val="center"/>
            <w:hideMark/>
          </w:tcPr>
          <w:p w14:paraId="490B4619"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8</w:t>
            </w:r>
          </w:p>
        </w:tc>
        <w:tc>
          <w:tcPr>
            <w:tcW w:w="721" w:type="pct"/>
            <w:tcBorders>
              <w:top w:val="nil"/>
              <w:left w:val="nil"/>
              <w:bottom w:val="single" w:sz="8" w:space="0" w:color="67B93E"/>
              <w:right w:val="single" w:sz="8" w:space="0" w:color="67B93E"/>
            </w:tcBorders>
            <w:shd w:val="clear" w:color="000000" w:fill="F2F2F2"/>
            <w:vAlign w:val="center"/>
            <w:hideMark/>
          </w:tcPr>
          <w:p w14:paraId="508D025A"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0,29%</w:t>
            </w:r>
          </w:p>
        </w:tc>
      </w:tr>
      <w:tr w:rsidR="00AE6950" w:rsidRPr="00AE6950" w14:paraId="59E869EB" w14:textId="77777777" w:rsidTr="00AE6950">
        <w:trPr>
          <w:trHeight w:val="270"/>
        </w:trPr>
        <w:tc>
          <w:tcPr>
            <w:tcW w:w="1376" w:type="pct"/>
            <w:tcBorders>
              <w:top w:val="nil"/>
              <w:left w:val="single" w:sz="8" w:space="0" w:color="67B93E"/>
              <w:bottom w:val="single" w:sz="8" w:space="0" w:color="67B93E"/>
              <w:right w:val="single" w:sz="8" w:space="0" w:color="67B93E"/>
            </w:tcBorders>
            <w:shd w:val="clear" w:color="000000" w:fill="FFFFFF"/>
            <w:vAlign w:val="center"/>
            <w:hideMark/>
          </w:tcPr>
          <w:p w14:paraId="31F7FCD7"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lastRenderedPageBreak/>
              <w:t>Caldas</w:t>
            </w:r>
          </w:p>
        </w:tc>
        <w:tc>
          <w:tcPr>
            <w:tcW w:w="973" w:type="pct"/>
            <w:tcBorders>
              <w:top w:val="nil"/>
              <w:left w:val="nil"/>
              <w:bottom w:val="single" w:sz="8" w:space="0" w:color="67B93E"/>
              <w:right w:val="single" w:sz="8" w:space="0" w:color="67B93E"/>
            </w:tcBorders>
            <w:shd w:val="clear" w:color="000000" w:fill="FFFFFF"/>
            <w:vAlign w:val="center"/>
            <w:hideMark/>
          </w:tcPr>
          <w:p w14:paraId="11ABA1D8"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4</w:t>
            </w:r>
          </w:p>
        </w:tc>
        <w:tc>
          <w:tcPr>
            <w:tcW w:w="721" w:type="pct"/>
            <w:tcBorders>
              <w:top w:val="nil"/>
              <w:left w:val="nil"/>
              <w:bottom w:val="single" w:sz="8" w:space="0" w:color="67B93E"/>
              <w:right w:val="single" w:sz="8" w:space="0" w:color="67B93E"/>
            </w:tcBorders>
            <w:shd w:val="clear" w:color="000000" w:fill="FFFFFF"/>
            <w:vAlign w:val="center"/>
            <w:hideMark/>
          </w:tcPr>
          <w:p w14:paraId="006C97DD"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c>
          <w:tcPr>
            <w:tcW w:w="1208" w:type="pct"/>
            <w:tcBorders>
              <w:top w:val="nil"/>
              <w:left w:val="nil"/>
              <w:bottom w:val="single" w:sz="8" w:space="0" w:color="67B93E"/>
              <w:right w:val="single" w:sz="8" w:space="0" w:color="67B93E"/>
            </w:tcBorders>
            <w:shd w:val="clear" w:color="000000" w:fill="F2F2F2"/>
            <w:vAlign w:val="center"/>
            <w:hideMark/>
          </w:tcPr>
          <w:p w14:paraId="610ABC32"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5</w:t>
            </w:r>
          </w:p>
        </w:tc>
        <w:tc>
          <w:tcPr>
            <w:tcW w:w="721" w:type="pct"/>
            <w:tcBorders>
              <w:top w:val="nil"/>
              <w:left w:val="nil"/>
              <w:bottom w:val="single" w:sz="8" w:space="0" w:color="67B93E"/>
              <w:right w:val="single" w:sz="8" w:space="0" w:color="67B93E"/>
            </w:tcBorders>
            <w:shd w:val="clear" w:color="000000" w:fill="FFFFFF"/>
            <w:vAlign w:val="center"/>
            <w:hideMark/>
          </w:tcPr>
          <w:p w14:paraId="73E2ABDE"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0,18%</w:t>
            </w:r>
          </w:p>
        </w:tc>
      </w:tr>
      <w:tr w:rsidR="00AE6950" w:rsidRPr="00AE6950" w14:paraId="4E78B51F" w14:textId="77777777" w:rsidTr="00AE6950">
        <w:trPr>
          <w:trHeight w:val="270"/>
        </w:trPr>
        <w:tc>
          <w:tcPr>
            <w:tcW w:w="1376" w:type="pct"/>
            <w:tcBorders>
              <w:top w:val="nil"/>
              <w:left w:val="single" w:sz="8" w:space="0" w:color="67B93E"/>
              <w:bottom w:val="single" w:sz="8" w:space="0" w:color="67B93E"/>
              <w:right w:val="single" w:sz="8" w:space="0" w:color="67B93E"/>
            </w:tcBorders>
            <w:shd w:val="clear" w:color="000000" w:fill="F2F2F2"/>
            <w:vAlign w:val="center"/>
            <w:hideMark/>
          </w:tcPr>
          <w:p w14:paraId="44344964"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Risaralda</w:t>
            </w:r>
          </w:p>
        </w:tc>
        <w:tc>
          <w:tcPr>
            <w:tcW w:w="973" w:type="pct"/>
            <w:tcBorders>
              <w:top w:val="nil"/>
              <w:left w:val="nil"/>
              <w:bottom w:val="single" w:sz="8" w:space="0" w:color="67B93E"/>
              <w:right w:val="single" w:sz="8" w:space="0" w:color="67B93E"/>
            </w:tcBorders>
            <w:shd w:val="clear" w:color="000000" w:fill="F2F2F2"/>
            <w:vAlign w:val="center"/>
            <w:hideMark/>
          </w:tcPr>
          <w:p w14:paraId="24F0662F"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2</w:t>
            </w:r>
          </w:p>
        </w:tc>
        <w:tc>
          <w:tcPr>
            <w:tcW w:w="721" w:type="pct"/>
            <w:tcBorders>
              <w:top w:val="nil"/>
              <w:left w:val="nil"/>
              <w:bottom w:val="single" w:sz="8" w:space="0" w:color="67B93E"/>
              <w:right w:val="single" w:sz="8" w:space="0" w:color="67B93E"/>
            </w:tcBorders>
            <w:shd w:val="clear" w:color="000000" w:fill="F2F2F2"/>
            <w:vAlign w:val="center"/>
            <w:hideMark/>
          </w:tcPr>
          <w:p w14:paraId="358CDF48"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c>
          <w:tcPr>
            <w:tcW w:w="1208" w:type="pct"/>
            <w:tcBorders>
              <w:top w:val="nil"/>
              <w:left w:val="nil"/>
              <w:bottom w:val="single" w:sz="8" w:space="0" w:color="67B93E"/>
              <w:right w:val="single" w:sz="8" w:space="0" w:color="67B93E"/>
            </w:tcBorders>
            <w:shd w:val="clear" w:color="000000" w:fill="FFFFFF"/>
            <w:vAlign w:val="center"/>
            <w:hideMark/>
          </w:tcPr>
          <w:p w14:paraId="785EAE8F"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2</w:t>
            </w:r>
          </w:p>
        </w:tc>
        <w:tc>
          <w:tcPr>
            <w:tcW w:w="721" w:type="pct"/>
            <w:tcBorders>
              <w:top w:val="nil"/>
              <w:left w:val="nil"/>
              <w:bottom w:val="single" w:sz="8" w:space="0" w:color="67B93E"/>
              <w:right w:val="single" w:sz="8" w:space="0" w:color="67B93E"/>
            </w:tcBorders>
            <w:shd w:val="clear" w:color="000000" w:fill="F2F2F2"/>
            <w:vAlign w:val="center"/>
            <w:hideMark/>
          </w:tcPr>
          <w:p w14:paraId="635BA93F"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0,07%</w:t>
            </w:r>
          </w:p>
        </w:tc>
      </w:tr>
      <w:tr w:rsidR="00AE6950" w:rsidRPr="00AE6950" w14:paraId="05DB5C89" w14:textId="77777777" w:rsidTr="00AE6950">
        <w:trPr>
          <w:trHeight w:val="270"/>
        </w:trPr>
        <w:tc>
          <w:tcPr>
            <w:tcW w:w="1376" w:type="pct"/>
            <w:tcBorders>
              <w:top w:val="nil"/>
              <w:left w:val="single" w:sz="8" w:space="0" w:color="67B93E"/>
              <w:bottom w:val="single" w:sz="8" w:space="0" w:color="67B93E"/>
              <w:right w:val="single" w:sz="8" w:space="0" w:color="67B93E"/>
            </w:tcBorders>
            <w:shd w:val="clear" w:color="000000" w:fill="FFFFFF"/>
            <w:vAlign w:val="center"/>
            <w:hideMark/>
          </w:tcPr>
          <w:p w14:paraId="07C93AEF"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Tolima</w:t>
            </w:r>
          </w:p>
        </w:tc>
        <w:tc>
          <w:tcPr>
            <w:tcW w:w="973" w:type="pct"/>
            <w:tcBorders>
              <w:top w:val="nil"/>
              <w:left w:val="nil"/>
              <w:bottom w:val="single" w:sz="8" w:space="0" w:color="67B93E"/>
              <w:right w:val="single" w:sz="8" w:space="0" w:color="67B93E"/>
            </w:tcBorders>
            <w:shd w:val="clear" w:color="000000" w:fill="FFFFFF"/>
            <w:vAlign w:val="center"/>
            <w:hideMark/>
          </w:tcPr>
          <w:p w14:paraId="4DE6A00A"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2</w:t>
            </w:r>
          </w:p>
        </w:tc>
        <w:tc>
          <w:tcPr>
            <w:tcW w:w="721" w:type="pct"/>
            <w:tcBorders>
              <w:top w:val="nil"/>
              <w:left w:val="nil"/>
              <w:bottom w:val="single" w:sz="8" w:space="0" w:color="67B93E"/>
              <w:right w:val="single" w:sz="8" w:space="0" w:color="67B93E"/>
            </w:tcBorders>
            <w:shd w:val="clear" w:color="000000" w:fill="FFFFFF"/>
            <w:vAlign w:val="center"/>
            <w:hideMark/>
          </w:tcPr>
          <w:p w14:paraId="239688D6"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c>
          <w:tcPr>
            <w:tcW w:w="1208" w:type="pct"/>
            <w:tcBorders>
              <w:top w:val="nil"/>
              <w:left w:val="nil"/>
              <w:bottom w:val="single" w:sz="8" w:space="0" w:color="67B93E"/>
              <w:right w:val="single" w:sz="8" w:space="0" w:color="67B93E"/>
            </w:tcBorders>
            <w:shd w:val="clear" w:color="000000" w:fill="F2F2F2"/>
            <w:vAlign w:val="center"/>
            <w:hideMark/>
          </w:tcPr>
          <w:p w14:paraId="610C2E1E"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2</w:t>
            </w:r>
          </w:p>
        </w:tc>
        <w:tc>
          <w:tcPr>
            <w:tcW w:w="721" w:type="pct"/>
            <w:tcBorders>
              <w:top w:val="nil"/>
              <w:left w:val="nil"/>
              <w:bottom w:val="single" w:sz="8" w:space="0" w:color="67B93E"/>
              <w:right w:val="single" w:sz="8" w:space="0" w:color="67B93E"/>
            </w:tcBorders>
            <w:shd w:val="clear" w:color="000000" w:fill="FFFFFF"/>
            <w:vAlign w:val="center"/>
            <w:hideMark/>
          </w:tcPr>
          <w:p w14:paraId="2B520D77"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0,07%</w:t>
            </w:r>
          </w:p>
        </w:tc>
      </w:tr>
      <w:tr w:rsidR="00AE6950" w:rsidRPr="00AE6950" w14:paraId="61B01A29" w14:textId="77777777" w:rsidTr="00AE6950">
        <w:trPr>
          <w:trHeight w:val="194"/>
        </w:trPr>
        <w:tc>
          <w:tcPr>
            <w:tcW w:w="1376" w:type="pct"/>
            <w:tcBorders>
              <w:top w:val="nil"/>
              <w:left w:val="single" w:sz="8" w:space="0" w:color="67B93E"/>
              <w:bottom w:val="single" w:sz="8" w:space="0" w:color="67B93E"/>
              <w:right w:val="single" w:sz="8" w:space="0" w:color="67B93E"/>
            </w:tcBorders>
            <w:shd w:val="clear" w:color="000000" w:fill="F2F2F2"/>
            <w:vAlign w:val="center"/>
            <w:hideMark/>
          </w:tcPr>
          <w:p w14:paraId="4B79A020"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Norte de Santander</w:t>
            </w:r>
          </w:p>
        </w:tc>
        <w:tc>
          <w:tcPr>
            <w:tcW w:w="973" w:type="pct"/>
            <w:tcBorders>
              <w:top w:val="nil"/>
              <w:left w:val="nil"/>
              <w:bottom w:val="single" w:sz="8" w:space="0" w:color="67B93E"/>
              <w:right w:val="single" w:sz="8" w:space="0" w:color="67B93E"/>
            </w:tcBorders>
            <w:shd w:val="clear" w:color="000000" w:fill="F2F2F2"/>
            <w:vAlign w:val="center"/>
            <w:hideMark/>
          </w:tcPr>
          <w:p w14:paraId="1400D9D9"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2</w:t>
            </w:r>
          </w:p>
        </w:tc>
        <w:tc>
          <w:tcPr>
            <w:tcW w:w="721" w:type="pct"/>
            <w:tcBorders>
              <w:top w:val="nil"/>
              <w:left w:val="nil"/>
              <w:bottom w:val="single" w:sz="8" w:space="0" w:color="67B93E"/>
              <w:right w:val="single" w:sz="8" w:space="0" w:color="67B93E"/>
            </w:tcBorders>
            <w:shd w:val="clear" w:color="000000" w:fill="F2F2F2"/>
            <w:vAlign w:val="center"/>
            <w:hideMark/>
          </w:tcPr>
          <w:p w14:paraId="7FB214B9"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c>
          <w:tcPr>
            <w:tcW w:w="1208" w:type="pct"/>
            <w:tcBorders>
              <w:top w:val="nil"/>
              <w:left w:val="nil"/>
              <w:bottom w:val="single" w:sz="8" w:space="0" w:color="67B93E"/>
              <w:right w:val="single" w:sz="8" w:space="0" w:color="67B93E"/>
            </w:tcBorders>
            <w:shd w:val="clear" w:color="000000" w:fill="FFFFFF"/>
            <w:vAlign w:val="center"/>
            <w:hideMark/>
          </w:tcPr>
          <w:p w14:paraId="6DD1F491"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w:t>
            </w:r>
          </w:p>
        </w:tc>
        <w:tc>
          <w:tcPr>
            <w:tcW w:w="721" w:type="pct"/>
            <w:tcBorders>
              <w:top w:val="nil"/>
              <w:left w:val="nil"/>
              <w:bottom w:val="single" w:sz="8" w:space="0" w:color="67B93E"/>
              <w:right w:val="single" w:sz="8" w:space="0" w:color="67B93E"/>
            </w:tcBorders>
            <w:shd w:val="clear" w:color="000000" w:fill="F2F2F2"/>
            <w:vAlign w:val="center"/>
            <w:hideMark/>
          </w:tcPr>
          <w:p w14:paraId="2AA04627"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0,04%</w:t>
            </w:r>
          </w:p>
        </w:tc>
      </w:tr>
      <w:tr w:rsidR="00AE6950" w:rsidRPr="00AE6950" w14:paraId="08BF3C66" w14:textId="77777777" w:rsidTr="00AE6950">
        <w:trPr>
          <w:trHeight w:val="211"/>
        </w:trPr>
        <w:tc>
          <w:tcPr>
            <w:tcW w:w="1376" w:type="pct"/>
            <w:tcBorders>
              <w:top w:val="nil"/>
              <w:left w:val="single" w:sz="8" w:space="0" w:color="67B93E"/>
              <w:bottom w:val="single" w:sz="8" w:space="0" w:color="67B93E"/>
              <w:right w:val="single" w:sz="8" w:space="0" w:color="67B93E"/>
            </w:tcBorders>
            <w:shd w:val="clear" w:color="000000" w:fill="FFFFFF"/>
            <w:vAlign w:val="center"/>
            <w:hideMark/>
          </w:tcPr>
          <w:p w14:paraId="3BE8887D"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Magdalena</w:t>
            </w:r>
          </w:p>
        </w:tc>
        <w:tc>
          <w:tcPr>
            <w:tcW w:w="973" w:type="pct"/>
            <w:tcBorders>
              <w:top w:val="nil"/>
              <w:left w:val="nil"/>
              <w:bottom w:val="single" w:sz="8" w:space="0" w:color="67B93E"/>
              <w:right w:val="single" w:sz="8" w:space="0" w:color="67B93E"/>
            </w:tcBorders>
            <w:shd w:val="clear" w:color="000000" w:fill="FFFFFF"/>
            <w:vAlign w:val="center"/>
            <w:hideMark/>
          </w:tcPr>
          <w:p w14:paraId="62C8E4F8"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w:t>
            </w:r>
          </w:p>
        </w:tc>
        <w:tc>
          <w:tcPr>
            <w:tcW w:w="721" w:type="pct"/>
            <w:tcBorders>
              <w:top w:val="nil"/>
              <w:left w:val="nil"/>
              <w:bottom w:val="single" w:sz="8" w:space="0" w:color="67B93E"/>
              <w:right w:val="single" w:sz="8" w:space="0" w:color="67B93E"/>
            </w:tcBorders>
            <w:shd w:val="clear" w:color="000000" w:fill="FFFFFF"/>
            <w:vAlign w:val="center"/>
            <w:hideMark/>
          </w:tcPr>
          <w:p w14:paraId="5004FBD3"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c>
          <w:tcPr>
            <w:tcW w:w="1208" w:type="pct"/>
            <w:tcBorders>
              <w:top w:val="nil"/>
              <w:left w:val="nil"/>
              <w:bottom w:val="single" w:sz="8" w:space="0" w:color="67B93E"/>
              <w:right w:val="single" w:sz="8" w:space="0" w:color="67B93E"/>
            </w:tcBorders>
            <w:shd w:val="clear" w:color="000000" w:fill="F2F2F2"/>
            <w:vAlign w:val="center"/>
            <w:hideMark/>
          </w:tcPr>
          <w:p w14:paraId="6A3D9F8C"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w:t>
            </w:r>
          </w:p>
        </w:tc>
        <w:tc>
          <w:tcPr>
            <w:tcW w:w="721" w:type="pct"/>
            <w:tcBorders>
              <w:top w:val="nil"/>
              <w:left w:val="nil"/>
              <w:bottom w:val="single" w:sz="8" w:space="0" w:color="67B93E"/>
              <w:right w:val="single" w:sz="8" w:space="0" w:color="67B93E"/>
            </w:tcBorders>
            <w:shd w:val="clear" w:color="000000" w:fill="FFFFFF"/>
            <w:vAlign w:val="center"/>
            <w:hideMark/>
          </w:tcPr>
          <w:p w14:paraId="591EAC27"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0,04%</w:t>
            </w:r>
          </w:p>
        </w:tc>
      </w:tr>
      <w:tr w:rsidR="00AE6950" w:rsidRPr="00AE6950" w14:paraId="2A7A4419" w14:textId="77777777" w:rsidTr="00AE6950">
        <w:trPr>
          <w:trHeight w:val="270"/>
        </w:trPr>
        <w:tc>
          <w:tcPr>
            <w:tcW w:w="1376" w:type="pct"/>
            <w:tcBorders>
              <w:top w:val="nil"/>
              <w:left w:val="single" w:sz="8" w:space="0" w:color="67B93E"/>
              <w:bottom w:val="single" w:sz="8" w:space="0" w:color="67B93E"/>
              <w:right w:val="single" w:sz="8" w:space="0" w:color="67B93E"/>
            </w:tcBorders>
            <w:shd w:val="clear" w:color="000000" w:fill="F2F2F2"/>
            <w:vAlign w:val="center"/>
            <w:hideMark/>
          </w:tcPr>
          <w:p w14:paraId="2B7CBB92" w14:textId="77777777" w:rsidR="00AE6950" w:rsidRPr="00AE6950" w:rsidRDefault="00AE6950" w:rsidP="00AE6950">
            <w:pPr>
              <w:widowControl/>
              <w:autoSpaceDE/>
              <w:autoSpaceDN/>
              <w:jc w:val="both"/>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Quindío</w:t>
            </w:r>
          </w:p>
        </w:tc>
        <w:tc>
          <w:tcPr>
            <w:tcW w:w="973" w:type="pct"/>
            <w:tcBorders>
              <w:top w:val="nil"/>
              <w:left w:val="nil"/>
              <w:bottom w:val="single" w:sz="8" w:space="0" w:color="67B93E"/>
              <w:right w:val="single" w:sz="8" w:space="0" w:color="67B93E"/>
            </w:tcBorders>
            <w:shd w:val="clear" w:color="000000" w:fill="F2F2F2"/>
            <w:vAlign w:val="center"/>
            <w:hideMark/>
          </w:tcPr>
          <w:p w14:paraId="6B349173"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w:t>
            </w:r>
          </w:p>
        </w:tc>
        <w:tc>
          <w:tcPr>
            <w:tcW w:w="721" w:type="pct"/>
            <w:tcBorders>
              <w:top w:val="nil"/>
              <w:left w:val="nil"/>
              <w:bottom w:val="single" w:sz="8" w:space="0" w:color="67B93E"/>
              <w:right w:val="single" w:sz="8" w:space="0" w:color="67B93E"/>
            </w:tcBorders>
            <w:shd w:val="clear" w:color="000000" w:fill="F2F2F2"/>
            <w:vAlign w:val="center"/>
            <w:hideMark/>
          </w:tcPr>
          <w:p w14:paraId="5ABCD892"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0,00%</w:t>
            </w:r>
          </w:p>
        </w:tc>
        <w:tc>
          <w:tcPr>
            <w:tcW w:w="1208" w:type="pct"/>
            <w:tcBorders>
              <w:top w:val="nil"/>
              <w:left w:val="nil"/>
              <w:bottom w:val="single" w:sz="8" w:space="0" w:color="67B93E"/>
              <w:right w:val="single" w:sz="8" w:space="0" w:color="67B93E"/>
            </w:tcBorders>
            <w:shd w:val="clear" w:color="000000" w:fill="FFFFFF"/>
            <w:vAlign w:val="center"/>
            <w:hideMark/>
          </w:tcPr>
          <w:p w14:paraId="19CD332E"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1</w:t>
            </w:r>
          </w:p>
        </w:tc>
        <w:tc>
          <w:tcPr>
            <w:tcW w:w="721" w:type="pct"/>
            <w:tcBorders>
              <w:top w:val="nil"/>
              <w:left w:val="nil"/>
              <w:bottom w:val="single" w:sz="8" w:space="0" w:color="67B93E"/>
              <w:right w:val="single" w:sz="8" w:space="0" w:color="67B93E"/>
            </w:tcBorders>
            <w:shd w:val="clear" w:color="000000" w:fill="F2F2F2"/>
            <w:vAlign w:val="center"/>
            <w:hideMark/>
          </w:tcPr>
          <w:p w14:paraId="703132E4" w14:textId="77777777" w:rsidR="00AE6950" w:rsidRPr="00AE6950" w:rsidRDefault="00AE6950" w:rsidP="00AE6950">
            <w:pPr>
              <w:widowControl/>
              <w:autoSpaceDE/>
              <w:autoSpaceDN/>
              <w:jc w:val="center"/>
              <w:rPr>
                <w:rFonts w:ascii="Humanst521 BT" w:eastAsia="Times New Roman" w:hAnsi="Humanst521 BT" w:cs="Arial"/>
                <w:color w:val="000000"/>
                <w:sz w:val="20"/>
                <w:szCs w:val="20"/>
                <w:lang w:val="es-CO" w:eastAsia="es-CO"/>
              </w:rPr>
            </w:pPr>
            <w:r w:rsidRPr="00AE6950">
              <w:rPr>
                <w:rFonts w:ascii="Humanst521 BT" w:eastAsia="Times New Roman" w:hAnsi="Humanst521 BT" w:cs="Arial"/>
                <w:color w:val="000000"/>
                <w:sz w:val="20"/>
                <w:szCs w:val="20"/>
                <w:lang w:val="es-CO" w:eastAsia="es-CO"/>
              </w:rPr>
              <w:t>0,04%</w:t>
            </w:r>
          </w:p>
        </w:tc>
      </w:tr>
      <w:tr w:rsidR="00AE6950" w:rsidRPr="00AE6950" w14:paraId="64187606" w14:textId="77777777" w:rsidTr="00AE6950">
        <w:trPr>
          <w:trHeight w:val="270"/>
        </w:trPr>
        <w:tc>
          <w:tcPr>
            <w:tcW w:w="1376" w:type="pct"/>
            <w:tcBorders>
              <w:top w:val="nil"/>
              <w:left w:val="single" w:sz="8" w:space="0" w:color="67B93E"/>
              <w:bottom w:val="single" w:sz="8" w:space="0" w:color="67B93E"/>
              <w:right w:val="single" w:sz="8" w:space="0" w:color="67B93E"/>
            </w:tcBorders>
            <w:shd w:val="clear" w:color="000000" w:fill="C5E0B3"/>
            <w:vAlign w:val="center"/>
            <w:hideMark/>
          </w:tcPr>
          <w:p w14:paraId="2F9342E2" w14:textId="77777777" w:rsidR="00AE6950" w:rsidRPr="00AE6950" w:rsidRDefault="00AE6950" w:rsidP="00AE6950">
            <w:pPr>
              <w:widowControl/>
              <w:autoSpaceDE/>
              <w:autoSpaceDN/>
              <w:jc w:val="both"/>
              <w:rPr>
                <w:rFonts w:ascii="Humanst521 BT" w:eastAsia="Times New Roman" w:hAnsi="Humanst521 BT" w:cs="Arial"/>
                <w:b/>
                <w:bCs/>
                <w:color w:val="000000"/>
                <w:sz w:val="20"/>
                <w:szCs w:val="20"/>
                <w:lang w:val="es-CO" w:eastAsia="es-CO"/>
              </w:rPr>
            </w:pPr>
            <w:proofErr w:type="gramStart"/>
            <w:r w:rsidRPr="00AE6950">
              <w:rPr>
                <w:rFonts w:ascii="Humanst521 BT" w:eastAsia="Times New Roman" w:hAnsi="Humanst521 BT" w:cs="Arial"/>
                <w:b/>
                <w:bCs/>
                <w:color w:val="000000"/>
                <w:sz w:val="20"/>
                <w:szCs w:val="20"/>
                <w:lang w:val="es-CO" w:eastAsia="es-CO"/>
              </w:rPr>
              <w:t>Total</w:t>
            </w:r>
            <w:proofErr w:type="gramEnd"/>
            <w:r w:rsidRPr="00AE6950">
              <w:rPr>
                <w:rFonts w:ascii="Humanst521 BT" w:eastAsia="Times New Roman" w:hAnsi="Humanst521 BT" w:cs="Arial"/>
                <w:b/>
                <w:bCs/>
                <w:color w:val="000000"/>
                <w:sz w:val="20"/>
                <w:szCs w:val="20"/>
                <w:lang w:val="es-CO" w:eastAsia="es-CO"/>
              </w:rPr>
              <w:t xml:space="preserve"> general</w:t>
            </w:r>
          </w:p>
        </w:tc>
        <w:tc>
          <w:tcPr>
            <w:tcW w:w="973" w:type="pct"/>
            <w:tcBorders>
              <w:top w:val="nil"/>
              <w:left w:val="nil"/>
              <w:bottom w:val="single" w:sz="8" w:space="0" w:color="67B93E"/>
              <w:right w:val="single" w:sz="8" w:space="0" w:color="67B93E"/>
            </w:tcBorders>
            <w:shd w:val="clear" w:color="000000" w:fill="C5E0B3"/>
            <w:vAlign w:val="center"/>
            <w:hideMark/>
          </w:tcPr>
          <w:p w14:paraId="3F799CBC" w14:textId="77777777"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2.760</w:t>
            </w:r>
          </w:p>
        </w:tc>
        <w:tc>
          <w:tcPr>
            <w:tcW w:w="721" w:type="pct"/>
            <w:tcBorders>
              <w:top w:val="nil"/>
              <w:left w:val="nil"/>
              <w:bottom w:val="single" w:sz="8" w:space="0" w:color="67B93E"/>
              <w:right w:val="single" w:sz="8" w:space="0" w:color="67B93E"/>
            </w:tcBorders>
            <w:shd w:val="clear" w:color="000000" w:fill="C5E0B3"/>
            <w:vAlign w:val="center"/>
            <w:hideMark/>
          </w:tcPr>
          <w:p w14:paraId="377EC0D3" w14:textId="77777777"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-0,70%</w:t>
            </w:r>
          </w:p>
        </w:tc>
        <w:tc>
          <w:tcPr>
            <w:tcW w:w="1208" w:type="pct"/>
            <w:tcBorders>
              <w:top w:val="nil"/>
              <w:left w:val="nil"/>
              <w:bottom w:val="single" w:sz="8" w:space="0" w:color="67B93E"/>
              <w:right w:val="single" w:sz="8" w:space="0" w:color="67B93E"/>
            </w:tcBorders>
            <w:shd w:val="clear" w:color="000000" w:fill="C5E0B3"/>
            <w:vAlign w:val="center"/>
            <w:hideMark/>
          </w:tcPr>
          <w:p w14:paraId="14B8210B" w14:textId="77777777"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2.792</w:t>
            </w:r>
          </w:p>
        </w:tc>
        <w:tc>
          <w:tcPr>
            <w:tcW w:w="721" w:type="pct"/>
            <w:tcBorders>
              <w:top w:val="nil"/>
              <w:left w:val="nil"/>
              <w:bottom w:val="single" w:sz="8" w:space="0" w:color="67B93E"/>
              <w:right w:val="single" w:sz="8" w:space="0" w:color="67B93E"/>
            </w:tcBorders>
            <w:shd w:val="clear" w:color="000000" w:fill="C5E0B3"/>
            <w:vAlign w:val="center"/>
            <w:hideMark/>
          </w:tcPr>
          <w:p w14:paraId="76D853EC" w14:textId="77777777" w:rsidR="00AE6950" w:rsidRPr="00AE6950" w:rsidRDefault="00AE6950" w:rsidP="00AE6950">
            <w:pPr>
              <w:widowControl/>
              <w:autoSpaceDE/>
              <w:autoSpaceDN/>
              <w:jc w:val="center"/>
              <w:rPr>
                <w:rFonts w:ascii="Humanst521 BT" w:eastAsia="Times New Roman" w:hAnsi="Humanst521 BT" w:cs="Arial"/>
                <w:b/>
                <w:bCs/>
                <w:color w:val="000000"/>
                <w:sz w:val="20"/>
                <w:szCs w:val="20"/>
                <w:lang w:val="es-CO" w:eastAsia="es-CO"/>
              </w:rPr>
            </w:pPr>
            <w:r w:rsidRPr="00AE6950">
              <w:rPr>
                <w:rFonts w:ascii="Humanst521 BT" w:eastAsia="Times New Roman" w:hAnsi="Humanst521 BT" w:cs="Arial"/>
                <w:b/>
                <w:bCs/>
                <w:color w:val="000000"/>
                <w:sz w:val="20"/>
                <w:szCs w:val="20"/>
                <w:lang w:val="es-CO" w:eastAsia="es-CO"/>
              </w:rPr>
              <w:t>100%</w:t>
            </w:r>
          </w:p>
        </w:tc>
      </w:tr>
    </w:tbl>
    <w:p w14:paraId="2E74B488" w14:textId="77777777" w:rsidR="006C597F" w:rsidRPr="000712D6" w:rsidRDefault="006C597F" w:rsidP="006C597F">
      <w:pPr>
        <w:autoSpaceDE/>
        <w:autoSpaceDN/>
        <w:jc w:val="both"/>
        <w:rPr>
          <w:rFonts w:ascii="Humanst521 BT" w:hAnsi="Humanst521 BT" w:cstheme="minorBidi"/>
        </w:rPr>
      </w:pPr>
    </w:p>
    <w:p w14:paraId="4E3E8206" w14:textId="77777777" w:rsidR="006C597F" w:rsidRPr="000712D6" w:rsidRDefault="006C597F" w:rsidP="006C597F">
      <w:pPr>
        <w:autoSpaceDE/>
        <w:autoSpaceDN/>
        <w:jc w:val="both"/>
        <w:rPr>
          <w:rFonts w:ascii="Humanst521 BT" w:hAnsi="Humanst521 BT" w:cstheme="minorBidi"/>
        </w:rPr>
      </w:pPr>
      <w:r w:rsidRPr="3D60B639">
        <w:rPr>
          <w:rFonts w:ascii="Humanst521 BT" w:hAnsi="Humanst521 BT" w:cstheme="minorBidi"/>
        </w:rPr>
        <w:t>Fuente: Área afiliación 2025</w:t>
      </w:r>
    </w:p>
    <w:p w14:paraId="4F0EF7FF" w14:textId="77777777" w:rsidR="006C597F" w:rsidRPr="000712D6" w:rsidRDefault="006C597F" w:rsidP="006C597F">
      <w:pPr>
        <w:spacing w:before="240" w:after="240"/>
        <w:jc w:val="both"/>
        <w:rPr>
          <w:rFonts w:ascii="Humanst521 BT" w:eastAsia="Humanst521 BT" w:hAnsi="Humanst521 BT" w:cs="Humanst521 BT"/>
        </w:rPr>
      </w:pPr>
      <w:r w:rsidRPr="000712D6">
        <w:rPr>
          <w:rFonts w:ascii="Humanst521 BT" w:eastAsia="Humanst521 BT" w:hAnsi="Humanst521 BT" w:cs="Humanst521 BT"/>
        </w:rPr>
        <w:t>La mayor proporción de la población afiliada se encuentra ubicada en la ciudad de Bucaramanga, con el 64,97 % (1.814 afiliados). Asimismo, los residentes del área metropolitana de Bucaramanga ascienden a 2.675 afiliados, lo que representa el 95,81 % del total de afiliados de UISALUD, quienes cuentan con acceso directo a la Institución Prestadora de Servicios de Salud (IPS) primaria de Bucaramanga.</w:t>
      </w:r>
    </w:p>
    <w:p w14:paraId="0C4CC6FC" w14:textId="77777777" w:rsidR="006C597F" w:rsidRPr="000712D6" w:rsidRDefault="006C597F" w:rsidP="006C597F">
      <w:pPr>
        <w:spacing w:before="240" w:after="240"/>
        <w:jc w:val="both"/>
        <w:rPr>
          <w:rFonts w:ascii="Humanst521 BT" w:eastAsia="Humanst521 BT" w:hAnsi="Humanst521 BT" w:cs="Humanst521 BT"/>
        </w:rPr>
      </w:pPr>
      <w:r w:rsidRPr="000712D6">
        <w:rPr>
          <w:rFonts w:ascii="Humanst521 BT" w:eastAsia="Humanst521 BT" w:hAnsi="Humanst521 BT" w:cs="Humanst521 BT"/>
        </w:rPr>
        <w:t>Los afiliados que residen en otros municipios reciben la atención en salud a través de la Red Universitaria de Servicios de Salud (RUSS) y de las IPS de la red contratada, garantizando la continuidad y cobertura de los servicios conforme a los lineamientos institucionales.</w:t>
      </w:r>
    </w:p>
    <w:p w14:paraId="2A02471E" w14:textId="0C53AF78" w:rsidR="007014FC" w:rsidRPr="008B1097" w:rsidRDefault="00F14648" w:rsidP="00B20579">
      <w:pPr>
        <w:pStyle w:val="Descripcin"/>
        <w:spacing w:line="240" w:lineRule="auto"/>
        <w:outlineLvl w:val="3"/>
        <w:rPr>
          <w:rFonts w:ascii="Humanst521 BT" w:eastAsia="Verdana" w:hAnsi="Humanst521 BT" w:cs="Verdana"/>
          <w:sz w:val="24"/>
          <w:szCs w:val="24"/>
          <w:lang w:val="es-ES"/>
        </w:rPr>
      </w:pPr>
      <w:bookmarkStart w:id="20" w:name="_Toc231286787"/>
      <w:r w:rsidRPr="001873FD">
        <w:rPr>
          <w:rFonts w:ascii="Humanst521 BT" w:eastAsia="Verdana" w:hAnsi="Humanst521 BT" w:cs="Verdana"/>
          <w:sz w:val="22"/>
          <w:szCs w:val="22"/>
          <w:lang w:val="es-ES"/>
        </w:rPr>
        <w:t>5.</w:t>
      </w:r>
      <w:r w:rsidR="006E14D8" w:rsidRPr="001873FD">
        <w:rPr>
          <w:rFonts w:ascii="Humanst521 BT" w:eastAsia="Verdana" w:hAnsi="Humanst521 BT" w:cs="Verdana"/>
          <w:sz w:val="22"/>
          <w:szCs w:val="22"/>
          <w:lang w:val="es-ES"/>
        </w:rPr>
        <w:t>1.1.2.</w:t>
      </w:r>
      <w:r w:rsidR="00E715BA" w:rsidRPr="001873FD">
        <w:rPr>
          <w:rFonts w:ascii="Humanst521 BT" w:eastAsia="Verdana" w:hAnsi="Humanst521 BT" w:cs="Verdana"/>
          <w:sz w:val="22"/>
          <w:szCs w:val="22"/>
          <w:lang w:val="es-ES"/>
        </w:rPr>
        <w:t xml:space="preserve"> </w:t>
      </w:r>
      <w:r w:rsidR="007014FC" w:rsidRPr="001873FD">
        <w:rPr>
          <w:rFonts w:ascii="Humanst521 BT" w:eastAsia="Verdana" w:hAnsi="Humanst521 BT" w:cs="Verdana"/>
          <w:sz w:val="22"/>
          <w:szCs w:val="22"/>
          <w:lang w:val="es-ES"/>
        </w:rPr>
        <w:t>Estructura demográfica de su población y el comportamiento evolutivo</w:t>
      </w:r>
      <w:r w:rsidR="007014FC" w:rsidRPr="008B1097">
        <w:rPr>
          <w:rFonts w:ascii="Humanst521 BT" w:eastAsia="Verdana" w:hAnsi="Humanst521 BT" w:cs="Verdana"/>
          <w:sz w:val="24"/>
          <w:szCs w:val="24"/>
          <w:lang w:val="es-ES"/>
        </w:rPr>
        <w:t>.</w:t>
      </w:r>
      <w:bookmarkEnd w:id="20"/>
    </w:p>
    <w:p w14:paraId="351CEB0B" w14:textId="77777777" w:rsidR="00531A23" w:rsidRPr="000712D6" w:rsidRDefault="00531A23" w:rsidP="00531A23">
      <w:pPr>
        <w:autoSpaceDE/>
        <w:autoSpaceDN/>
        <w:spacing w:before="100" w:beforeAutospacing="1" w:after="100" w:afterAutospacing="1"/>
        <w:jc w:val="both"/>
        <w:rPr>
          <w:rFonts w:ascii="Humanst521 BT" w:hAnsi="Humanst521 BT" w:cstheme="minorBidi"/>
        </w:rPr>
      </w:pPr>
      <w:r w:rsidRPr="7E4EB3F3">
        <w:rPr>
          <w:rFonts w:ascii="Humanst521 BT" w:hAnsi="Humanst521 BT" w:cstheme="minorBidi"/>
        </w:rPr>
        <w:t>A diciembre del año 2025, UISALUD contaba con un total de 2.792 afiliados, de los cuales 1.737 (62,46%) eran cotizantes y 1.044 (37,54%) beneficiarios. Se registraron interrupciones temporales por viaje al exterior en 9 cotizantes (0,32%) y 2 beneficiarios (0,07%).</w:t>
      </w:r>
    </w:p>
    <w:p w14:paraId="3171E548" w14:textId="77777777" w:rsidR="00531A23" w:rsidRPr="000712D6" w:rsidRDefault="00531A23" w:rsidP="00531A23">
      <w:pPr>
        <w:autoSpaceDE/>
        <w:autoSpaceDN/>
        <w:spacing w:before="100" w:beforeAutospacing="1" w:after="100" w:afterAutospacing="1"/>
        <w:jc w:val="both"/>
        <w:rPr>
          <w:rFonts w:ascii="Humanst521 BT" w:hAnsi="Humanst521 BT" w:cstheme="minorBidi"/>
        </w:rPr>
      </w:pPr>
      <w:r w:rsidRPr="3D60B639">
        <w:rPr>
          <w:rFonts w:ascii="Humanst521 BT" w:hAnsi="Humanst521 BT" w:cstheme="minorBidi"/>
        </w:rPr>
        <w:t>Del total de cotizantes, 791 (45,54%) correspondieron a personal activo de la UIS, distribuido en 463 docentes y 328 administrativos, mientras que 946 (54,46%) fueron pensionados.</w:t>
      </w:r>
    </w:p>
    <w:p w14:paraId="5EBE8F03" w14:textId="40CFB55E" w:rsidR="00531A23" w:rsidRPr="000712D6" w:rsidRDefault="00531A23" w:rsidP="00531A23">
      <w:pPr>
        <w:ind w:right="-20"/>
        <w:rPr>
          <w:rFonts w:ascii="Humanst521 BT" w:hAnsi="Humanst521 BT"/>
        </w:rPr>
      </w:pPr>
      <w:bookmarkStart w:id="21" w:name="_Toc220995092"/>
      <w:r w:rsidRPr="000712D6">
        <w:rPr>
          <w:rFonts w:ascii="Humanst521 BT" w:hAnsi="Humanst521 BT" w:cstheme="minorBidi"/>
          <w:szCs w:val="18"/>
        </w:rPr>
        <w:t xml:space="preserve">Figura </w:t>
      </w:r>
      <w:r w:rsidRPr="000712D6">
        <w:rPr>
          <w:rFonts w:ascii="Humanst521 BT" w:hAnsi="Humanst521 BT" w:cstheme="minorBidi"/>
          <w:szCs w:val="18"/>
        </w:rPr>
        <w:fldChar w:fldCharType="begin"/>
      </w:r>
      <w:r w:rsidRPr="000712D6">
        <w:rPr>
          <w:rFonts w:ascii="Humanst521 BT" w:hAnsi="Humanst521 BT" w:cstheme="minorBidi"/>
          <w:szCs w:val="18"/>
        </w:rPr>
        <w:instrText xml:space="preserve"> SEQ Figura \* ARABIC </w:instrText>
      </w:r>
      <w:r w:rsidRPr="000712D6">
        <w:rPr>
          <w:rFonts w:ascii="Humanst521 BT" w:hAnsi="Humanst521 BT" w:cstheme="minorBidi"/>
          <w:szCs w:val="18"/>
        </w:rPr>
        <w:fldChar w:fldCharType="separate"/>
      </w:r>
      <w:r w:rsidR="007E563D">
        <w:rPr>
          <w:rFonts w:ascii="Humanst521 BT" w:hAnsi="Humanst521 BT" w:cstheme="minorBidi"/>
          <w:noProof/>
          <w:szCs w:val="18"/>
        </w:rPr>
        <w:t>1</w:t>
      </w:r>
      <w:r w:rsidRPr="000712D6">
        <w:rPr>
          <w:rFonts w:ascii="Humanst521 BT" w:hAnsi="Humanst521 BT" w:cstheme="minorBidi"/>
          <w:szCs w:val="18"/>
        </w:rPr>
        <w:fldChar w:fldCharType="end"/>
      </w:r>
      <w:r w:rsidRPr="000712D6">
        <w:rPr>
          <w:rFonts w:ascii="Humanst521 BT" w:hAnsi="Humanst521 BT" w:cstheme="minorBidi"/>
          <w:szCs w:val="18"/>
        </w:rPr>
        <w:t>. Distribución de afiliados por tipo de afiliación</w:t>
      </w:r>
      <w:bookmarkEnd w:id="21"/>
    </w:p>
    <w:p w14:paraId="4F814CF7" w14:textId="77777777" w:rsidR="00531A23" w:rsidRPr="000712D6" w:rsidRDefault="00531A23" w:rsidP="00531A23">
      <w:pPr>
        <w:ind w:right="-20"/>
        <w:jc w:val="both"/>
        <w:rPr>
          <w:rFonts w:ascii="Humanst521 BT" w:hAnsi="Humanst521 BT"/>
          <w:color w:val="FF0000"/>
        </w:rPr>
      </w:pPr>
    </w:p>
    <w:p w14:paraId="2E7288A2" w14:textId="77777777" w:rsidR="00531A23" w:rsidRPr="000712D6" w:rsidRDefault="00531A23" w:rsidP="00531A23">
      <w:pPr>
        <w:ind w:right="-20"/>
        <w:jc w:val="center"/>
        <w:rPr>
          <w:rFonts w:ascii="Humanst521 BT" w:hAnsi="Humanst521 BT"/>
        </w:rPr>
      </w:pPr>
      <w:r w:rsidRPr="000712D6">
        <w:rPr>
          <w:rFonts w:ascii="Humanst521 BT" w:hAnsi="Humanst521 BT"/>
          <w:noProof/>
        </w:rPr>
        <w:drawing>
          <wp:inline distT="0" distB="0" distL="0" distR="0" wp14:anchorId="41490792" wp14:editId="29B45025">
            <wp:extent cx="3475592" cy="2106270"/>
            <wp:effectExtent l="0" t="0" r="0" b="0"/>
            <wp:docPr id="7880304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30427" name="Picture 788030427"/>
                    <pic:cNvPicPr/>
                  </pic:nvPicPr>
                  <pic:blipFill>
                    <a:blip r:embed="rId8">
                      <a:extLst>
                        <a:ext uri="{28A0092B-C50C-407E-A947-70E740481C1C}">
                          <a14:useLocalDpi xmlns:a14="http://schemas.microsoft.com/office/drawing/2010/main"/>
                        </a:ext>
                      </a:extLst>
                    </a:blip>
                    <a:stretch>
                      <a:fillRect/>
                    </a:stretch>
                  </pic:blipFill>
                  <pic:spPr>
                    <a:xfrm>
                      <a:off x="0" y="0"/>
                      <a:ext cx="3475592" cy="2106270"/>
                    </a:xfrm>
                    <a:prstGeom prst="rect">
                      <a:avLst/>
                    </a:prstGeom>
                  </pic:spPr>
                </pic:pic>
              </a:graphicData>
            </a:graphic>
          </wp:inline>
        </w:drawing>
      </w:r>
    </w:p>
    <w:p w14:paraId="7AF06DB7" w14:textId="77777777" w:rsidR="00531A23" w:rsidRPr="000712D6" w:rsidRDefault="00531A23" w:rsidP="00531A23">
      <w:pPr>
        <w:ind w:right="-20"/>
        <w:jc w:val="center"/>
        <w:rPr>
          <w:rFonts w:ascii="Humanst521 BT" w:hAnsi="Humanst521 BT"/>
        </w:rPr>
      </w:pPr>
    </w:p>
    <w:p w14:paraId="74ADEE87" w14:textId="77777777" w:rsidR="00531A23" w:rsidRPr="000712D6" w:rsidRDefault="00531A23" w:rsidP="00531A23">
      <w:pPr>
        <w:ind w:left="-20" w:right="-20"/>
        <w:jc w:val="both"/>
        <w:rPr>
          <w:rFonts w:ascii="Humanst521 BT" w:eastAsia="Humanst521 BT" w:hAnsi="Humanst521 BT" w:cs="Humanst521 BT"/>
          <w:szCs w:val="18"/>
        </w:rPr>
      </w:pPr>
    </w:p>
    <w:p w14:paraId="4FA4A45B" w14:textId="373123B7" w:rsidR="00531A23" w:rsidRPr="000712D6" w:rsidRDefault="00531A23" w:rsidP="00531A23">
      <w:pPr>
        <w:ind w:right="-20"/>
        <w:rPr>
          <w:rFonts w:ascii="Humanst521 BT" w:hAnsi="Humanst521 BT" w:cstheme="minorBidi"/>
          <w:szCs w:val="18"/>
        </w:rPr>
      </w:pPr>
      <w:r w:rsidRPr="000712D6">
        <w:rPr>
          <w:rFonts w:ascii="Humanst521 BT" w:hAnsi="Humanst521 BT" w:cstheme="minorBidi"/>
          <w:szCs w:val="18"/>
        </w:rPr>
        <w:lastRenderedPageBreak/>
        <w:t xml:space="preserve">Figura </w:t>
      </w:r>
      <w:r w:rsidRPr="000712D6">
        <w:rPr>
          <w:rFonts w:ascii="Humanst521 BT" w:hAnsi="Humanst521 BT" w:cstheme="minorBidi"/>
          <w:szCs w:val="18"/>
        </w:rPr>
        <w:fldChar w:fldCharType="begin"/>
      </w:r>
      <w:r w:rsidRPr="000712D6">
        <w:rPr>
          <w:rFonts w:ascii="Humanst521 BT" w:hAnsi="Humanst521 BT" w:cstheme="minorBidi"/>
          <w:szCs w:val="18"/>
        </w:rPr>
        <w:instrText xml:space="preserve"> SEQ Figura \* ARABIC </w:instrText>
      </w:r>
      <w:r w:rsidRPr="000712D6">
        <w:rPr>
          <w:rFonts w:ascii="Humanst521 BT" w:hAnsi="Humanst521 BT" w:cstheme="minorBidi"/>
          <w:szCs w:val="18"/>
        </w:rPr>
        <w:fldChar w:fldCharType="separate"/>
      </w:r>
      <w:r w:rsidR="003E72CD">
        <w:rPr>
          <w:rFonts w:ascii="Humanst521 BT" w:hAnsi="Humanst521 BT" w:cstheme="minorBidi"/>
          <w:noProof/>
          <w:szCs w:val="18"/>
        </w:rPr>
        <w:t>2</w:t>
      </w:r>
      <w:r w:rsidRPr="000712D6">
        <w:rPr>
          <w:rFonts w:ascii="Humanst521 BT" w:hAnsi="Humanst521 BT" w:cstheme="minorBidi"/>
          <w:szCs w:val="18"/>
        </w:rPr>
        <w:fldChar w:fldCharType="end"/>
      </w:r>
      <w:r w:rsidRPr="000712D6">
        <w:rPr>
          <w:rFonts w:ascii="Humanst521 BT" w:hAnsi="Humanst521 BT" w:cstheme="minorBidi"/>
          <w:szCs w:val="18"/>
        </w:rPr>
        <w:t>. Distribución de afiliados cotizantes</w:t>
      </w:r>
    </w:p>
    <w:p w14:paraId="7A4225E0" w14:textId="77777777" w:rsidR="00531A23" w:rsidRPr="000712D6" w:rsidRDefault="00531A23" w:rsidP="00531A23">
      <w:pPr>
        <w:ind w:right="-20"/>
        <w:rPr>
          <w:rFonts w:ascii="Humanst521 BT" w:hAnsi="Humanst521 BT"/>
        </w:rPr>
      </w:pPr>
    </w:p>
    <w:p w14:paraId="56B3F504" w14:textId="77777777" w:rsidR="00531A23" w:rsidRPr="000712D6" w:rsidRDefault="00531A23" w:rsidP="00531A23">
      <w:pPr>
        <w:ind w:right="-20"/>
        <w:jc w:val="center"/>
        <w:rPr>
          <w:rFonts w:ascii="Humanst521 BT" w:hAnsi="Humanst521 BT"/>
        </w:rPr>
      </w:pPr>
      <w:r w:rsidRPr="000712D6">
        <w:rPr>
          <w:rFonts w:ascii="Humanst521 BT" w:hAnsi="Humanst521 BT"/>
          <w:noProof/>
        </w:rPr>
        <w:drawing>
          <wp:inline distT="0" distB="0" distL="0" distR="0" wp14:anchorId="057368B2" wp14:editId="3784328E">
            <wp:extent cx="3550144" cy="2011119"/>
            <wp:effectExtent l="0" t="0" r="0" b="0"/>
            <wp:docPr id="20070283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28307" name="Picture 2007028307"/>
                    <pic:cNvPicPr/>
                  </pic:nvPicPr>
                  <pic:blipFill>
                    <a:blip r:embed="rId9">
                      <a:extLst>
                        <a:ext uri="{28A0092B-C50C-407E-A947-70E740481C1C}">
                          <a14:useLocalDpi xmlns:a14="http://schemas.microsoft.com/office/drawing/2010/main"/>
                        </a:ext>
                      </a:extLst>
                    </a:blip>
                    <a:stretch>
                      <a:fillRect/>
                    </a:stretch>
                  </pic:blipFill>
                  <pic:spPr>
                    <a:xfrm>
                      <a:off x="0" y="0"/>
                      <a:ext cx="3550144" cy="2011119"/>
                    </a:xfrm>
                    <a:prstGeom prst="rect">
                      <a:avLst/>
                    </a:prstGeom>
                  </pic:spPr>
                </pic:pic>
              </a:graphicData>
            </a:graphic>
          </wp:inline>
        </w:drawing>
      </w:r>
    </w:p>
    <w:p w14:paraId="50CB70FF" w14:textId="77777777" w:rsidR="00531A23" w:rsidRPr="000712D6" w:rsidRDefault="00531A23" w:rsidP="00531A23">
      <w:pPr>
        <w:pStyle w:val="Textopredeterminado"/>
        <w:rPr>
          <w:noProof/>
          <w:szCs w:val="22"/>
        </w:rPr>
      </w:pPr>
      <w:r w:rsidRPr="3D60B639">
        <w:rPr>
          <w:noProof/>
          <w:szCs w:val="22"/>
        </w:rPr>
        <w:t>Fuente: Área de afiliaciones UISALUD, 2025</w:t>
      </w:r>
    </w:p>
    <w:p w14:paraId="27BAB89C" w14:textId="77777777" w:rsidR="00531A23" w:rsidRDefault="00531A23" w:rsidP="00531A23">
      <w:pPr>
        <w:pStyle w:val="Textopredeterminado"/>
        <w:rPr>
          <w:noProof/>
          <w:szCs w:val="22"/>
        </w:rPr>
      </w:pPr>
    </w:p>
    <w:p w14:paraId="0D2B19EA" w14:textId="000866F2" w:rsidR="00FB1286" w:rsidRPr="007F0FA7" w:rsidRDefault="00FB1286" w:rsidP="00990E7D">
      <w:pPr>
        <w:ind w:right="-20"/>
        <w:jc w:val="both"/>
        <w:rPr>
          <w:rFonts w:ascii="Humanst521 BT" w:hAnsi="Humanst521 BT" w:cstheme="minorBidi"/>
        </w:rPr>
      </w:pPr>
    </w:p>
    <w:p w14:paraId="5FE3527A" w14:textId="49FA8D2B" w:rsidR="00FB1286" w:rsidRPr="007F0FA7" w:rsidRDefault="00FB1286" w:rsidP="00990E7D">
      <w:pPr>
        <w:ind w:right="-20"/>
        <w:jc w:val="both"/>
        <w:rPr>
          <w:rFonts w:ascii="Humanst521 BT" w:hAnsi="Humanst521 BT" w:cstheme="minorBidi"/>
        </w:rPr>
      </w:pPr>
    </w:p>
    <w:p w14:paraId="48BC79D8" w14:textId="77777777" w:rsidR="000F4F16" w:rsidRPr="000712D6" w:rsidRDefault="000F4F16" w:rsidP="000F4F16">
      <w:pPr>
        <w:pStyle w:val="Default"/>
        <w:jc w:val="both"/>
        <w:rPr>
          <w:rFonts w:ascii="Humanst521 BT" w:hAnsi="Humanst521 BT" w:cstheme="minorBidi"/>
          <w:sz w:val="22"/>
          <w:szCs w:val="22"/>
        </w:rPr>
      </w:pPr>
      <w:bookmarkStart w:id="22" w:name="_Toc988694683"/>
      <w:r w:rsidRPr="000712D6">
        <w:rPr>
          <w:rFonts w:ascii="Humanst521 BT" w:hAnsi="Humanst521 BT" w:cstheme="minorBidi"/>
          <w:sz w:val="22"/>
          <w:szCs w:val="22"/>
        </w:rPr>
        <w:t>La pirámide poblacional de UISALUD tiene una tendencia estacionaria, se aprecia un equilibrio entre todos los grupos de edad, consecuencia de una natalidad y mortalidad que se mantienen sin variaciones significativas durante un período de tiempo largo. Esta pirámide es una clara expresión de vejez, pero aún no estable, dado que la población sigue su envejecimiento, entre otros aspectos, por la elevada esperanza de vida en esta población. Es una típica pirámide de población con altos grados de desarrollo estructural y económico.  Esta pirámide se considera el paso intermedio entre la pirámide progresiva y la regresiva. (Ver figura 9).</w:t>
      </w:r>
    </w:p>
    <w:p w14:paraId="019B296A" w14:textId="77777777" w:rsidR="000F4F16" w:rsidRPr="000712D6" w:rsidRDefault="000F4F16" w:rsidP="000F4F16">
      <w:pPr>
        <w:pStyle w:val="Default"/>
        <w:jc w:val="both"/>
        <w:rPr>
          <w:rFonts w:ascii="Humanst521 BT" w:hAnsi="Humanst521 BT" w:cstheme="minorBidi"/>
          <w:sz w:val="22"/>
          <w:szCs w:val="22"/>
        </w:rPr>
      </w:pPr>
    </w:p>
    <w:p w14:paraId="38908819" w14:textId="30FF035D" w:rsidR="000F4F16" w:rsidRPr="000712D6" w:rsidRDefault="000F4F16" w:rsidP="000F4F16">
      <w:pPr>
        <w:pStyle w:val="Descripcin"/>
        <w:spacing w:after="0"/>
        <w:rPr>
          <w:rFonts w:ascii="Humanst521 BT" w:hAnsi="Humanst521 BT"/>
          <w:sz w:val="22"/>
          <w:szCs w:val="22"/>
        </w:rPr>
      </w:pPr>
      <w:bookmarkStart w:id="23" w:name="_Toc220995093"/>
      <w:r w:rsidRPr="000712D6">
        <w:rPr>
          <w:rFonts w:ascii="Humanst521 BT" w:hAnsi="Humanst521 BT"/>
          <w:sz w:val="22"/>
          <w:szCs w:val="22"/>
        </w:rPr>
        <w:t xml:space="preserve">Figura </w:t>
      </w:r>
      <w:r w:rsidRPr="000712D6">
        <w:rPr>
          <w:rFonts w:ascii="Humanst521 BT" w:hAnsi="Humanst521 BT"/>
          <w:sz w:val="22"/>
          <w:szCs w:val="22"/>
        </w:rPr>
        <w:fldChar w:fldCharType="begin"/>
      </w:r>
      <w:r w:rsidRPr="000712D6">
        <w:rPr>
          <w:rFonts w:ascii="Humanst521 BT" w:hAnsi="Humanst521 BT"/>
          <w:sz w:val="22"/>
          <w:szCs w:val="22"/>
        </w:rPr>
        <w:instrText xml:space="preserve"> SEQ Figura \* ARABIC </w:instrText>
      </w:r>
      <w:r w:rsidRPr="000712D6">
        <w:rPr>
          <w:rFonts w:ascii="Humanst521 BT" w:hAnsi="Humanst521 BT"/>
          <w:sz w:val="22"/>
          <w:szCs w:val="22"/>
        </w:rPr>
        <w:fldChar w:fldCharType="separate"/>
      </w:r>
      <w:r w:rsidR="003E72CD">
        <w:rPr>
          <w:rFonts w:ascii="Humanst521 BT" w:hAnsi="Humanst521 BT"/>
          <w:noProof/>
          <w:sz w:val="22"/>
          <w:szCs w:val="22"/>
        </w:rPr>
        <w:t>3</w:t>
      </w:r>
      <w:r w:rsidRPr="000712D6">
        <w:rPr>
          <w:rFonts w:ascii="Humanst521 BT" w:hAnsi="Humanst521 BT"/>
          <w:sz w:val="22"/>
          <w:szCs w:val="22"/>
        </w:rPr>
        <w:fldChar w:fldCharType="end"/>
      </w:r>
      <w:r w:rsidRPr="000712D6">
        <w:rPr>
          <w:rFonts w:ascii="Humanst521 BT" w:hAnsi="Humanst521 BT"/>
          <w:sz w:val="22"/>
          <w:szCs w:val="22"/>
        </w:rPr>
        <w:t>. Pirámide poblacional de UISALUD</w:t>
      </w:r>
      <w:bookmarkEnd w:id="23"/>
    </w:p>
    <w:p w14:paraId="1BC1F097" w14:textId="77777777" w:rsidR="000F4F16" w:rsidRPr="000712D6" w:rsidRDefault="000F4F16" w:rsidP="000F4F16">
      <w:pPr>
        <w:pStyle w:val="Descripcin"/>
        <w:spacing w:after="0"/>
        <w:rPr>
          <w:rFonts w:ascii="Humanst521 BT" w:hAnsi="Humanst521 BT"/>
          <w:color w:val="FF0000"/>
          <w:sz w:val="24"/>
          <w:szCs w:val="24"/>
        </w:rPr>
      </w:pPr>
    </w:p>
    <w:p w14:paraId="7A37970F" w14:textId="77777777" w:rsidR="000F4F16" w:rsidRPr="000712D6" w:rsidRDefault="000F4F16" w:rsidP="000F4F16">
      <w:pPr>
        <w:pStyle w:val="Descripcin"/>
        <w:spacing w:after="0"/>
        <w:rPr>
          <w:rFonts w:ascii="Humanst521 BT" w:hAnsi="Humanst521 BT"/>
          <w:color w:val="FF0000"/>
        </w:rPr>
      </w:pPr>
      <w:r w:rsidRPr="000712D6">
        <w:rPr>
          <w:rFonts w:ascii="Humanst521 BT" w:hAnsi="Humanst521 BT"/>
          <w:noProof/>
          <w:color w:val="FF0000"/>
        </w:rPr>
        <w:drawing>
          <wp:inline distT="0" distB="0" distL="0" distR="0" wp14:anchorId="5F3A8BF3" wp14:editId="6417DD57">
            <wp:extent cx="4953000" cy="2724150"/>
            <wp:effectExtent l="0" t="0" r="0" b="0"/>
            <wp:docPr id="4876021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02146" name="Picture 487602146"/>
                    <pic:cNvPicPr/>
                  </pic:nvPicPr>
                  <pic:blipFill>
                    <a:blip r:embed="rId10">
                      <a:extLst>
                        <a:ext uri="{28A0092B-C50C-407E-A947-70E740481C1C}">
                          <a14:useLocalDpi xmlns:a14="http://schemas.microsoft.com/office/drawing/2010/main"/>
                        </a:ext>
                      </a:extLst>
                    </a:blip>
                    <a:stretch>
                      <a:fillRect/>
                    </a:stretch>
                  </pic:blipFill>
                  <pic:spPr>
                    <a:xfrm>
                      <a:off x="0" y="0"/>
                      <a:ext cx="4953695" cy="2724532"/>
                    </a:xfrm>
                    <a:prstGeom prst="rect">
                      <a:avLst/>
                    </a:prstGeom>
                  </pic:spPr>
                </pic:pic>
              </a:graphicData>
            </a:graphic>
          </wp:inline>
        </w:drawing>
      </w:r>
    </w:p>
    <w:p w14:paraId="41AB2238" w14:textId="77777777" w:rsidR="000F4F16" w:rsidRPr="000712D6" w:rsidRDefault="000F4F16" w:rsidP="000F4F16">
      <w:pPr>
        <w:pStyle w:val="Descripcin"/>
        <w:spacing w:after="0"/>
        <w:jc w:val="both"/>
        <w:rPr>
          <w:rFonts w:ascii="Humanst521 BT" w:hAnsi="Humanst521 BT"/>
          <w:color w:val="FF0000"/>
          <w:sz w:val="24"/>
          <w:szCs w:val="24"/>
        </w:rPr>
      </w:pPr>
    </w:p>
    <w:p w14:paraId="5D4C9D47" w14:textId="77777777" w:rsidR="000F4F16" w:rsidRPr="000712D6" w:rsidRDefault="000F4F16" w:rsidP="000F4F16">
      <w:pPr>
        <w:rPr>
          <w:rFonts w:ascii="Humanst521 BT" w:hAnsi="Humanst521 BT" w:cstheme="minorBidi"/>
        </w:rPr>
      </w:pPr>
      <w:r w:rsidRPr="07074AB7">
        <w:rPr>
          <w:rFonts w:ascii="Humanst521 BT" w:hAnsi="Humanst521 BT" w:cstheme="minorBidi"/>
        </w:rPr>
        <w:t>Fuente: Caracterización poblacional 2025.</w:t>
      </w:r>
    </w:p>
    <w:p w14:paraId="09DB1001" w14:textId="77777777" w:rsidR="000F4F16" w:rsidRDefault="000F4F16" w:rsidP="00093B44">
      <w:pPr>
        <w:rPr>
          <w:rFonts w:ascii="Humanst521 BT" w:hAnsi="Humanst521 BT" w:cstheme="minorBidi"/>
          <w:b/>
          <w:bCs/>
        </w:rPr>
      </w:pPr>
    </w:p>
    <w:p w14:paraId="3CF4C4C3" w14:textId="77777777" w:rsidR="000F4F16" w:rsidRDefault="000F4F16" w:rsidP="00093B44">
      <w:pPr>
        <w:rPr>
          <w:rFonts w:ascii="Humanst521 BT" w:hAnsi="Humanst521 BT" w:cstheme="minorBidi"/>
          <w:b/>
          <w:bCs/>
        </w:rPr>
      </w:pPr>
    </w:p>
    <w:p w14:paraId="25BDB3C8" w14:textId="493CDF11" w:rsidR="001F2F5D" w:rsidRPr="007D03AF" w:rsidRDefault="00B20579" w:rsidP="001F2F5D">
      <w:pPr>
        <w:pStyle w:val="Ttulo4"/>
        <w:jc w:val="both"/>
        <w:rPr>
          <w:rFonts w:ascii="Humanst521 BT" w:hAnsi="Humanst521 BT" w:cstheme="minorBidi"/>
          <w:i/>
          <w:iCs/>
          <w:color w:val="2F5496" w:themeColor="accent1" w:themeShade="BF"/>
          <w:sz w:val="22"/>
          <w:szCs w:val="22"/>
        </w:rPr>
      </w:pPr>
      <w:bookmarkStart w:id="24" w:name="_Toc221525159"/>
      <w:bookmarkStart w:id="25" w:name="_Toc231286788"/>
      <w:bookmarkEnd w:id="22"/>
      <w:r w:rsidRPr="007D03AF">
        <w:rPr>
          <w:rFonts w:ascii="Humanst521 BT" w:hAnsi="Humanst521 BT" w:cstheme="minorBidi"/>
          <w:color w:val="2F5496" w:themeColor="accent1" w:themeShade="BF"/>
          <w:sz w:val="22"/>
          <w:szCs w:val="22"/>
        </w:rPr>
        <w:t>5</w:t>
      </w:r>
      <w:r w:rsidR="001F2F5D" w:rsidRPr="007D03AF">
        <w:rPr>
          <w:rFonts w:ascii="Humanst521 BT" w:hAnsi="Humanst521 BT" w:cstheme="minorBidi"/>
          <w:color w:val="2F5496" w:themeColor="accent1" w:themeShade="BF"/>
          <w:sz w:val="22"/>
          <w:szCs w:val="22"/>
        </w:rPr>
        <w:t>.</w:t>
      </w:r>
      <w:r w:rsidRPr="007D03AF">
        <w:rPr>
          <w:rFonts w:ascii="Humanst521 BT" w:hAnsi="Humanst521 BT" w:cstheme="minorBidi"/>
          <w:color w:val="2F5496" w:themeColor="accent1" w:themeShade="BF"/>
          <w:sz w:val="22"/>
          <w:szCs w:val="22"/>
        </w:rPr>
        <w:t>1</w:t>
      </w:r>
      <w:r w:rsidR="001F2F5D" w:rsidRPr="007D03AF">
        <w:rPr>
          <w:rFonts w:ascii="Humanst521 BT" w:hAnsi="Humanst521 BT" w:cstheme="minorBidi"/>
          <w:color w:val="2F5496" w:themeColor="accent1" w:themeShade="BF"/>
          <w:sz w:val="22"/>
          <w:szCs w:val="22"/>
        </w:rPr>
        <w:t>.1.</w:t>
      </w:r>
      <w:r w:rsidRPr="007D03AF">
        <w:rPr>
          <w:rFonts w:ascii="Humanst521 BT" w:hAnsi="Humanst521 BT" w:cstheme="minorBidi"/>
          <w:color w:val="2F5496" w:themeColor="accent1" w:themeShade="BF"/>
          <w:sz w:val="22"/>
          <w:szCs w:val="22"/>
        </w:rPr>
        <w:t>3</w:t>
      </w:r>
      <w:r w:rsidR="001F2F5D" w:rsidRPr="007D03AF">
        <w:rPr>
          <w:rFonts w:ascii="Humanst521 BT" w:hAnsi="Humanst521 BT" w:cstheme="minorBidi"/>
          <w:color w:val="2F5496" w:themeColor="accent1" w:themeShade="BF"/>
          <w:sz w:val="22"/>
          <w:szCs w:val="22"/>
        </w:rPr>
        <w:t>. Población por grupo de edad</w:t>
      </w:r>
      <w:bookmarkEnd w:id="24"/>
      <w:bookmarkEnd w:id="25"/>
    </w:p>
    <w:p w14:paraId="79A6B873" w14:textId="77777777" w:rsidR="001F2F5D" w:rsidRPr="000712D6" w:rsidRDefault="001F2F5D" w:rsidP="001F2F5D">
      <w:pPr>
        <w:jc w:val="both"/>
        <w:rPr>
          <w:rFonts w:ascii="Humanst521 BT" w:hAnsi="Humanst521 BT" w:cstheme="minorBidi"/>
          <w:b/>
          <w:bCs/>
        </w:rPr>
      </w:pPr>
    </w:p>
    <w:p w14:paraId="4ACD5C92" w14:textId="77777777" w:rsidR="00A13EDE" w:rsidRPr="00EA1800" w:rsidRDefault="00A13EDE" w:rsidP="00A13EDE">
      <w:pPr>
        <w:widowControl/>
        <w:autoSpaceDE/>
        <w:autoSpaceDN/>
        <w:spacing w:before="100" w:beforeAutospacing="1" w:after="100" w:afterAutospacing="1"/>
        <w:jc w:val="both"/>
        <w:rPr>
          <w:rFonts w:ascii="Humanst521 BT" w:hAnsi="Humanst521 BT" w:cstheme="minorBidi"/>
        </w:rPr>
      </w:pPr>
      <w:bookmarkStart w:id="26" w:name="_Toc191305057"/>
      <w:r w:rsidRPr="00EA1800">
        <w:rPr>
          <w:rFonts w:ascii="Humanst521 BT" w:hAnsi="Humanst521 BT" w:cstheme="minorBidi"/>
        </w:rPr>
        <w:t>El análisis por ciclo vital evidencia un proceso de transición demográfica caracterizado por el envejecimiento progresivo de la población afiliada. Se observa un incremento sostenido en el grupo de vejez, que pasa de 1200 personas en 2016 a 1401 en 2025, consolidándose como el grupo predominante. En contraste, los ciclos de vida más jóvenes presentan una disminución progresiva, especialmente en juventud y adultez, lo que sugiere una reducción en la población de reemplazo.</w:t>
      </w:r>
    </w:p>
    <w:p w14:paraId="43653CFB" w14:textId="77777777" w:rsidR="00A13EDE" w:rsidRPr="00EA1800" w:rsidRDefault="00A13EDE" w:rsidP="00A13EDE">
      <w:pPr>
        <w:widowControl/>
        <w:autoSpaceDE/>
        <w:autoSpaceDN/>
        <w:spacing w:before="100" w:beforeAutospacing="1" w:after="100" w:afterAutospacing="1"/>
        <w:jc w:val="both"/>
        <w:rPr>
          <w:rFonts w:ascii="Humanst521 BT" w:hAnsi="Humanst521 BT" w:cstheme="minorBidi"/>
        </w:rPr>
      </w:pPr>
      <w:r w:rsidRPr="00EA1800">
        <w:rPr>
          <w:rFonts w:ascii="Humanst521 BT" w:hAnsi="Humanst521 BT" w:cstheme="minorBidi"/>
        </w:rPr>
        <w:t>Adicionalmente, se evidencia una disminución global del total de afiliados en el periodo analizado, con una leve recuperación en el último año. Este comportamiento refleja una transformación en la estructura poblacional, con implicaciones directas en la demanda de servicios de salud, particularmente en el aumento de patologías crónicas, multimorbilidad y costos asociados a la atención en población envejecida.</w:t>
      </w:r>
    </w:p>
    <w:p w14:paraId="1DE15143" w14:textId="7EBAD496" w:rsidR="00A13EDE" w:rsidRPr="00EA1800" w:rsidRDefault="00A13EDE" w:rsidP="00A13EDE">
      <w:pPr>
        <w:widowControl/>
        <w:autoSpaceDE/>
        <w:autoSpaceDN/>
        <w:spacing w:before="100" w:beforeAutospacing="1" w:after="100" w:afterAutospacing="1"/>
        <w:jc w:val="both"/>
        <w:rPr>
          <w:rFonts w:ascii="Humanst521 BT" w:hAnsi="Humanst521 BT" w:cstheme="minorBidi"/>
        </w:rPr>
      </w:pPr>
      <w:r w:rsidRPr="00EA1800">
        <w:rPr>
          <w:rFonts w:ascii="Humanst521 BT" w:hAnsi="Humanst521 BT" w:cstheme="minorBidi"/>
        </w:rPr>
        <w:t xml:space="preserve">Estos hallazgos sugieren la necesidad de </w:t>
      </w:r>
      <w:r w:rsidR="005D65AF">
        <w:rPr>
          <w:rFonts w:ascii="Humanst521 BT" w:hAnsi="Humanst521 BT" w:cstheme="minorBidi"/>
        </w:rPr>
        <w:t xml:space="preserve">continuar </w:t>
      </w:r>
      <w:r w:rsidRPr="00EA1800">
        <w:rPr>
          <w:rFonts w:ascii="Humanst521 BT" w:hAnsi="Humanst521 BT" w:cstheme="minorBidi"/>
        </w:rPr>
        <w:t>fortalec</w:t>
      </w:r>
      <w:r w:rsidR="005D65AF">
        <w:rPr>
          <w:rFonts w:ascii="Humanst521 BT" w:hAnsi="Humanst521 BT" w:cstheme="minorBidi"/>
        </w:rPr>
        <w:t>iendo las</w:t>
      </w:r>
      <w:r w:rsidRPr="00EA1800">
        <w:rPr>
          <w:rFonts w:ascii="Humanst521 BT" w:hAnsi="Humanst521 BT" w:cstheme="minorBidi"/>
        </w:rPr>
        <w:t xml:space="preserve"> estrategias de gestión del riesgo enfocadas en enfermedades crónicas, cuidado integral del adulto mayor y sostenibilidad financiera del sistema.</w:t>
      </w:r>
    </w:p>
    <w:p w14:paraId="19946989" w14:textId="7474E33E" w:rsidR="001F2F5D" w:rsidRPr="000712D6" w:rsidRDefault="001F2F5D" w:rsidP="001F2F5D">
      <w:pPr>
        <w:pStyle w:val="NormalWeb"/>
        <w:spacing w:before="0" w:after="0"/>
        <w:jc w:val="both"/>
        <w:rPr>
          <w:rFonts w:ascii="Humanst521 BT" w:hAnsi="Humanst521 BT" w:cstheme="minorBidi"/>
          <w:sz w:val="22"/>
          <w:szCs w:val="22"/>
        </w:rPr>
      </w:pPr>
      <w:bookmarkStart w:id="27" w:name="_Toc231286248"/>
      <w:r w:rsidRPr="000712D6">
        <w:rPr>
          <w:rFonts w:ascii="Humanst521 BT" w:hAnsi="Humanst521 BT" w:cstheme="minorBidi"/>
          <w:sz w:val="22"/>
          <w:szCs w:val="22"/>
        </w:rPr>
        <w:t xml:space="preserve">Tabla </w:t>
      </w:r>
      <w:r w:rsidRPr="000712D6">
        <w:rPr>
          <w:rFonts w:ascii="Humanst521 BT" w:hAnsi="Humanst521 BT" w:cstheme="minorBidi"/>
          <w:sz w:val="22"/>
          <w:szCs w:val="22"/>
        </w:rPr>
        <w:fldChar w:fldCharType="begin"/>
      </w:r>
      <w:r w:rsidRPr="000712D6">
        <w:rPr>
          <w:rFonts w:ascii="Humanst521 BT" w:hAnsi="Humanst521 BT" w:cstheme="minorBidi"/>
          <w:sz w:val="22"/>
          <w:szCs w:val="22"/>
        </w:rPr>
        <w:instrText xml:space="preserve"> SEQ Tabla \* ARABIC </w:instrText>
      </w:r>
      <w:r w:rsidRPr="000712D6">
        <w:rPr>
          <w:rFonts w:ascii="Humanst521 BT" w:hAnsi="Humanst521 BT" w:cstheme="minorBidi"/>
          <w:sz w:val="22"/>
          <w:szCs w:val="22"/>
        </w:rPr>
        <w:fldChar w:fldCharType="separate"/>
      </w:r>
      <w:r w:rsidR="003E72CD">
        <w:rPr>
          <w:rFonts w:ascii="Humanst521 BT" w:hAnsi="Humanst521 BT" w:cstheme="minorBidi"/>
          <w:noProof/>
          <w:sz w:val="22"/>
          <w:szCs w:val="22"/>
        </w:rPr>
        <w:t>3</w:t>
      </w:r>
      <w:r w:rsidRPr="000712D6">
        <w:rPr>
          <w:rFonts w:ascii="Humanst521 BT" w:hAnsi="Humanst521 BT" w:cstheme="minorBidi"/>
          <w:sz w:val="22"/>
          <w:szCs w:val="22"/>
        </w:rPr>
        <w:fldChar w:fldCharType="end"/>
      </w:r>
      <w:r w:rsidRPr="000712D6">
        <w:rPr>
          <w:rFonts w:ascii="Humanst521 BT" w:hAnsi="Humanst521 BT" w:cstheme="minorBidi"/>
          <w:sz w:val="22"/>
          <w:szCs w:val="22"/>
        </w:rPr>
        <w:t>. Proporción de la población por ciclo vital, UISALUD</w:t>
      </w:r>
      <w:bookmarkEnd w:id="26"/>
      <w:bookmarkEnd w:id="27"/>
    </w:p>
    <w:tbl>
      <w:tblPr>
        <w:tblW w:w="8926" w:type="dxa"/>
        <w:jc w:val="center"/>
        <w:tblBorders>
          <w:top w:val="single" w:sz="4" w:space="0" w:color="67B93E"/>
          <w:left w:val="single" w:sz="4" w:space="0" w:color="67B93E"/>
          <w:bottom w:val="single" w:sz="4" w:space="0" w:color="67B93E"/>
          <w:right w:val="single" w:sz="4" w:space="0" w:color="67B93E"/>
          <w:insideH w:val="single" w:sz="4" w:space="0" w:color="67B93E"/>
          <w:insideV w:val="single" w:sz="4" w:space="0" w:color="67B93E"/>
        </w:tblBorders>
        <w:tblLayout w:type="fixed"/>
        <w:tblCellMar>
          <w:left w:w="70" w:type="dxa"/>
          <w:right w:w="70" w:type="dxa"/>
        </w:tblCellMar>
        <w:tblLook w:val="04A0" w:firstRow="1" w:lastRow="0" w:firstColumn="1" w:lastColumn="0" w:noHBand="0" w:noVBand="1"/>
      </w:tblPr>
      <w:tblGrid>
        <w:gridCol w:w="1550"/>
        <w:gridCol w:w="810"/>
        <w:gridCol w:w="811"/>
        <w:gridCol w:w="990"/>
        <w:gridCol w:w="631"/>
        <w:gridCol w:w="810"/>
        <w:gridCol w:w="795"/>
        <w:gridCol w:w="826"/>
        <w:gridCol w:w="811"/>
        <w:gridCol w:w="892"/>
      </w:tblGrid>
      <w:tr w:rsidR="001F2F5D" w:rsidRPr="000712D6" w14:paraId="7073FF5C" w14:textId="77777777" w:rsidTr="00561C56">
        <w:trPr>
          <w:trHeight w:val="227"/>
          <w:jc w:val="center"/>
        </w:trPr>
        <w:tc>
          <w:tcPr>
            <w:tcW w:w="1550" w:type="dxa"/>
            <w:vMerge w:val="restart"/>
            <w:shd w:val="clear" w:color="auto" w:fill="C5E0B3"/>
            <w:vAlign w:val="center"/>
            <w:hideMark/>
          </w:tcPr>
          <w:p w14:paraId="6301A20A"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Edad por ciclo vital</w:t>
            </w:r>
          </w:p>
        </w:tc>
        <w:tc>
          <w:tcPr>
            <w:tcW w:w="1621" w:type="dxa"/>
            <w:gridSpan w:val="2"/>
            <w:shd w:val="clear" w:color="auto" w:fill="C5E0B3"/>
            <w:vAlign w:val="center"/>
            <w:hideMark/>
          </w:tcPr>
          <w:p w14:paraId="50B2490D"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themeColor="text1"/>
                <w:sz w:val="20"/>
              </w:rPr>
              <w:t>Año 2024</w:t>
            </w:r>
          </w:p>
        </w:tc>
        <w:tc>
          <w:tcPr>
            <w:tcW w:w="990" w:type="dxa"/>
            <w:vMerge w:val="restart"/>
            <w:shd w:val="clear" w:color="auto" w:fill="C5E0B3"/>
            <w:vAlign w:val="center"/>
            <w:hideMark/>
          </w:tcPr>
          <w:p w14:paraId="62A95562"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 Var.</w:t>
            </w:r>
          </w:p>
        </w:tc>
        <w:tc>
          <w:tcPr>
            <w:tcW w:w="4765" w:type="dxa"/>
            <w:gridSpan w:val="6"/>
            <w:shd w:val="clear" w:color="auto" w:fill="C5E0B3"/>
            <w:vAlign w:val="center"/>
            <w:hideMark/>
          </w:tcPr>
          <w:p w14:paraId="153D6C64" w14:textId="2C9F6B23"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themeColor="text1"/>
                <w:sz w:val="20"/>
              </w:rPr>
              <w:t>Año 2025</w:t>
            </w:r>
          </w:p>
        </w:tc>
      </w:tr>
      <w:tr w:rsidR="001F2F5D" w:rsidRPr="000712D6" w14:paraId="7BE1F0E6" w14:textId="77777777" w:rsidTr="00561C56">
        <w:trPr>
          <w:trHeight w:val="227"/>
          <w:jc w:val="center"/>
        </w:trPr>
        <w:tc>
          <w:tcPr>
            <w:tcW w:w="1550" w:type="dxa"/>
            <w:vMerge/>
            <w:vAlign w:val="center"/>
            <w:hideMark/>
          </w:tcPr>
          <w:p w14:paraId="2D184DC1" w14:textId="77777777" w:rsidR="001F2F5D" w:rsidRPr="000712D6" w:rsidRDefault="001F2F5D" w:rsidP="00561C56">
            <w:pPr>
              <w:autoSpaceDE/>
              <w:autoSpaceDN/>
              <w:rPr>
                <w:rFonts w:ascii="Humanst521 BT" w:hAnsi="Humanst521 BT" w:cs="Calibri"/>
                <w:b/>
                <w:bCs/>
                <w:color w:val="000000"/>
                <w:sz w:val="20"/>
              </w:rPr>
            </w:pPr>
          </w:p>
        </w:tc>
        <w:tc>
          <w:tcPr>
            <w:tcW w:w="1621" w:type="dxa"/>
            <w:gridSpan w:val="2"/>
            <w:shd w:val="clear" w:color="auto" w:fill="C5E0B3"/>
            <w:vAlign w:val="center"/>
            <w:hideMark/>
          </w:tcPr>
          <w:p w14:paraId="186BBD28"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Total</w:t>
            </w:r>
          </w:p>
        </w:tc>
        <w:tc>
          <w:tcPr>
            <w:tcW w:w="990" w:type="dxa"/>
            <w:vMerge/>
            <w:vAlign w:val="center"/>
            <w:hideMark/>
          </w:tcPr>
          <w:p w14:paraId="78446B6A" w14:textId="77777777" w:rsidR="001F2F5D" w:rsidRPr="000712D6" w:rsidRDefault="001F2F5D" w:rsidP="00561C56">
            <w:pPr>
              <w:jc w:val="center"/>
              <w:rPr>
                <w:rFonts w:ascii="Humanst521 BT" w:hAnsi="Humanst521 BT" w:cs="Calibri"/>
                <w:b/>
                <w:bCs/>
                <w:color w:val="000000"/>
                <w:sz w:val="20"/>
              </w:rPr>
            </w:pPr>
          </w:p>
        </w:tc>
        <w:tc>
          <w:tcPr>
            <w:tcW w:w="1441" w:type="dxa"/>
            <w:gridSpan w:val="2"/>
            <w:shd w:val="clear" w:color="auto" w:fill="C5E0B3"/>
            <w:vAlign w:val="center"/>
            <w:hideMark/>
          </w:tcPr>
          <w:p w14:paraId="73D9B113"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Femenino</w:t>
            </w:r>
          </w:p>
        </w:tc>
        <w:tc>
          <w:tcPr>
            <w:tcW w:w="1621" w:type="dxa"/>
            <w:gridSpan w:val="2"/>
            <w:shd w:val="clear" w:color="auto" w:fill="C5E0B3"/>
            <w:vAlign w:val="center"/>
            <w:hideMark/>
          </w:tcPr>
          <w:p w14:paraId="016B1194"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Masculino</w:t>
            </w:r>
          </w:p>
        </w:tc>
        <w:tc>
          <w:tcPr>
            <w:tcW w:w="1703" w:type="dxa"/>
            <w:gridSpan w:val="2"/>
            <w:shd w:val="clear" w:color="auto" w:fill="C5E0B3"/>
            <w:vAlign w:val="center"/>
            <w:hideMark/>
          </w:tcPr>
          <w:p w14:paraId="038E0EFF"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Total</w:t>
            </w:r>
          </w:p>
        </w:tc>
      </w:tr>
      <w:tr w:rsidR="001F2F5D" w:rsidRPr="000712D6" w14:paraId="01841865" w14:textId="77777777" w:rsidTr="00561C56">
        <w:trPr>
          <w:trHeight w:val="170"/>
          <w:jc w:val="center"/>
        </w:trPr>
        <w:tc>
          <w:tcPr>
            <w:tcW w:w="1550" w:type="dxa"/>
            <w:vMerge/>
            <w:vAlign w:val="center"/>
            <w:hideMark/>
          </w:tcPr>
          <w:p w14:paraId="25E3AFF5" w14:textId="77777777" w:rsidR="001F2F5D" w:rsidRPr="000712D6" w:rsidRDefault="001F2F5D" w:rsidP="00561C56">
            <w:pPr>
              <w:autoSpaceDE/>
              <w:autoSpaceDN/>
              <w:rPr>
                <w:rFonts w:ascii="Humanst521 BT" w:hAnsi="Humanst521 BT" w:cs="Calibri"/>
                <w:b/>
                <w:bCs/>
                <w:color w:val="000000"/>
                <w:sz w:val="20"/>
              </w:rPr>
            </w:pPr>
          </w:p>
        </w:tc>
        <w:tc>
          <w:tcPr>
            <w:tcW w:w="810" w:type="dxa"/>
            <w:shd w:val="clear" w:color="auto" w:fill="C5E0B3"/>
            <w:vAlign w:val="center"/>
            <w:hideMark/>
          </w:tcPr>
          <w:p w14:paraId="2AE22318" w14:textId="77777777" w:rsidR="001F2F5D" w:rsidRPr="000712D6" w:rsidRDefault="001F2F5D" w:rsidP="00561C56">
            <w:pPr>
              <w:autoSpaceDE/>
              <w:autoSpaceDN/>
              <w:jc w:val="center"/>
              <w:rPr>
                <w:rFonts w:ascii="Humanst521 BT" w:hAnsi="Humanst521 BT" w:cs="Calibri"/>
                <w:b/>
                <w:bCs/>
                <w:color w:val="000000"/>
                <w:sz w:val="18"/>
                <w:szCs w:val="18"/>
              </w:rPr>
            </w:pPr>
            <w:r w:rsidRPr="000712D6">
              <w:rPr>
                <w:rFonts w:ascii="Humanst521 BT" w:hAnsi="Humanst521 BT" w:cs="Calibri"/>
                <w:b/>
                <w:bCs/>
                <w:color w:val="000000"/>
                <w:sz w:val="18"/>
                <w:szCs w:val="18"/>
              </w:rPr>
              <w:t xml:space="preserve">No. </w:t>
            </w:r>
            <w:r w:rsidRPr="000712D6">
              <w:rPr>
                <w:rFonts w:ascii="Humanst521 BT" w:hAnsi="Humanst521 BT" w:cs="Calibri"/>
                <w:color w:val="000000"/>
                <w:sz w:val="18"/>
                <w:szCs w:val="18"/>
              </w:rPr>
              <w:t xml:space="preserve"> </w:t>
            </w:r>
          </w:p>
        </w:tc>
        <w:tc>
          <w:tcPr>
            <w:tcW w:w="811" w:type="dxa"/>
            <w:shd w:val="clear" w:color="auto" w:fill="C5E0B3"/>
            <w:vAlign w:val="center"/>
            <w:hideMark/>
          </w:tcPr>
          <w:p w14:paraId="4069286F" w14:textId="77777777" w:rsidR="001F2F5D" w:rsidRPr="000712D6" w:rsidRDefault="001F2F5D" w:rsidP="00561C56">
            <w:pPr>
              <w:autoSpaceDE/>
              <w:autoSpaceDN/>
              <w:jc w:val="center"/>
              <w:rPr>
                <w:rFonts w:ascii="Humanst521 BT" w:hAnsi="Humanst521 BT" w:cs="Calibri"/>
                <w:b/>
                <w:bCs/>
                <w:color w:val="000000"/>
                <w:sz w:val="18"/>
                <w:szCs w:val="18"/>
              </w:rPr>
            </w:pPr>
            <w:r w:rsidRPr="000712D6">
              <w:rPr>
                <w:rFonts w:ascii="Humanst521 BT" w:hAnsi="Humanst521 BT" w:cs="Calibri"/>
                <w:b/>
                <w:bCs/>
                <w:color w:val="000000"/>
                <w:sz w:val="18"/>
                <w:szCs w:val="18"/>
              </w:rPr>
              <w:t>% Part.</w:t>
            </w:r>
          </w:p>
        </w:tc>
        <w:tc>
          <w:tcPr>
            <w:tcW w:w="990" w:type="dxa"/>
            <w:vMerge/>
            <w:vAlign w:val="center"/>
            <w:hideMark/>
          </w:tcPr>
          <w:p w14:paraId="1D410690" w14:textId="77777777" w:rsidR="001F2F5D" w:rsidRPr="000712D6" w:rsidRDefault="001F2F5D" w:rsidP="00561C56">
            <w:pPr>
              <w:autoSpaceDE/>
              <w:autoSpaceDN/>
              <w:jc w:val="center"/>
              <w:rPr>
                <w:rFonts w:ascii="Humanst521 BT" w:hAnsi="Humanst521 BT" w:cs="Calibri"/>
                <w:b/>
                <w:bCs/>
                <w:color w:val="000000"/>
                <w:sz w:val="20"/>
              </w:rPr>
            </w:pPr>
          </w:p>
        </w:tc>
        <w:tc>
          <w:tcPr>
            <w:tcW w:w="631" w:type="dxa"/>
            <w:shd w:val="clear" w:color="auto" w:fill="C5E0B3"/>
            <w:vAlign w:val="center"/>
            <w:hideMark/>
          </w:tcPr>
          <w:p w14:paraId="62A58CCA" w14:textId="77777777" w:rsidR="001F2F5D" w:rsidRPr="000712D6" w:rsidRDefault="001F2F5D" w:rsidP="00561C56">
            <w:pPr>
              <w:autoSpaceDE/>
              <w:autoSpaceDN/>
              <w:jc w:val="center"/>
              <w:rPr>
                <w:rFonts w:ascii="Humanst521 BT" w:hAnsi="Humanst521 BT" w:cs="Calibri"/>
                <w:b/>
                <w:bCs/>
                <w:color w:val="000000"/>
                <w:sz w:val="18"/>
                <w:szCs w:val="18"/>
              </w:rPr>
            </w:pPr>
            <w:r w:rsidRPr="000712D6">
              <w:rPr>
                <w:rFonts w:ascii="Humanst521 BT" w:hAnsi="Humanst521 BT" w:cs="Calibri"/>
                <w:b/>
                <w:bCs/>
                <w:color w:val="000000"/>
                <w:sz w:val="18"/>
                <w:szCs w:val="18"/>
              </w:rPr>
              <w:t xml:space="preserve">No. </w:t>
            </w:r>
            <w:r w:rsidRPr="000712D6">
              <w:rPr>
                <w:rFonts w:ascii="Humanst521 BT" w:hAnsi="Humanst521 BT" w:cs="Calibri"/>
                <w:color w:val="000000"/>
                <w:sz w:val="18"/>
                <w:szCs w:val="18"/>
              </w:rPr>
              <w:t xml:space="preserve"> </w:t>
            </w:r>
          </w:p>
        </w:tc>
        <w:tc>
          <w:tcPr>
            <w:tcW w:w="810" w:type="dxa"/>
            <w:shd w:val="clear" w:color="auto" w:fill="C5E0B3"/>
            <w:vAlign w:val="center"/>
            <w:hideMark/>
          </w:tcPr>
          <w:p w14:paraId="0417105B" w14:textId="77777777" w:rsidR="001F2F5D" w:rsidRPr="000712D6" w:rsidRDefault="001F2F5D" w:rsidP="00561C56">
            <w:pPr>
              <w:autoSpaceDE/>
              <w:autoSpaceDN/>
              <w:jc w:val="center"/>
              <w:rPr>
                <w:rFonts w:ascii="Humanst521 BT" w:hAnsi="Humanst521 BT" w:cs="Calibri"/>
                <w:b/>
                <w:bCs/>
                <w:color w:val="000000"/>
                <w:sz w:val="18"/>
                <w:szCs w:val="18"/>
              </w:rPr>
            </w:pPr>
            <w:r w:rsidRPr="000712D6">
              <w:rPr>
                <w:rFonts w:ascii="Humanst521 BT" w:hAnsi="Humanst521 BT" w:cs="Calibri"/>
                <w:b/>
                <w:bCs/>
                <w:color w:val="000000"/>
                <w:sz w:val="18"/>
                <w:szCs w:val="18"/>
              </w:rPr>
              <w:t>% Part.</w:t>
            </w:r>
          </w:p>
        </w:tc>
        <w:tc>
          <w:tcPr>
            <w:tcW w:w="795" w:type="dxa"/>
            <w:shd w:val="clear" w:color="auto" w:fill="C5E0B3"/>
            <w:vAlign w:val="center"/>
            <w:hideMark/>
          </w:tcPr>
          <w:p w14:paraId="03DB26EA" w14:textId="77777777" w:rsidR="001F2F5D" w:rsidRPr="000712D6" w:rsidRDefault="001F2F5D" w:rsidP="00561C56">
            <w:pPr>
              <w:autoSpaceDE/>
              <w:autoSpaceDN/>
              <w:jc w:val="center"/>
              <w:rPr>
                <w:rFonts w:ascii="Humanst521 BT" w:hAnsi="Humanst521 BT" w:cs="Calibri"/>
                <w:b/>
                <w:bCs/>
                <w:color w:val="000000"/>
                <w:sz w:val="18"/>
                <w:szCs w:val="18"/>
              </w:rPr>
            </w:pPr>
            <w:r w:rsidRPr="000712D6">
              <w:rPr>
                <w:rFonts w:ascii="Humanst521 BT" w:hAnsi="Humanst521 BT" w:cs="Calibri"/>
                <w:b/>
                <w:bCs/>
                <w:color w:val="000000"/>
                <w:sz w:val="18"/>
                <w:szCs w:val="18"/>
              </w:rPr>
              <w:t xml:space="preserve">No. </w:t>
            </w:r>
            <w:r w:rsidRPr="000712D6">
              <w:rPr>
                <w:rFonts w:ascii="Humanst521 BT" w:hAnsi="Humanst521 BT" w:cs="Calibri"/>
                <w:color w:val="000000"/>
                <w:sz w:val="18"/>
                <w:szCs w:val="18"/>
              </w:rPr>
              <w:t xml:space="preserve"> </w:t>
            </w:r>
          </w:p>
        </w:tc>
        <w:tc>
          <w:tcPr>
            <w:tcW w:w="826" w:type="dxa"/>
            <w:shd w:val="clear" w:color="auto" w:fill="C5E0B3"/>
            <w:vAlign w:val="center"/>
            <w:hideMark/>
          </w:tcPr>
          <w:p w14:paraId="097086CC" w14:textId="77777777" w:rsidR="001F2F5D" w:rsidRPr="000712D6" w:rsidRDefault="001F2F5D" w:rsidP="00561C56">
            <w:pPr>
              <w:autoSpaceDE/>
              <w:autoSpaceDN/>
              <w:jc w:val="center"/>
              <w:rPr>
                <w:rFonts w:ascii="Humanst521 BT" w:hAnsi="Humanst521 BT" w:cs="Calibri"/>
                <w:b/>
                <w:bCs/>
                <w:color w:val="000000"/>
                <w:sz w:val="18"/>
                <w:szCs w:val="18"/>
              </w:rPr>
            </w:pPr>
            <w:r w:rsidRPr="000712D6">
              <w:rPr>
                <w:rFonts w:ascii="Humanst521 BT" w:hAnsi="Humanst521 BT" w:cs="Calibri"/>
                <w:b/>
                <w:bCs/>
                <w:color w:val="000000"/>
                <w:sz w:val="18"/>
                <w:szCs w:val="18"/>
              </w:rPr>
              <w:t>% Part.</w:t>
            </w:r>
          </w:p>
        </w:tc>
        <w:tc>
          <w:tcPr>
            <w:tcW w:w="811" w:type="dxa"/>
            <w:shd w:val="clear" w:color="auto" w:fill="C5E0B3"/>
            <w:vAlign w:val="center"/>
            <w:hideMark/>
          </w:tcPr>
          <w:p w14:paraId="3CF004E5" w14:textId="77777777" w:rsidR="001F2F5D" w:rsidRPr="000712D6" w:rsidRDefault="001F2F5D" w:rsidP="00561C56">
            <w:pPr>
              <w:autoSpaceDE/>
              <w:autoSpaceDN/>
              <w:jc w:val="center"/>
              <w:rPr>
                <w:rFonts w:ascii="Humanst521 BT" w:hAnsi="Humanst521 BT" w:cs="Calibri"/>
                <w:b/>
                <w:bCs/>
                <w:color w:val="000000"/>
                <w:sz w:val="18"/>
                <w:szCs w:val="18"/>
              </w:rPr>
            </w:pPr>
            <w:r w:rsidRPr="000712D6">
              <w:rPr>
                <w:rFonts w:ascii="Humanst521 BT" w:hAnsi="Humanst521 BT" w:cs="Calibri"/>
                <w:b/>
                <w:bCs/>
                <w:color w:val="000000"/>
                <w:sz w:val="18"/>
                <w:szCs w:val="18"/>
              </w:rPr>
              <w:t xml:space="preserve">No. </w:t>
            </w:r>
            <w:r w:rsidRPr="000712D6">
              <w:rPr>
                <w:rFonts w:ascii="Humanst521 BT" w:hAnsi="Humanst521 BT" w:cs="Calibri"/>
                <w:color w:val="000000"/>
                <w:sz w:val="18"/>
                <w:szCs w:val="18"/>
              </w:rPr>
              <w:t xml:space="preserve"> </w:t>
            </w:r>
          </w:p>
        </w:tc>
        <w:tc>
          <w:tcPr>
            <w:tcW w:w="892" w:type="dxa"/>
            <w:shd w:val="clear" w:color="auto" w:fill="C5E0B3"/>
            <w:vAlign w:val="center"/>
            <w:hideMark/>
          </w:tcPr>
          <w:p w14:paraId="5EF8954A" w14:textId="77777777" w:rsidR="001F2F5D" w:rsidRPr="000712D6" w:rsidRDefault="001F2F5D" w:rsidP="00561C56">
            <w:pPr>
              <w:autoSpaceDE/>
              <w:autoSpaceDN/>
              <w:jc w:val="center"/>
              <w:rPr>
                <w:rFonts w:ascii="Humanst521 BT" w:hAnsi="Humanst521 BT" w:cs="Calibri"/>
                <w:b/>
                <w:bCs/>
                <w:color w:val="000000"/>
                <w:sz w:val="18"/>
                <w:szCs w:val="18"/>
              </w:rPr>
            </w:pPr>
            <w:r w:rsidRPr="000712D6">
              <w:rPr>
                <w:rFonts w:ascii="Humanst521 BT" w:hAnsi="Humanst521 BT" w:cs="Calibri"/>
                <w:b/>
                <w:bCs/>
                <w:color w:val="000000"/>
                <w:sz w:val="18"/>
                <w:szCs w:val="18"/>
              </w:rPr>
              <w:t>% Part.</w:t>
            </w:r>
          </w:p>
        </w:tc>
      </w:tr>
      <w:tr w:rsidR="001F2F5D" w:rsidRPr="000712D6" w14:paraId="410F229D" w14:textId="77777777" w:rsidTr="00561C56">
        <w:trPr>
          <w:trHeight w:val="20"/>
          <w:jc w:val="center"/>
        </w:trPr>
        <w:tc>
          <w:tcPr>
            <w:tcW w:w="1550" w:type="dxa"/>
            <w:shd w:val="clear" w:color="auto" w:fill="FFFFFF" w:themeFill="background1"/>
            <w:vAlign w:val="center"/>
            <w:hideMark/>
          </w:tcPr>
          <w:p w14:paraId="43A88C5E"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Primera infancia</w:t>
            </w:r>
          </w:p>
          <w:p w14:paraId="341DDC66"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 xml:space="preserve">&lt;= 5 años) </w:t>
            </w:r>
          </w:p>
        </w:tc>
        <w:tc>
          <w:tcPr>
            <w:tcW w:w="810" w:type="dxa"/>
            <w:shd w:val="clear" w:color="auto" w:fill="FFFFFF" w:themeFill="background1"/>
            <w:vAlign w:val="center"/>
            <w:hideMark/>
          </w:tcPr>
          <w:p w14:paraId="789D09B8"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60</w:t>
            </w:r>
          </w:p>
        </w:tc>
        <w:tc>
          <w:tcPr>
            <w:tcW w:w="811" w:type="dxa"/>
            <w:shd w:val="clear" w:color="auto" w:fill="FFFFFF" w:themeFill="background1"/>
            <w:vAlign w:val="center"/>
            <w:hideMark/>
          </w:tcPr>
          <w:p w14:paraId="3B8AE1CA"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2,2%</w:t>
            </w:r>
          </w:p>
        </w:tc>
        <w:tc>
          <w:tcPr>
            <w:tcW w:w="990" w:type="dxa"/>
            <w:shd w:val="clear" w:color="auto" w:fill="FFFFFF" w:themeFill="background1"/>
            <w:vAlign w:val="center"/>
            <w:hideMark/>
          </w:tcPr>
          <w:p w14:paraId="5A04C54B" w14:textId="77777777" w:rsidR="001F2F5D" w:rsidRPr="000712D6" w:rsidRDefault="001F2F5D" w:rsidP="00561C56">
            <w:pPr>
              <w:jc w:val="right"/>
              <w:rPr>
                <w:rFonts w:ascii="Humanst521 BT" w:eastAsia="Arial" w:hAnsi="Humanst521 BT" w:cs="Arial"/>
                <w:sz w:val="20"/>
              </w:rPr>
            </w:pPr>
            <w:r w:rsidRPr="000712D6">
              <w:rPr>
                <w:rFonts w:ascii="Humanst521 BT" w:eastAsia="Arial" w:hAnsi="Humanst521 BT" w:cs="Arial"/>
                <w:sz w:val="20"/>
              </w:rPr>
              <w:t>-18,33%</w:t>
            </w:r>
          </w:p>
        </w:tc>
        <w:tc>
          <w:tcPr>
            <w:tcW w:w="631" w:type="dxa"/>
            <w:shd w:val="clear" w:color="auto" w:fill="FFFFFF" w:themeFill="background1"/>
            <w:vAlign w:val="center"/>
            <w:hideMark/>
          </w:tcPr>
          <w:p w14:paraId="0411AFF5"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38</w:t>
            </w:r>
          </w:p>
        </w:tc>
        <w:tc>
          <w:tcPr>
            <w:tcW w:w="810" w:type="dxa"/>
            <w:shd w:val="clear" w:color="auto" w:fill="FFFFFF" w:themeFill="background1"/>
            <w:vAlign w:val="center"/>
            <w:hideMark/>
          </w:tcPr>
          <w:p w14:paraId="3597F816"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1,36%</w:t>
            </w:r>
          </w:p>
        </w:tc>
        <w:tc>
          <w:tcPr>
            <w:tcW w:w="795" w:type="dxa"/>
            <w:shd w:val="clear" w:color="auto" w:fill="FFFFFF" w:themeFill="background1"/>
            <w:vAlign w:val="center"/>
            <w:hideMark/>
          </w:tcPr>
          <w:p w14:paraId="221532AB"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33</w:t>
            </w:r>
          </w:p>
        </w:tc>
        <w:tc>
          <w:tcPr>
            <w:tcW w:w="826" w:type="dxa"/>
            <w:shd w:val="clear" w:color="auto" w:fill="FFFFFF" w:themeFill="background1"/>
            <w:vAlign w:val="center"/>
            <w:hideMark/>
          </w:tcPr>
          <w:p w14:paraId="22459953"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1,18%</w:t>
            </w:r>
          </w:p>
        </w:tc>
        <w:tc>
          <w:tcPr>
            <w:tcW w:w="811" w:type="dxa"/>
            <w:shd w:val="clear" w:color="auto" w:fill="FFFFFF" w:themeFill="background1"/>
            <w:vAlign w:val="center"/>
            <w:hideMark/>
          </w:tcPr>
          <w:p w14:paraId="6317B867"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71</w:t>
            </w:r>
          </w:p>
        </w:tc>
        <w:tc>
          <w:tcPr>
            <w:tcW w:w="892" w:type="dxa"/>
            <w:shd w:val="clear" w:color="auto" w:fill="FFFFFF" w:themeFill="background1"/>
            <w:vAlign w:val="center"/>
            <w:hideMark/>
          </w:tcPr>
          <w:p w14:paraId="200A2A8D"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2,54%</w:t>
            </w:r>
          </w:p>
        </w:tc>
      </w:tr>
      <w:tr w:rsidR="001F2F5D" w:rsidRPr="000712D6" w14:paraId="28A8477B" w14:textId="77777777" w:rsidTr="00561C56">
        <w:trPr>
          <w:trHeight w:val="20"/>
          <w:jc w:val="center"/>
        </w:trPr>
        <w:tc>
          <w:tcPr>
            <w:tcW w:w="1550" w:type="dxa"/>
            <w:shd w:val="clear" w:color="auto" w:fill="F2F2F2" w:themeFill="background1" w:themeFillShade="F2"/>
            <w:vAlign w:val="center"/>
            <w:hideMark/>
          </w:tcPr>
          <w:p w14:paraId="7CAFAE22"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Infancia</w:t>
            </w:r>
          </w:p>
          <w:p w14:paraId="7AB84B07"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 xml:space="preserve">(6 a 11 años) </w:t>
            </w:r>
          </w:p>
        </w:tc>
        <w:tc>
          <w:tcPr>
            <w:tcW w:w="810" w:type="dxa"/>
            <w:shd w:val="clear" w:color="auto" w:fill="F2F2F2" w:themeFill="background1" w:themeFillShade="F2"/>
            <w:vAlign w:val="center"/>
            <w:hideMark/>
          </w:tcPr>
          <w:p w14:paraId="0B235557"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119</w:t>
            </w:r>
          </w:p>
        </w:tc>
        <w:tc>
          <w:tcPr>
            <w:tcW w:w="811" w:type="dxa"/>
            <w:shd w:val="clear" w:color="auto" w:fill="F2F2F2" w:themeFill="background1" w:themeFillShade="F2"/>
            <w:vAlign w:val="center"/>
            <w:hideMark/>
          </w:tcPr>
          <w:p w14:paraId="658D9F94"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4,3%</w:t>
            </w:r>
          </w:p>
        </w:tc>
        <w:tc>
          <w:tcPr>
            <w:tcW w:w="990" w:type="dxa"/>
            <w:shd w:val="clear" w:color="auto" w:fill="F2F2F2" w:themeFill="background1" w:themeFillShade="F2"/>
            <w:vAlign w:val="center"/>
            <w:hideMark/>
          </w:tcPr>
          <w:p w14:paraId="052FDAB8" w14:textId="77777777" w:rsidR="001F2F5D" w:rsidRPr="000712D6" w:rsidRDefault="001F2F5D" w:rsidP="00561C56">
            <w:pPr>
              <w:jc w:val="right"/>
              <w:rPr>
                <w:rFonts w:ascii="Humanst521 BT" w:eastAsia="Arial" w:hAnsi="Humanst521 BT" w:cs="Arial"/>
                <w:sz w:val="20"/>
              </w:rPr>
            </w:pPr>
            <w:r w:rsidRPr="000712D6">
              <w:rPr>
                <w:rFonts w:ascii="Humanst521 BT" w:eastAsia="Arial" w:hAnsi="Humanst521 BT" w:cs="Arial"/>
                <w:sz w:val="20"/>
              </w:rPr>
              <w:t>-1,68%</w:t>
            </w:r>
          </w:p>
        </w:tc>
        <w:tc>
          <w:tcPr>
            <w:tcW w:w="631" w:type="dxa"/>
            <w:shd w:val="clear" w:color="auto" w:fill="F2F2F2" w:themeFill="background1" w:themeFillShade="F2"/>
            <w:vAlign w:val="center"/>
            <w:hideMark/>
          </w:tcPr>
          <w:p w14:paraId="17E6722E"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60</w:t>
            </w:r>
          </w:p>
        </w:tc>
        <w:tc>
          <w:tcPr>
            <w:tcW w:w="810" w:type="dxa"/>
            <w:shd w:val="clear" w:color="auto" w:fill="F2F2F2" w:themeFill="background1" w:themeFillShade="F2"/>
            <w:vAlign w:val="center"/>
            <w:hideMark/>
          </w:tcPr>
          <w:p w14:paraId="7EB6FE10" w14:textId="77777777" w:rsidR="001F2F5D" w:rsidRPr="000712D6" w:rsidRDefault="001F2F5D" w:rsidP="00561C56">
            <w:pPr>
              <w:autoSpaceDE/>
              <w:autoSpaceDN/>
              <w:jc w:val="right"/>
              <w:rPr>
                <w:rFonts w:ascii="Humanst521 BT" w:eastAsia="Humanst521 BT" w:hAnsi="Humanst521 BT" w:cs="Humanst521 BT"/>
                <w:sz w:val="20"/>
              </w:rPr>
            </w:pPr>
            <w:r w:rsidRPr="000712D6">
              <w:rPr>
                <w:rFonts w:ascii="Humanst521 BT" w:eastAsia="Humanst521 BT" w:hAnsi="Humanst521 BT" w:cs="Humanst521 BT"/>
                <w:sz w:val="20"/>
              </w:rPr>
              <w:t>2,15%</w:t>
            </w:r>
          </w:p>
          <w:p w14:paraId="4D3DA439" w14:textId="77777777" w:rsidR="001F2F5D" w:rsidRPr="000712D6" w:rsidRDefault="001F2F5D" w:rsidP="00561C56">
            <w:pPr>
              <w:autoSpaceDE/>
              <w:autoSpaceDN/>
              <w:jc w:val="center"/>
              <w:rPr>
                <w:rFonts w:ascii="Humanst521 BT" w:eastAsia="Humanst521 BT" w:hAnsi="Humanst521 BT" w:cs="Humanst521 BT"/>
                <w:color w:val="000000"/>
                <w:sz w:val="20"/>
              </w:rPr>
            </w:pPr>
          </w:p>
        </w:tc>
        <w:tc>
          <w:tcPr>
            <w:tcW w:w="795" w:type="dxa"/>
            <w:shd w:val="clear" w:color="auto" w:fill="F2F2F2" w:themeFill="background1" w:themeFillShade="F2"/>
            <w:vAlign w:val="center"/>
            <w:hideMark/>
          </w:tcPr>
          <w:p w14:paraId="50D1F4A6"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61</w:t>
            </w:r>
          </w:p>
        </w:tc>
        <w:tc>
          <w:tcPr>
            <w:tcW w:w="826" w:type="dxa"/>
            <w:shd w:val="clear" w:color="auto" w:fill="F2F2F2" w:themeFill="background1" w:themeFillShade="F2"/>
            <w:vAlign w:val="center"/>
            <w:hideMark/>
          </w:tcPr>
          <w:p w14:paraId="21A36B42" w14:textId="77777777" w:rsidR="001F2F5D" w:rsidRPr="000712D6" w:rsidRDefault="001F2F5D" w:rsidP="00561C56">
            <w:pPr>
              <w:autoSpaceDE/>
              <w:autoSpaceDN/>
              <w:jc w:val="right"/>
              <w:rPr>
                <w:rFonts w:ascii="Humanst521 BT" w:eastAsia="Humanst521 BT" w:hAnsi="Humanst521 BT" w:cs="Humanst521 BT"/>
                <w:sz w:val="20"/>
              </w:rPr>
            </w:pPr>
            <w:r w:rsidRPr="000712D6">
              <w:rPr>
                <w:rFonts w:ascii="Humanst521 BT" w:eastAsia="Humanst521 BT" w:hAnsi="Humanst521 BT" w:cs="Humanst521 BT"/>
                <w:sz w:val="20"/>
              </w:rPr>
              <w:t>2,18%</w:t>
            </w:r>
          </w:p>
          <w:p w14:paraId="15568C7C" w14:textId="77777777" w:rsidR="001F2F5D" w:rsidRPr="000712D6" w:rsidRDefault="001F2F5D" w:rsidP="00561C56">
            <w:pPr>
              <w:autoSpaceDE/>
              <w:autoSpaceDN/>
              <w:jc w:val="center"/>
              <w:rPr>
                <w:rFonts w:ascii="Humanst521 BT" w:eastAsia="Humanst521 BT" w:hAnsi="Humanst521 BT" w:cs="Humanst521 BT"/>
                <w:color w:val="000000"/>
                <w:sz w:val="20"/>
              </w:rPr>
            </w:pPr>
          </w:p>
        </w:tc>
        <w:tc>
          <w:tcPr>
            <w:tcW w:w="811" w:type="dxa"/>
            <w:shd w:val="clear" w:color="auto" w:fill="F2F2F2" w:themeFill="background1" w:themeFillShade="F2"/>
            <w:vAlign w:val="center"/>
            <w:hideMark/>
          </w:tcPr>
          <w:p w14:paraId="34582BCB"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121</w:t>
            </w:r>
          </w:p>
        </w:tc>
        <w:tc>
          <w:tcPr>
            <w:tcW w:w="892" w:type="dxa"/>
            <w:shd w:val="clear" w:color="auto" w:fill="F2F2F2" w:themeFill="background1" w:themeFillShade="F2"/>
            <w:vAlign w:val="center"/>
            <w:hideMark/>
          </w:tcPr>
          <w:p w14:paraId="3594CDCF"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4,33%</w:t>
            </w:r>
          </w:p>
        </w:tc>
      </w:tr>
      <w:tr w:rsidR="001F2F5D" w:rsidRPr="000712D6" w14:paraId="67E47E75" w14:textId="77777777" w:rsidTr="00561C56">
        <w:trPr>
          <w:trHeight w:val="20"/>
          <w:jc w:val="center"/>
        </w:trPr>
        <w:tc>
          <w:tcPr>
            <w:tcW w:w="1550" w:type="dxa"/>
            <w:shd w:val="clear" w:color="auto" w:fill="FFFFFF" w:themeFill="background1"/>
            <w:vAlign w:val="center"/>
            <w:hideMark/>
          </w:tcPr>
          <w:p w14:paraId="5ACB05E2"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Adolescencia</w:t>
            </w:r>
          </w:p>
          <w:p w14:paraId="39ADA4E4"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(12 a 17 años)</w:t>
            </w:r>
          </w:p>
        </w:tc>
        <w:tc>
          <w:tcPr>
            <w:tcW w:w="810" w:type="dxa"/>
            <w:shd w:val="clear" w:color="auto" w:fill="FFFFFF" w:themeFill="background1"/>
            <w:vAlign w:val="center"/>
            <w:hideMark/>
          </w:tcPr>
          <w:p w14:paraId="559B86FC"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181</w:t>
            </w:r>
          </w:p>
        </w:tc>
        <w:tc>
          <w:tcPr>
            <w:tcW w:w="811" w:type="dxa"/>
            <w:shd w:val="clear" w:color="auto" w:fill="FFFFFF" w:themeFill="background1"/>
            <w:vAlign w:val="center"/>
            <w:hideMark/>
          </w:tcPr>
          <w:p w14:paraId="4A964850"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6,6%</w:t>
            </w:r>
          </w:p>
        </w:tc>
        <w:tc>
          <w:tcPr>
            <w:tcW w:w="990" w:type="dxa"/>
            <w:shd w:val="clear" w:color="auto" w:fill="FFFFFF" w:themeFill="background1"/>
            <w:vAlign w:val="center"/>
            <w:hideMark/>
          </w:tcPr>
          <w:p w14:paraId="02610BF1" w14:textId="77777777" w:rsidR="001F2F5D" w:rsidRPr="000712D6" w:rsidRDefault="001F2F5D" w:rsidP="00561C56">
            <w:pPr>
              <w:jc w:val="right"/>
              <w:rPr>
                <w:rFonts w:ascii="Humanst521 BT" w:eastAsia="Arial" w:hAnsi="Humanst521 BT" w:cs="Arial"/>
                <w:sz w:val="20"/>
              </w:rPr>
            </w:pPr>
            <w:r w:rsidRPr="000712D6">
              <w:rPr>
                <w:rFonts w:ascii="Humanst521 BT" w:eastAsia="Arial" w:hAnsi="Humanst521 BT" w:cs="Arial"/>
                <w:sz w:val="20"/>
              </w:rPr>
              <w:t>7,73%</w:t>
            </w:r>
          </w:p>
        </w:tc>
        <w:tc>
          <w:tcPr>
            <w:tcW w:w="631" w:type="dxa"/>
            <w:shd w:val="clear" w:color="auto" w:fill="FFFFFF" w:themeFill="background1"/>
            <w:vAlign w:val="center"/>
            <w:hideMark/>
          </w:tcPr>
          <w:p w14:paraId="6013DF16"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64</w:t>
            </w:r>
          </w:p>
        </w:tc>
        <w:tc>
          <w:tcPr>
            <w:tcW w:w="810" w:type="dxa"/>
            <w:shd w:val="clear" w:color="auto" w:fill="FFFFFF" w:themeFill="background1"/>
            <w:vAlign w:val="center"/>
            <w:hideMark/>
          </w:tcPr>
          <w:p w14:paraId="75623438"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2,29%</w:t>
            </w:r>
          </w:p>
        </w:tc>
        <w:tc>
          <w:tcPr>
            <w:tcW w:w="795" w:type="dxa"/>
            <w:shd w:val="clear" w:color="auto" w:fill="FFFFFF" w:themeFill="background1"/>
            <w:vAlign w:val="center"/>
            <w:hideMark/>
          </w:tcPr>
          <w:p w14:paraId="537A4865"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103</w:t>
            </w:r>
          </w:p>
        </w:tc>
        <w:tc>
          <w:tcPr>
            <w:tcW w:w="826" w:type="dxa"/>
            <w:shd w:val="clear" w:color="auto" w:fill="FFFFFF" w:themeFill="background1"/>
            <w:vAlign w:val="center"/>
            <w:hideMark/>
          </w:tcPr>
          <w:p w14:paraId="153834DE"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3,69%</w:t>
            </w:r>
          </w:p>
        </w:tc>
        <w:tc>
          <w:tcPr>
            <w:tcW w:w="811" w:type="dxa"/>
            <w:shd w:val="clear" w:color="auto" w:fill="FFFFFF" w:themeFill="background1"/>
            <w:vAlign w:val="center"/>
            <w:hideMark/>
          </w:tcPr>
          <w:p w14:paraId="2850EAE3"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167</w:t>
            </w:r>
          </w:p>
        </w:tc>
        <w:tc>
          <w:tcPr>
            <w:tcW w:w="892" w:type="dxa"/>
            <w:shd w:val="clear" w:color="auto" w:fill="FFFFFF" w:themeFill="background1"/>
            <w:vAlign w:val="center"/>
            <w:hideMark/>
          </w:tcPr>
          <w:p w14:paraId="434FCFD2"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5,98%</w:t>
            </w:r>
          </w:p>
        </w:tc>
      </w:tr>
      <w:tr w:rsidR="001F2F5D" w:rsidRPr="000712D6" w14:paraId="420832F6" w14:textId="77777777" w:rsidTr="00561C56">
        <w:trPr>
          <w:trHeight w:val="20"/>
          <w:jc w:val="center"/>
        </w:trPr>
        <w:tc>
          <w:tcPr>
            <w:tcW w:w="1550" w:type="dxa"/>
            <w:shd w:val="clear" w:color="auto" w:fill="F2F2F2" w:themeFill="background1" w:themeFillShade="F2"/>
            <w:vAlign w:val="center"/>
            <w:hideMark/>
          </w:tcPr>
          <w:p w14:paraId="43D4402C"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Joven</w:t>
            </w:r>
          </w:p>
          <w:p w14:paraId="40AEA084"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 xml:space="preserve">(18 a 28 años) </w:t>
            </w:r>
          </w:p>
        </w:tc>
        <w:tc>
          <w:tcPr>
            <w:tcW w:w="810" w:type="dxa"/>
            <w:shd w:val="clear" w:color="auto" w:fill="F2F2F2" w:themeFill="background1" w:themeFillShade="F2"/>
            <w:vAlign w:val="center"/>
            <w:hideMark/>
          </w:tcPr>
          <w:p w14:paraId="0650BB34"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200</w:t>
            </w:r>
          </w:p>
        </w:tc>
        <w:tc>
          <w:tcPr>
            <w:tcW w:w="811" w:type="dxa"/>
            <w:shd w:val="clear" w:color="auto" w:fill="F2F2F2" w:themeFill="background1" w:themeFillShade="F2"/>
            <w:vAlign w:val="center"/>
            <w:hideMark/>
          </w:tcPr>
          <w:p w14:paraId="622A65CC"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7,2%</w:t>
            </w:r>
          </w:p>
        </w:tc>
        <w:tc>
          <w:tcPr>
            <w:tcW w:w="990" w:type="dxa"/>
            <w:shd w:val="clear" w:color="auto" w:fill="F2F2F2" w:themeFill="background1" w:themeFillShade="F2"/>
            <w:vAlign w:val="center"/>
            <w:hideMark/>
          </w:tcPr>
          <w:p w14:paraId="0F902DE3" w14:textId="77777777" w:rsidR="001F2F5D" w:rsidRPr="000712D6" w:rsidRDefault="001F2F5D" w:rsidP="00561C56">
            <w:pPr>
              <w:jc w:val="right"/>
              <w:rPr>
                <w:rFonts w:ascii="Humanst521 BT" w:eastAsia="Arial" w:hAnsi="Humanst521 BT" w:cs="Arial"/>
                <w:sz w:val="20"/>
              </w:rPr>
            </w:pPr>
            <w:r w:rsidRPr="000712D6">
              <w:rPr>
                <w:rFonts w:ascii="Humanst521 BT" w:eastAsia="Arial" w:hAnsi="Humanst521 BT" w:cs="Arial"/>
                <w:sz w:val="20"/>
              </w:rPr>
              <w:t>-1,50%</w:t>
            </w:r>
          </w:p>
        </w:tc>
        <w:tc>
          <w:tcPr>
            <w:tcW w:w="631" w:type="dxa"/>
            <w:shd w:val="clear" w:color="auto" w:fill="F2F2F2" w:themeFill="background1" w:themeFillShade="F2"/>
            <w:vAlign w:val="center"/>
            <w:hideMark/>
          </w:tcPr>
          <w:p w14:paraId="293D0AB9"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90</w:t>
            </w:r>
          </w:p>
        </w:tc>
        <w:tc>
          <w:tcPr>
            <w:tcW w:w="810" w:type="dxa"/>
            <w:shd w:val="clear" w:color="auto" w:fill="F2F2F2" w:themeFill="background1" w:themeFillShade="F2"/>
            <w:vAlign w:val="center"/>
            <w:hideMark/>
          </w:tcPr>
          <w:p w14:paraId="25D129F5"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3,2%</w:t>
            </w:r>
          </w:p>
        </w:tc>
        <w:tc>
          <w:tcPr>
            <w:tcW w:w="795" w:type="dxa"/>
            <w:shd w:val="clear" w:color="auto" w:fill="F2F2F2" w:themeFill="background1" w:themeFillShade="F2"/>
            <w:vAlign w:val="center"/>
            <w:hideMark/>
          </w:tcPr>
          <w:p w14:paraId="6443722B"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113</w:t>
            </w:r>
          </w:p>
        </w:tc>
        <w:tc>
          <w:tcPr>
            <w:tcW w:w="826" w:type="dxa"/>
            <w:shd w:val="clear" w:color="auto" w:fill="F2F2F2" w:themeFill="background1" w:themeFillShade="F2"/>
            <w:vAlign w:val="center"/>
            <w:hideMark/>
          </w:tcPr>
          <w:p w14:paraId="0A7FD77B"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4,0%</w:t>
            </w:r>
          </w:p>
        </w:tc>
        <w:tc>
          <w:tcPr>
            <w:tcW w:w="811" w:type="dxa"/>
            <w:shd w:val="clear" w:color="auto" w:fill="F2F2F2" w:themeFill="background1" w:themeFillShade="F2"/>
            <w:vAlign w:val="center"/>
            <w:hideMark/>
          </w:tcPr>
          <w:p w14:paraId="657A46D3"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203</w:t>
            </w:r>
          </w:p>
        </w:tc>
        <w:tc>
          <w:tcPr>
            <w:tcW w:w="892" w:type="dxa"/>
            <w:shd w:val="clear" w:color="auto" w:fill="F2F2F2" w:themeFill="background1" w:themeFillShade="F2"/>
            <w:vAlign w:val="center"/>
            <w:hideMark/>
          </w:tcPr>
          <w:p w14:paraId="1EFBEEE3"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7,27%</w:t>
            </w:r>
          </w:p>
        </w:tc>
      </w:tr>
      <w:tr w:rsidR="001F2F5D" w:rsidRPr="000712D6" w14:paraId="69F6CB4D" w14:textId="77777777" w:rsidTr="00561C56">
        <w:trPr>
          <w:trHeight w:val="20"/>
          <w:jc w:val="center"/>
        </w:trPr>
        <w:tc>
          <w:tcPr>
            <w:tcW w:w="1550" w:type="dxa"/>
            <w:shd w:val="clear" w:color="auto" w:fill="FFFFFF" w:themeFill="background1"/>
            <w:vAlign w:val="center"/>
            <w:hideMark/>
          </w:tcPr>
          <w:p w14:paraId="4F97DF8F"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Adulto</w:t>
            </w:r>
          </w:p>
          <w:p w14:paraId="106842C6"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(29 a 59 años)</w:t>
            </w:r>
          </w:p>
        </w:tc>
        <w:tc>
          <w:tcPr>
            <w:tcW w:w="810" w:type="dxa"/>
            <w:shd w:val="clear" w:color="auto" w:fill="FFFFFF" w:themeFill="background1"/>
            <w:vAlign w:val="center"/>
            <w:hideMark/>
          </w:tcPr>
          <w:p w14:paraId="0AD666E5"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806</w:t>
            </w:r>
          </w:p>
        </w:tc>
        <w:tc>
          <w:tcPr>
            <w:tcW w:w="811" w:type="dxa"/>
            <w:shd w:val="clear" w:color="auto" w:fill="FFFFFF" w:themeFill="background1"/>
            <w:vAlign w:val="center"/>
            <w:hideMark/>
          </w:tcPr>
          <w:p w14:paraId="5E36252C"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29,2%</w:t>
            </w:r>
          </w:p>
        </w:tc>
        <w:tc>
          <w:tcPr>
            <w:tcW w:w="990" w:type="dxa"/>
            <w:shd w:val="clear" w:color="auto" w:fill="FFFFFF" w:themeFill="background1"/>
            <w:vAlign w:val="center"/>
            <w:hideMark/>
          </w:tcPr>
          <w:p w14:paraId="5E3CFBD9" w14:textId="77777777" w:rsidR="001F2F5D" w:rsidRPr="000712D6" w:rsidRDefault="001F2F5D" w:rsidP="00561C56">
            <w:pPr>
              <w:jc w:val="right"/>
              <w:rPr>
                <w:rFonts w:ascii="Humanst521 BT" w:eastAsia="Arial" w:hAnsi="Humanst521 BT" w:cs="Arial"/>
                <w:sz w:val="20"/>
              </w:rPr>
            </w:pPr>
            <w:r w:rsidRPr="000712D6">
              <w:rPr>
                <w:rFonts w:ascii="Humanst521 BT" w:eastAsia="Arial" w:hAnsi="Humanst521 BT" w:cs="Arial"/>
                <w:sz w:val="20"/>
              </w:rPr>
              <w:t>-2,85%</w:t>
            </w:r>
          </w:p>
        </w:tc>
        <w:tc>
          <w:tcPr>
            <w:tcW w:w="631" w:type="dxa"/>
            <w:shd w:val="clear" w:color="auto" w:fill="FFFFFF" w:themeFill="background1"/>
            <w:vAlign w:val="center"/>
            <w:hideMark/>
          </w:tcPr>
          <w:p w14:paraId="64969F21"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423</w:t>
            </w:r>
          </w:p>
        </w:tc>
        <w:tc>
          <w:tcPr>
            <w:tcW w:w="810" w:type="dxa"/>
            <w:shd w:val="clear" w:color="auto" w:fill="FFFFFF" w:themeFill="background1"/>
            <w:vAlign w:val="center"/>
            <w:hideMark/>
          </w:tcPr>
          <w:p w14:paraId="01639307"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15,2%</w:t>
            </w:r>
          </w:p>
        </w:tc>
        <w:tc>
          <w:tcPr>
            <w:tcW w:w="795" w:type="dxa"/>
            <w:shd w:val="clear" w:color="auto" w:fill="FFFFFF" w:themeFill="background1"/>
            <w:vAlign w:val="center"/>
            <w:hideMark/>
          </w:tcPr>
          <w:p w14:paraId="640C2571"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406</w:t>
            </w:r>
          </w:p>
        </w:tc>
        <w:tc>
          <w:tcPr>
            <w:tcW w:w="826" w:type="dxa"/>
            <w:shd w:val="clear" w:color="auto" w:fill="FFFFFF" w:themeFill="background1"/>
            <w:vAlign w:val="center"/>
            <w:hideMark/>
          </w:tcPr>
          <w:p w14:paraId="41055F35"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14,5%</w:t>
            </w:r>
          </w:p>
        </w:tc>
        <w:tc>
          <w:tcPr>
            <w:tcW w:w="811" w:type="dxa"/>
            <w:shd w:val="clear" w:color="auto" w:fill="FFFFFF" w:themeFill="background1"/>
            <w:vAlign w:val="center"/>
            <w:hideMark/>
          </w:tcPr>
          <w:p w14:paraId="06223C90"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829</w:t>
            </w:r>
          </w:p>
        </w:tc>
        <w:tc>
          <w:tcPr>
            <w:tcW w:w="892" w:type="dxa"/>
            <w:shd w:val="clear" w:color="auto" w:fill="FFFFFF" w:themeFill="background1"/>
            <w:vAlign w:val="center"/>
            <w:hideMark/>
          </w:tcPr>
          <w:p w14:paraId="6A7A1EA7"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29,69</w:t>
            </w:r>
          </w:p>
        </w:tc>
      </w:tr>
      <w:tr w:rsidR="001F2F5D" w:rsidRPr="000712D6" w14:paraId="6CD1115B" w14:textId="77777777" w:rsidTr="00561C56">
        <w:trPr>
          <w:trHeight w:val="20"/>
          <w:jc w:val="center"/>
        </w:trPr>
        <w:tc>
          <w:tcPr>
            <w:tcW w:w="1550" w:type="dxa"/>
            <w:shd w:val="clear" w:color="auto" w:fill="F2F2F2" w:themeFill="background1" w:themeFillShade="F2"/>
            <w:vAlign w:val="center"/>
            <w:hideMark/>
          </w:tcPr>
          <w:p w14:paraId="3BE2329F"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Vejez</w:t>
            </w:r>
          </w:p>
          <w:p w14:paraId="6FBCDBF2" w14:textId="77777777" w:rsidR="001F2F5D" w:rsidRPr="000712D6" w:rsidRDefault="001F2F5D" w:rsidP="00561C56">
            <w:pPr>
              <w:autoSpaceDE/>
              <w:autoSpaceDN/>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(60 y más años)</w:t>
            </w:r>
          </w:p>
        </w:tc>
        <w:tc>
          <w:tcPr>
            <w:tcW w:w="810" w:type="dxa"/>
            <w:shd w:val="clear" w:color="auto" w:fill="F2F2F2" w:themeFill="background1" w:themeFillShade="F2"/>
            <w:vAlign w:val="center"/>
            <w:hideMark/>
          </w:tcPr>
          <w:p w14:paraId="3B4EB91E"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1394</w:t>
            </w:r>
          </w:p>
        </w:tc>
        <w:tc>
          <w:tcPr>
            <w:tcW w:w="811" w:type="dxa"/>
            <w:shd w:val="clear" w:color="auto" w:fill="F2F2F2" w:themeFill="background1" w:themeFillShade="F2"/>
            <w:vAlign w:val="center"/>
            <w:hideMark/>
          </w:tcPr>
          <w:p w14:paraId="56208472" w14:textId="77777777" w:rsidR="001F2F5D" w:rsidRPr="000712D6" w:rsidRDefault="001F2F5D" w:rsidP="00561C56">
            <w:pPr>
              <w:jc w:val="center"/>
              <w:rPr>
                <w:rFonts w:ascii="Humanst521 BT" w:eastAsia="Humanst521 BT" w:hAnsi="Humanst521 BT" w:cs="Humanst521 BT"/>
                <w:color w:val="000000" w:themeColor="text1"/>
                <w:sz w:val="20"/>
              </w:rPr>
            </w:pPr>
            <w:r w:rsidRPr="000712D6">
              <w:rPr>
                <w:rFonts w:ascii="Humanst521 BT" w:eastAsia="Humanst521 BT" w:hAnsi="Humanst521 BT" w:cs="Humanst521 BT"/>
                <w:color w:val="000000" w:themeColor="text1"/>
                <w:sz w:val="20"/>
              </w:rPr>
              <w:t>50,5%</w:t>
            </w:r>
          </w:p>
        </w:tc>
        <w:tc>
          <w:tcPr>
            <w:tcW w:w="990" w:type="dxa"/>
            <w:shd w:val="clear" w:color="auto" w:fill="F2F2F2" w:themeFill="background1" w:themeFillShade="F2"/>
            <w:vAlign w:val="center"/>
            <w:hideMark/>
          </w:tcPr>
          <w:p w14:paraId="3885ED5F" w14:textId="77777777" w:rsidR="001F2F5D" w:rsidRPr="000712D6" w:rsidRDefault="001F2F5D" w:rsidP="00561C56">
            <w:pPr>
              <w:jc w:val="right"/>
              <w:rPr>
                <w:rFonts w:ascii="Humanst521 BT" w:eastAsia="Arial" w:hAnsi="Humanst521 BT" w:cs="Arial"/>
                <w:sz w:val="20"/>
              </w:rPr>
            </w:pPr>
            <w:r w:rsidRPr="000712D6">
              <w:rPr>
                <w:rFonts w:ascii="Humanst521 BT" w:eastAsia="Arial" w:hAnsi="Humanst521 BT" w:cs="Arial"/>
                <w:sz w:val="20"/>
              </w:rPr>
              <w:t>-0,50%</w:t>
            </w:r>
          </w:p>
        </w:tc>
        <w:tc>
          <w:tcPr>
            <w:tcW w:w="631" w:type="dxa"/>
            <w:shd w:val="clear" w:color="auto" w:fill="F2F2F2" w:themeFill="background1" w:themeFillShade="F2"/>
            <w:vAlign w:val="center"/>
            <w:hideMark/>
          </w:tcPr>
          <w:p w14:paraId="04F014D4"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753</w:t>
            </w:r>
          </w:p>
        </w:tc>
        <w:tc>
          <w:tcPr>
            <w:tcW w:w="810" w:type="dxa"/>
            <w:shd w:val="clear" w:color="auto" w:fill="F2F2F2" w:themeFill="background1" w:themeFillShade="F2"/>
            <w:vAlign w:val="center"/>
            <w:hideMark/>
          </w:tcPr>
          <w:p w14:paraId="095BCF27"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27,0%</w:t>
            </w:r>
          </w:p>
        </w:tc>
        <w:tc>
          <w:tcPr>
            <w:tcW w:w="795" w:type="dxa"/>
            <w:shd w:val="clear" w:color="auto" w:fill="F2F2F2" w:themeFill="background1" w:themeFillShade="F2"/>
            <w:vAlign w:val="center"/>
            <w:hideMark/>
          </w:tcPr>
          <w:p w14:paraId="2226BF3F"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648</w:t>
            </w:r>
          </w:p>
        </w:tc>
        <w:tc>
          <w:tcPr>
            <w:tcW w:w="826" w:type="dxa"/>
            <w:shd w:val="clear" w:color="auto" w:fill="F2F2F2" w:themeFill="background1" w:themeFillShade="F2"/>
            <w:vAlign w:val="center"/>
            <w:hideMark/>
          </w:tcPr>
          <w:p w14:paraId="43839094" w14:textId="77777777" w:rsidR="001F2F5D" w:rsidRPr="000712D6" w:rsidRDefault="001F2F5D" w:rsidP="00561C56">
            <w:pPr>
              <w:jc w:val="right"/>
              <w:rPr>
                <w:rFonts w:ascii="Humanst521 BT" w:eastAsia="Humanst521 BT" w:hAnsi="Humanst521 BT" w:cs="Humanst521 BT"/>
                <w:sz w:val="20"/>
              </w:rPr>
            </w:pPr>
            <w:r w:rsidRPr="000712D6">
              <w:rPr>
                <w:rFonts w:ascii="Humanst521 BT" w:eastAsia="Humanst521 BT" w:hAnsi="Humanst521 BT" w:cs="Humanst521 BT"/>
                <w:sz w:val="20"/>
              </w:rPr>
              <w:t>23,2%</w:t>
            </w:r>
          </w:p>
        </w:tc>
        <w:tc>
          <w:tcPr>
            <w:tcW w:w="811" w:type="dxa"/>
            <w:shd w:val="clear" w:color="auto" w:fill="F2F2F2" w:themeFill="background1" w:themeFillShade="F2"/>
            <w:vAlign w:val="center"/>
            <w:hideMark/>
          </w:tcPr>
          <w:p w14:paraId="294E5C8D"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1.401</w:t>
            </w:r>
          </w:p>
        </w:tc>
        <w:tc>
          <w:tcPr>
            <w:tcW w:w="892" w:type="dxa"/>
            <w:shd w:val="clear" w:color="auto" w:fill="F2F2F2" w:themeFill="background1" w:themeFillShade="F2"/>
            <w:vAlign w:val="center"/>
            <w:hideMark/>
          </w:tcPr>
          <w:p w14:paraId="3E415E72" w14:textId="77777777" w:rsidR="001F2F5D" w:rsidRPr="000712D6" w:rsidRDefault="001F2F5D" w:rsidP="00561C56">
            <w:pPr>
              <w:autoSpaceDE/>
              <w:autoSpaceDN/>
              <w:jc w:val="center"/>
              <w:rPr>
                <w:rFonts w:ascii="Humanst521 BT" w:eastAsia="Humanst521 BT" w:hAnsi="Humanst521 BT" w:cs="Humanst521 BT"/>
                <w:color w:val="000000"/>
                <w:sz w:val="20"/>
              </w:rPr>
            </w:pPr>
            <w:r w:rsidRPr="000712D6">
              <w:rPr>
                <w:rFonts w:ascii="Humanst521 BT" w:eastAsia="Humanst521 BT" w:hAnsi="Humanst521 BT" w:cs="Humanst521 BT"/>
                <w:color w:val="000000" w:themeColor="text1"/>
                <w:sz w:val="20"/>
              </w:rPr>
              <w:t>50,18%</w:t>
            </w:r>
          </w:p>
        </w:tc>
      </w:tr>
      <w:tr w:rsidR="001F2F5D" w:rsidRPr="000712D6" w14:paraId="5EFF5F08" w14:textId="77777777" w:rsidTr="00561C56">
        <w:trPr>
          <w:trHeight w:val="20"/>
          <w:jc w:val="center"/>
        </w:trPr>
        <w:tc>
          <w:tcPr>
            <w:tcW w:w="1550" w:type="dxa"/>
            <w:shd w:val="clear" w:color="auto" w:fill="C5E0B3"/>
            <w:vAlign w:val="center"/>
            <w:hideMark/>
          </w:tcPr>
          <w:p w14:paraId="2B93B703" w14:textId="77777777" w:rsidR="001F2F5D" w:rsidRPr="000712D6" w:rsidRDefault="001F2F5D" w:rsidP="00561C56">
            <w:pPr>
              <w:autoSpaceDE/>
              <w:autoSpaceDN/>
              <w:rPr>
                <w:rFonts w:ascii="Humanst521 BT" w:hAnsi="Humanst521 BT" w:cs="Calibri"/>
                <w:b/>
                <w:bCs/>
                <w:color w:val="000000"/>
                <w:sz w:val="20"/>
              </w:rPr>
            </w:pPr>
            <w:proofErr w:type="gramStart"/>
            <w:r w:rsidRPr="000712D6">
              <w:rPr>
                <w:rFonts w:ascii="Humanst521 BT" w:hAnsi="Humanst521 BT" w:cs="Calibri"/>
                <w:b/>
                <w:bCs/>
                <w:color w:val="000000"/>
                <w:sz w:val="20"/>
              </w:rPr>
              <w:t>Total</w:t>
            </w:r>
            <w:proofErr w:type="gramEnd"/>
            <w:r w:rsidRPr="000712D6">
              <w:rPr>
                <w:rFonts w:ascii="Humanst521 BT" w:hAnsi="Humanst521 BT" w:cs="Calibri"/>
                <w:b/>
                <w:bCs/>
                <w:color w:val="000000"/>
                <w:sz w:val="20"/>
              </w:rPr>
              <w:t xml:space="preserve"> general</w:t>
            </w:r>
          </w:p>
        </w:tc>
        <w:tc>
          <w:tcPr>
            <w:tcW w:w="810" w:type="dxa"/>
            <w:shd w:val="clear" w:color="auto" w:fill="C5E0B3"/>
            <w:vAlign w:val="center"/>
            <w:hideMark/>
          </w:tcPr>
          <w:p w14:paraId="5CE0B7BE"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themeColor="text1"/>
                <w:sz w:val="20"/>
              </w:rPr>
              <w:t>2.760</w:t>
            </w:r>
          </w:p>
        </w:tc>
        <w:tc>
          <w:tcPr>
            <w:tcW w:w="811" w:type="dxa"/>
            <w:shd w:val="clear" w:color="auto" w:fill="C5E0B3"/>
            <w:vAlign w:val="center"/>
            <w:hideMark/>
          </w:tcPr>
          <w:p w14:paraId="33F5E311"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100%</w:t>
            </w:r>
          </w:p>
        </w:tc>
        <w:tc>
          <w:tcPr>
            <w:tcW w:w="990" w:type="dxa"/>
            <w:shd w:val="clear" w:color="auto" w:fill="C5E0B3"/>
            <w:vAlign w:val="center"/>
            <w:hideMark/>
          </w:tcPr>
          <w:p w14:paraId="7B14E45B" w14:textId="77777777" w:rsidR="001F2F5D" w:rsidRPr="000712D6" w:rsidRDefault="001F2F5D" w:rsidP="00561C56">
            <w:pPr>
              <w:jc w:val="right"/>
              <w:rPr>
                <w:rFonts w:ascii="Humanst521 BT" w:eastAsia="Arial" w:hAnsi="Humanst521 BT" w:cs="Arial"/>
                <w:sz w:val="20"/>
              </w:rPr>
            </w:pPr>
            <w:r w:rsidRPr="000712D6">
              <w:rPr>
                <w:rFonts w:ascii="Humanst521 BT" w:eastAsiaTheme="minorEastAsia" w:hAnsi="Humanst521 BT" w:cstheme="minorBidi"/>
                <w:b/>
                <w:color w:val="000000" w:themeColor="text1"/>
                <w:sz w:val="20"/>
              </w:rPr>
              <w:t>-1,16%</w:t>
            </w:r>
          </w:p>
        </w:tc>
        <w:tc>
          <w:tcPr>
            <w:tcW w:w="631" w:type="dxa"/>
            <w:shd w:val="clear" w:color="auto" w:fill="C5E0B3"/>
            <w:vAlign w:val="center"/>
            <w:hideMark/>
          </w:tcPr>
          <w:p w14:paraId="6B896773" w14:textId="77777777" w:rsidR="001F2F5D" w:rsidRPr="000712D6" w:rsidRDefault="001F2F5D" w:rsidP="00561C56">
            <w:pPr>
              <w:jc w:val="center"/>
              <w:rPr>
                <w:rFonts w:ascii="Humanst521 BT" w:hAnsi="Humanst521 BT" w:cs="Calibri"/>
                <w:b/>
                <w:bCs/>
                <w:color w:val="000000" w:themeColor="text1"/>
                <w:sz w:val="20"/>
              </w:rPr>
            </w:pPr>
          </w:p>
          <w:p w14:paraId="1152924D"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color w:val="000000" w:themeColor="text1"/>
                <w:sz w:val="20"/>
              </w:rPr>
              <w:t>1.</w:t>
            </w:r>
            <w:r w:rsidRPr="000712D6">
              <w:rPr>
                <w:rFonts w:ascii="Humanst521 BT" w:hAnsi="Humanst521 BT" w:cs="Calibri"/>
                <w:b/>
                <w:bCs/>
                <w:color w:val="000000" w:themeColor="text1"/>
                <w:sz w:val="20"/>
              </w:rPr>
              <w:t>428</w:t>
            </w:r>
          </w:p>
        </w:tc>
        <w:tc>
          <w:tcPr>
            <w:tcW w:w="810" w:type="dxa"/>
            <w:shd w:val="clear" w:color="auto" w:fill="C5E0B3"/>
            <w:vAlign w:val="center"/>
            <w:hideMark/>
          </w:tcPr>
          <w:p w14:paraId="27C360A0"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100%</w:t>
            </w:r>
          </w:p>
        </w:tc>
        <w:tc>
          <w:tcPr>
            <w:tcW w:w="795" w:type="dxa"/>
            <w:shd w:val="clear" w:color="auto" w:fill="C5E0B3"/>
            <w:vAlign w:val="center"/>
            <w:hideMark/>
          </w:tcPr>
          <w:p w14:paraId="0D5EAD00"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color w:val="000000" w:themeColor="text1"/>
                <w:sz w:val="20"/>
              </w:rPr>
              <w:t>1.</w:t>
            </w:r>
            <w:r w:rsidRPr="000712D6">
              <w:rPr>
                <w:rFonts w:ascii="Humanst521 BT" w:hAnsi="Humanst521 BT" w:cs="Calibri"/>
                <w:b/>
                <w:bCs/>
                <w:color w:val="000000" w:themeColor="text1"/>
                <w:sz w:val="20"/>
              </w:rPr>
              <w:t>364</w:t>
            </w:r>
          </w:p>
        </w:tc>
        <w:tc>
          <w:tcPr>
            <w:tcW w:w="826" w:type="dxa"/>
            <w:shd w:val="clear" w:color="auto" w:fill="C5E0B3"/>
            <w:vAlign w:val="center"/>
            <w:hideMark/>
          </w:tcPr>
          <w:p w14:paraId="041F886F"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100%</w:t>
            </w:r>
          </w:p>
        </w:tc>
        <w:tc>
          <w:tcPr>
            <w:tcW w:w="811" w:type="dxa"/>
            <w:shd w:val="clear" w:color="auto" w:fill="C5E0B3"/>
            <w:vAlign w:val="center"/>
            <w:hideMark/>
          </w:tcPr>
          <w:p w14:paraId="48C1BCFA"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themeColor="text1"/>
                <w:sz w:val="20"/>
              </w:rPr>
              <w:t>2.792</w:t>
            </w:r>
          </w:p>
        </w:tc>
        <w:tc>
          <w:tcPr>
            <w:tcW w:w="892" w:type="dxa"/>
            <w:shd w:val="clear" w:color="auto" w:fill="C5E0B3"/>
            <w:vAlign w:val="center"/>
            <w:hideMark/>
          </w:tcPr>
          <w:p w14:paraId="4B7B9491" w14:textId="77777777" w:rsidR="001F2F5D" w:rsidRPr="000712D6" w:rsidRDefault="001F2F5D"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100%</w:t>
            </w:r>
          </w:p>
        </w:tc>
      </w:tr>
    </w:tbl>
    <w:p w14:paraId="05EDA661" w14:textId="77777777" w:rsidR="001F2F5D" w:rsidRPr="000712D6" w:rsidRDefault="001F2F5D" w:rsidP="001F2F5D">
      <w:pPr>
        <w:jc w:val="both"/>
        <w:rPr>
          <w:rFonts w:ascii="Humanst521 BT" w:hAnsi="Humanst521 BT" w:cstheme="minorBidi"/>
        </w:rPr>
      </w:pPr>
      <w:r w:rsidRPr="000712D6">
        <w:rPr>
          <w:rFonts w:ascii="Humanst521 BT" w:hAnsi="Humanst521 BT" w:cstheme="minorBidi"/>
        </w:rPr>
        <w:t>Fuente: Afiliación – corte 31 de diciembre de 202</w:t>
      </w:r>
      <w:r>
        <w:rPr>
          <w:rFonts w:ascii="Humanst521 BT" w:hAnsi="Humanst521 BT" w:cstheme="minorBidi"/>
        </w:rPr>
        <w:t>5</w:t>
      </w:r>
    </w:p>
    <w:p w14:paraId="09147D01" w14:textId="77777777" w:rsidR="001F2F5D" w:rsidRPr="000712D6" w:rsidRDefault="001F2F5D" w:rsidP="001F2F5D">
      <w:pPr>
        <w:jc w:val="both"/>
        <w:rPr>
          <w:rFonts w:ascii="Humanst521 BT" w:hAnsi="Humanst521 BT" w:cstheme="minorHAnsi"/>
          <w:color w:val="FF0000"/>
        </w:rPr>
      </w:pPr>
    </w:p>
    <w:p w14:paraId="720C57D1" w14:textId="77777777" w:rsidR="001F2F5D" w:rsidRDefault="001F2F5D" w:rsidP="001F2F5D">
      <w:pPr>
        <w:jc w:val="both"/>
        <w:rPr>
          <w:rFonts w:ascii="Humanst521 BT" w:hAnsi="Humanst521 BT" w:cstheme="minorBidi"/>
        </w:rPr>
      </w:pPr>
      <w:r w:rsidRPr="000712D6">
        <w:rPr>
          <w:rFonts w:ascii="Humanst521 BT" w:hAnsi="Humanst521 BT" w:cstheme="minorBidi"/>
        </w:rPr>
        <w:t>La proporción más baja es dada por la población menor de 5 años con el 2,5% (71) y dentro de este grupo, los menores de 1 año - 13 afiliados (0,46%).</w:t>
      </w:r>
    </w:p>
    <w:p w14:paraId="5E91DF91" w14:textId="77777777" w:rsidR="001F2F5D" w:rsidRDefault="001F2F5D" w:rsidP="001F2F5D">
      <w:pPr>
        <w:jc w:val="both"/>
        <w:rPr>
          <w:rFonts w:ascii="Humanst521 BT" w:hAnsi="Humanst521 BT" w:cstheme="minorBidi"/>
        </w:rPr>
      </w:pPr>
    </w:p>
    <w:p w14:paraId="70FD6980" w14:textId="77777777" w:rsidR="00EA1800" w:rsidRDefault="00EA1800" w:rsidP="001F2F5D">
      <w:pPr>
        <w:jc w:val="both"/>
        <w:rPr>
          <w:rFonts w:ascii="Humanst521 BT" w:hAnsi="Humanst521 BT" w:cstheme="minorBidi"/>
        </w:rPr>
      </w:pPr>
    </w:p>
    <w:p w14:paraId="1D3A9438" w14:textId="77777777" w:rsidR="001F2F5D" w:rsidRDefault="001F2F5D" w:rsidP="001F2F5D">
      <w:pPr>
        <w:pStyle w:val="Descripcin"/>
        <w:spacing w:after="0"/>
        <w:rPr>
          <w:rFonts w:ascii="Humanst521 BT" w:hAnsi="Humanst521 BT"/>
          <w:sz w:val="22"/>
          <w:szCs w:val="22"/>
        </w:rPr>
      </w:pPr>
    </w:p>
    <w:p w14:paraId="6B54FA50" w14:textId="546B813F" w:rsidR="001F2F5D" w:rsidRPr="000712D6" w:rsidRDefault="001F2F5D" w:rsidP="001F2F5D">
      <w:pPr>
        <w:pStyle w:val="Descripcin"/>
        <w:spacing w:after="0"/>
        <w:rPr>
          <w:rFonts w:ascii="Humanst521 BT" w:hAnsi="Humanst521 BT"/>
          <w:sz w:val="22"/>
          <w:szCs w:val="22"/>
        </w:rPr>
      </w:pPr>
      <w:r w:rsidRPr="07074AB7">
        <w:rPr>
          <w:rFonts w:ascii="Humanst521 BT" w:hAnsi="Humanst521 BT"/>
          <w:sz w:val="22"/>
          <w:szCs w:val="22"/>
        </w:rPr>
        <w:t xml:space="preserve">Figura </w:t>
      </w:r>
      <w:r w:rsidRPr="07074AB7">
        <w:rPr>
          <w:rFonts w:ascii="Humanst521 BT" w:hAnsi="Humanst521 BT"/>
          <w:sz w:val="22"/>
          <w:szCs w:val="22"/>
        </w:rPr>
        <w:fldChar w:fldCharType="begin"/>
      </w:r>
      <w:r w:rsidRPr="07074AB7">
        <w:rPr>
          <w:rFonts w:ascii="Humanst521 BT" w:hAnsi="Humanst521 BT"/>
          <w:sz w:val="22"/>
          <w:szCs w:val="22"/>
        </w:rPr>
        <w:instrText xml:space="preserve"> SEQ Figura \* ARABIC </w:instrText>
      </w:r>
      <w:r w:rsidRPr="07074AB7">
        <w:rPr>
          <w:rFonts w:ascii="Humanst521 BT" w:hAnsi="Humanst521 BT"/>
          <w:sz w:val="22"/>
          <w:szCs w:val="22"/>
        </w:rPr>
        <w:fldChar w:fldCharType="separate"/>
      </w:r>
      <w:r w:rsidR="003E72CD">
        <w:rPr>
          <w:rFonts w:ascii="Humanst521 BT" w:hAnsi="Humanst521 BT"/>
          <w:noProof/>
          <w:sz w:val="22"/>
          <w:szCs w:val="22"/>
        </w:rPr>
        <w:t>4</w:t>
      </w:r>
      <w:r w:rsidRPr="07074AB7">
        <w:rPr>
          <w:rFonts w:ascii="Humanst521 BT" w:hAnsi="Humanst521 BT"/>
          <w:sz w:val="22"/>
          <w:szCs w:val="22"/>
        </w:rPr>
        <w:fldChar w:fldCharType="end"/>
      </w:r>
      <w:r w:rsidRPr="07074AB7">
        <w:rPr>
          <w:rFonts w:ascii="Humanst521 BT" w:hAnsi="Humanst521 BT"/>
          <w:sz w:val="22"/>
          <w:szCs w:val="22"/>
        </w:rPr>
        <w:t>. Evolución poblacional de UISALUD 2016 - 2025</w:t>
      </w:r>
    </w:p>
    <w:p w14:paraId="3613C454" w14:textId="77777777" w:rsidR="001F2F5D" w:rsidRPr="000712D6" w:rsidRDefault="001F2F5D" w:rsidP="001F2F5D">
      <w:pPr>
        <w:jc w:val="both"/>
        <w:rPr>
          <w:rFonts w:ascii="Humanst521 BT" w:hAnsi="Humanst521 BT" w:cstheme="minorBidi"/>
        </w:rPr>
      </w:pPr>
    </w:p>
    <w:p w14:paraId="2F5F8855" w14:textId="77777777" w:rsidR="001F2F5D" w:rsidRPr="000712D6" w:rsidRDefault="001F2F5D" w:rsidP="001F2F5D">
      <w:pPr>
        <w:pStyle w:val="Textocomentario"/>
        <w:jc w:val="both"/>
        <w:rPr>
          <w:rFonts w:ascii="Humanst521 BT" w:hAnsi="Humanst521 BT" w:cstheme="minorBidi"/>
          <w:color w:val="FF0000"/>
          <w:sz w:val="22"/>
          <w:szCs w:val="22"/>
        </w:rPr>
      </w:pPr>
      <w:r>
        <w:rPr>
          <w:noProof/>
        </w:rPr>
        <w:drawing>
          <wp:inline distT="0" distB="0" distL="0" distR="0" wp14:anchorId="704A1436" wp14:editId="64F65D9E">
            <wp:extent cx="5612130" cy="3101340"/>
            <wp:effectExtent l="0" t="0" r="7620" b="3810"/>
            <wp:docPr id="19" name="Gráfico 19">
              <a:extLst xmlns:a="http://schemas.openxmlformats.org/drawingml/2006/main">
                <a:ext uri="{FF2B5EF4-FFF2-40B4-BE49-F238E27FC236}">
                  <a16:creationId xmlns:a16="http://schemas.microsoft.com/office/drawing/2014/main" id="{5572F77D-168E-4171-8666-7BBA94E867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FDF918" w14:textId="77777777" w:rsidR="001F2F5D" w:rsidRPr="000712D6" w:rsidRDefault="001F2F5D" w:rsidP="001F2F5D">
      <w:pPr>
        <w:jc w:val="both"/>
        <w:rPr>
          <w:rFonts w:ascii="Humanst521 BT" w:hAnsi="Humanst521 BT" w:cstheme="minorBidi"/>
        </w:rPr>
      </w:pPr>
      <w:r w:rsidRPr="000712D6">
        <w:rPr>
          <w:rFonts w:ascii="Humanst521 BT" w:hAnsi="Humanst521 BT" w:cstheme="minorBidi"/>
        </w:rPr>
        <w:t>Fuente: Afiliación – corte 31 de diciembre de 202</w:t>
      </w:r>
      <w:r>
        <w:rPr>
          <w:rFonts w:ascii="Humanst521 BT" w:hAnsi="Humanst521 BT" w:cstheme="minorBidi"/>
        </w:rPr>
        <w:t>5</w:t>
      </w:r>
    </w:p>
    <w:p w14:paraId="404D2B30" w14:textId="77777777" w:rsidR="004F4AA1" w:rsidRDefault="004F4AA1" w:rsidP="00093B44">
      <w:pPr>
        <w:jc w:val="both"/>
        <w:rPr>
          <w:rFonts w:ascii="Humanst521 BT" w:hAnsi="Humanst521 BT" w:cstheme="minorBidi"/>
        </w:rPr>
      </w:pPr>
    </w:p>
    <w:p w14:paraId="2E308CD8" w14:textId="77777777" w:rsidR="00A13EDE" w:rsidRDefault="00A13EDE" w:rsidP="00093B44">
      <w:pPr>
        <w:jc w:val="both"/>
        <w:rPr>
          <w:rFonts w:ascii="Humanst521 BT" w:hAnsi="Humanst521 BT" w:cstheme="minorBidi"/>
        </w:rPr>
      </w:pPr>
    </w:p>
    <w:p w14:paraId="41AA74D6" w14:textId="77777777" w:rsidR="00A13EDE" w:rsidRPr="00596B82" w:rsidRDefault="00A13EDE" w:rsidP="00A13EDE">
      <w:pPr>
        <w:jc w:val="both"/>
        <w:rPr>
          <w:rFonts w:ascii="Humanst521 BT" w:hAnsi="Humanst521 BT" w:cstheme="minorBidi"/>
        </w:rPr>
      </w:pPr>
      <w:r>
        <w:rPr>
          <w:rFonts w:ascii="Humanst521 BT" w:hAnsi="Humanst521 BT" w:cstheme="minorBidi"/>
        </w:rPr>
        <w:t>El</w:t>
      </w:r>
      <w:r w:rsidRPr="00596B82">
        <w:rPr>
          <w:rFonts w:ascii="Humanst521 BT" w:hAnsi="Humanst521 BT" w:cstheme="minorBidi"/>
        </w:rPr>
        <w:t xml:space="preserve"> análisis de tendencia mediante regresión lineal evidencia un comportamiento descendente del indicador en ambos sexos durante el periodo evaluado. En la población masculina, se observa una disminución promedio anual de 12.96 unidades (R²=0.7448), lo que indica una tendencia moderadamente consistente con cierta variabilidad entre periodos. Por su parte, en la población femenina se evidencia una reducción más pronunciada de 14.46 unidades por año, con un alto grado de ajuste del modelo (R²=0.9396), lo que refleja un comportamiento más estable en el tiempo.</w:t>
      </w:r>
    </w:p>
    <w:p w14:paraId="435104DE" w14:textId="77777777" w:rsidR="00A13EDE" w:rsidRPr="00596B82" w:rsidRDefault="00A13EDE" w:rsidP="00A13EDE">
      <w:pPr>
        <w:jc w:val="both"/>
        <w:rPr>
          <w:rFonts w:ascii="Humanst521 BT" w:hAnsi="Humanst521 BT" w:cstheme="minorBidi"/>
        </w:rPr>
      </w:pPr>
    </w:p>
    <w:p w14:paraId="16348B4C" w14:textId="77777777" w:rsidR="00A13EDE" w:rsidRDefault="00A13EDE" w:rsidP="00A13EDE">
      <w:pPr>
        <w:jc w:val="both"/>
        <w:rPr>
          <w:rFonts w:ascii="Humanst521 BT" w:hAnsi="Humanst521 BT" w:cstheme="minorBidi"/>
        </w:rPr>
      </w:pPr>
      <w:r w:rsidRPr="00596B82">
        <w:rPr>
          <w:rFonts w:ascii="Humanst521 BT" w:hAnsi="Humanst521 BT" w:cstheme="minorBidi"/>
        </w:rPr>
        <w:t>En términos comparativos, aunque las mujeres presentan valores superiores a los hombres a lo largo del periodo, la reducción más acelerada en este grupo sugiere una disminución progresiva de la brecha entre ambos sexos. No obstante, en los años más recientes se observan leves variaciones respecto a la tendencia histórica, lo que podría indicar un proceso de estabilización del indicador, situación que requiere seguimiento en periodos posteriores.</w:t>
      </w:r>
    </w:p>
    <w:p w14:paraId="3F30794E" w14:textId="77777777" w:rsidR="00A13EDE" w:rsidRDefault="00A13EDE" w:rsidP="00093B44">
      <w:pPr>
        <w:jc w:val="both"/>
        <w:rPr>
          <w:rFonts w:ascii="Humanst521 BT" w:hAnsi="Humanst521 BT" w:cstheme="minorBidi"/>
        </w:rPr>
      </w:pPr>
    </w:p>
    <w:p w14:paraId="07C83013" w14:textId="29947865" w:rsidR="00F24C6A" w:rsidRPr="000712D6" w:rsidRDefault="00F24C6A" w:rsidP="00F24C6A">
      <w:pPr>
        <w:pStyle w:val="Descripcin"/>
        <w:spacing w:after="0"/>
        <w:rPr>
          <w:rFonts w:ascii="Humanst521 BT" w:hAnsi="Humanst521 BT"/>
          <w:sz w:val="22"/>
          <w:szCs w:val="22"/>
        </w:rPr>
      </w:pPr>
      <w:r w:rsidRPr="07074AB7">
        <w:rPr>
          <w:rFonts w:ascii="Humanst521 BT" w:hAnsi="Humanst521 BT"/>
          <w:sz w:val="22"/>
          <w:szCs w:val="22"/>
        </w:rPr>
        <w:t xml:space="preserve">Figura </w:t>
      </w:r>
      <w:r w:rsidRPr="07074AB7">
        <w:rPr>
          <w:rFonts w:ascii="Humanst521 BT" w:hAnsi="Humanst521 BT"/>
          <w:sz w:val="22"/>
          <w:szCs w:val="22"/>
        </w:rPr>
        <w:fldChar w:fldCharType="begin"/>
      </w:r>
      <w:r w:rsidRPr="07074AB7">
        <w:rPr>
          <w:rFonts w:ascii="Humanst521 BT" w:hAnsi="Humanst521 BT"/>
          <w:sz w:val="22"/>
          <w:szCs w:val="22"/>
        </w:rPr>
        <w:instrText xml:space="preserve"> SEQ Figura \* ARABIC </w:instrText>
      </w:r>
      <w:r w:rsidRPr="07074AB7">
        <w:rPr>
          <w:rFonts w:ascii="Humanst521 BT" w:hAnsi="Humanst521 BT"/>
          <w:sz w:val="22"/>
          <w:szCs w:val="22"/>
        </w:rPr>
        <w:fldChar w:fldCharType="separate"/>
      </w:r>
      <w:r w:rsidR="007E563D">
        <w:rPr>
          <w:rFonts w:ascii="Humanst521 BT" w:hAnsi="Humanst521 BT"/>
          <w:noProof/>
          <w:sz w:val="22"/>
          <w:szCs w:val="22"/>
        </w:rPr>
        <w:t>5</w:t>
      </w:r>
      <w:r w:rsidRPr="07074AB7">
        <w:rPr>
          <w:rFonts w:ascii="Humanst521 BT" w:hAnsi="Humanst521 BT"/>
          <w:sz w:val="22"/>
          <w:szCs w:val="22"/>
        </w:rPr>
        <w:fldChar w:fldCharType="end"/>
      </w:r>
      <w:r w:rsidRPr="07074AB7">
        <w:rPr>
          <w:rFonts w:ascii="Humanst521 BT" w:hAnsi="Humanst521 BT"/>
          <w:sz w:val="22"/>
          <w:szCs w:val="22"/>
        </w:rPr>
        <w:t xml:space="preserve">. </w:t>
      </w:r>
      <w:r w:rsidR="00596B82">
        <w:rPr>
          <w:rFonts w:ascii="Humanst521 BT" w:hAnsi="Humanst521 BT"/>
          <w:sz w:val="22"/>
          <w:szCs w:val="22"/>
        </w:rPr>
        <w:t xml:space="preserve">Tendencia </w:t>
      </w:r>
      <w:r w:rsidRPr="07074AB7">
        <w:rPr>
          <w:rFonts w:ascii="Humanst521 BT" w:hAnsi="Humanst521 BT"/>
          <w:sz w:val="22"/>
          <w:szCs w:val="22"/>
        </w:rPr>
        <w:t xml:space="preserve">poblacional </w:t>
      </w:r>
      <w:r>
        <w:rPr>
          <w:rFonts w:ascii="Humanst521 BT" w:hAnsi="Humanst521 BT"/>
          <w:sz w:val="22"/>
          <w:szCs w:val="22"/>
        </w:rPr>
        <w:t>hombres vs mujeres</w:t>
      </w:r>
      <w:r w:rsidRPr="07074AB7">
        <w:rPr>
          <w:rFonts w:ascii="Humanst521 BT" w:hAnsi="Humanst521 BT"/>
          <w:sz w:val="22"/>
          <w:szCs w:val="22"/>
        </w:rPr>
        <w:t xml:space="preserve"> UISALUD 2016 - 2025</w:t>
      </w:r>
    </w:p>
    <w:p w14:paraId="0FCC5236" w14:textId="77777777" w:rsidR="00F24C6A" w:rsidRDefault="00F24C6A" w:rsidP="00093B44">
      <w:pPr>
        <w:jc w:val="both"/>
        <w:rPr>
          <w:rFonts w:ascii="Humanst521 BT" w:hAnsi="Humanst521 BT" w:cstheme="minorBidi"/>
        </w:rPr>
      </w:pPr>
    </w:p>
    <w:p w14:paraId="768E21B0" w14:textId="2D694EDE" w:rsidR="00F24C6A" w:rsidRDefault="00111F83" w:rsidP="00093B44">
      <w:pPr>
        <w:jc w:val="both"/>
        <w:rPr>
          <w:rFonts w:ascii="Humanst521 BT" w:hAnsi="Humanst521 BT" w:cstheme="minorBidi"/>
        </w:rPr>
      </w:pPr>
      <w:r>
        <w:rPr>
          <w:noProof/>
        </w:rPr>
        <w:lastRenderedPageBreak/>
        <w:drawing>
          <wp:inline distT="0" distB="0" distL="0" distR="0" wp14:anchorId="3C035877" wp14:editId="034C34E9">
            <wp:extent cx="5753100" cy="2809875"/>
            <wp:effectExtent l="0" t="0" r="0" b="9525"/>
            <wp:docPr id="22" name="Gráfico 22">
              <a:extLst xmlns:a="http://schemas.openxmlformats.org/drawingml/2006/main">
                <a:ext uri="{FF2B5EF4-FFF2-40B4-BE49-F238E27FC236}">
                  <a16:creationId xmlns:a16="http://schemas.microsoft.com/office/drawing/2014/main" id="{24C5241A-DD54-4824-B0D6-C21699CE8D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88CFFF" w14:textId="77777777" w:rsidR="00596B82" w:rsidRDefault="00596B82" w:rsidP="00093B44">
      <w:pPr>
        <w:jc w:val="both"/>
        <w:rPr>
          <w:rFonts w:ascii="Humanst521 BT" w:hAnsi="Humanst521 BT" w:cstheme="minorBidi"/>
        </w:rPr>
      </w:pPr>
    </w:p>
    <w:p w14:paraId="75370933" w14:textId="77777777" w:rsidR="00596B82" w:rsidRPr="007F0FA7" w:rsidRDefault="00596B82" w:rsidP="00596B82">
      <w:pPr>
        <w:jc w:val="both"/>
        <w:rPr>
          <w:rFonts w:ascii="Humanst521 BT" w:hAnsi="Humanst521 BT" w:cstheme="minorBidi"/>
        </w:rPr>
      </w:pPr>
    </w:p>
    <w:p w14:paraId="4ECB4913" w14:textId="3AD21C90" w:rsidR="005D191D" w:rsidRPr="005D191D" w:rsidRDefault="005D191D" w:rsidP="005D191D">
      <w:pPr>
        <w:widowControl/>
        <w:autoSpaceDE/>
        <w:autoSpaceDN/>
        <w:spacing w:before="100" w:beforeAutospacing="1" w:after="100" w:afterAutospacing="1"/>
        <w:jc w:val="both"/>
        <w:rPr>
          <w:rFonts w:ascii="Humanst521 BT" w:eastAsia="Times New Roman" w:hAnsi="Humanst521 BT" w:cs="Times New Roman"/>
          <w:lang w:val="es-CO" w:eastAsia="es-CO"/>
        </w:rPr>
      </w:pPr>
      <w:r w:rsidRPr="005D191D">
        <w:rPr>
          <w:rFonts w:ascii="Humanst521 BT" w:eastAsia="Times New Roman" w:hAnsi="Humanst521 BT" w:cs="Times New Roman"/>
          <w:lang w:val="es-CO" w:eastAsia="es-CO"/>
        </w:rPr>
        <w:t xml:space="preserve">El análisis de la distribución poblacional por lugar de residencia evidencia </w:t>
      </w:r>
      <w:r w:rsidRPr="00B00599">
        <w:rPr>
          <w:rFonts w:ascii="Humanst521 BT" w:eastAsia="Times New Roman" w:hAnsi="Humanst521 BT" w:cs="Times New Roman"/>
          <w:lang w:val="es-CO" w:eastAsia="es-CO"/>
        </w:rPr>
        <w:t>una concentración geográfica en el departamento de Santander (97,28%),</w:t>
      </w:r>
      <w:r w:rsidRPr="005D191D">
        <w:rPr>
          <w:rFonts w:ascii="Humanst521 BT" w:eastAsia="Times New Roman" w:hAnsi="Humanst521 BT" w:cs="Times New Roman"/>
          <w:lang w:val="es-CO" w:eastAsia="es-CO"/>
        </w:rPr>
        <w:t xml:space="preserve"> particularmente en Bucaramanga (65,37%), seguido por Floridablanca (21,35%) y Piedecuesta (6,81%). Esta concentración sugiere que la dinámica poblacional y la demanda de servicios de salud están fuertemente centralizadas en el área metropolitana, mientras que la participación de otros departamentos es marginal (&lt;2% en todos los casos), lo cual limita su impacto en la planificación </w:t>
      </w:r>
      <w:proofErr w:type="gramStart"/>
      <w:r w:rsidRPr="005D191D">
        <w:rPr>
          <w:rFonts w:ascii="Humanst521 BT" w:eastAsia="Times New Roman" w:hAnsi="Humanst521 BT" w:cs="Times New Roman"/>
          <w:lang w:val="es-CO" w:eastAsia="es-CO"/>
        </w:rPr>
        <w:t>global</w:t>
      </w:r>
      <w:proofErr w:type="gramEnd"/>
      <w:r w:rsidRPr="005D191D">
        <w:rPr>
          <w:rFonts w:ascii="Humanst521 BT" w:eastAsia="Times New Roman" w:hAnsi="Humanst521 BT" w:cs="Times New Roman"/>
          <w:lang w:val="es-CO" w:eastAsia="es-CO"/>
        </w:rPr>
        <w:t xml:space="preserve"> pero puede requerir seguimiento diferenciado por dispersión geográfica.</w:t>
      </w:r>
    </w:p>
    <w:p w14:paraId="67BF3EDC" w14:textId="77777777" w:rsidR="005D191D" w:rsidRPr="005D191D" w:rsidRDefault="005D191D" w:rsidP="005D191D">
      <w:pPr>
        <w:widowControl/>
        <w:autoSpaceDE/>
        <w:autoSpaceDN/>
        <w:spacing w:before="100" w:beforeAutospacing="1" w:after="100" w:afterAutospacing="1"/>
        <w:jc w:val="both"/>
        <w:rPr>
          <w:rFonts w:ascii="Humanst521 BT" w:eastAsia="Times New Roman" w:hAnsi="Humanst521 BT" w:cs="Times New Roman"/>
          <w:lang w:val="es-CO" w:eastAsia="es-CO"/>
        </w:rPr>
      </w:pPr>
      <w:r w:rsidRPr="005D191D">
        <w:rPr>
          <w:rFonts w:ascii="Humanst521 BT" w:eastAsia="Times New Roman" w:hAnsi="Humanst521 BT" w:cs="Times New Roman"/>
          <w:lang w:val="es-CO" w:eastAsia="es-CO"/>
        </w:rPr>
        <w:t xml:space="preserve">Desde el enfoque de ciclo vital, se confirma </w:t>
      </w:r>
      <w:r w:rsidRPr="00B00599">
        <w:rPr>
          <w:rFonts w:ascii="Humanst521 BT" w:eastAsia="Times New Roman" w:hAnsi="Humanst521 BT" w:cs="Times New Roman"/>
          <w:lang w:val="es-CO" w:eastAsia="es-CO"/>
        </w:rPr>
        <w:t>un predominio marcado del grupo de vejez</w:t>
      </w:r>
      <w:r w:rsidRPr="005D191D">
        <w:rPr>
          <w:rFonts w:ascii="Humanst521 BT" w:eastAsia="Times New Roman" w:hAnsi="Humanst521 BT" w:cs="Times New Roman"/>
          <w:lang w:val="es-CO" w:eastAsia="es-CO"/>
        </w:rPr>
        <w:t xml:space="preserve">, especialmente en los principales centros urbanos, destacándose Bucaramanga con 888 personas (31,81%) y Floridablanca con 315 (11,28%). En contraste, los grupos de primera infancia, infancia y adolescencia presentan proporciones considerablemente menores, lo que refuerza un patrón de </w:t>
      </w:r>
      <w:r w:rsidRPr="00B00599">
        <w:rPr>
          <w:rFonts w:ascii="Humanst521 BT" w:eastAsia="Times New Roman" w:hAnsi="Humanst521 BT" w:cs="Times New Roman"/>
          <w:lang w:val="es-CO" w:eastAsia="es-CO"/>
        </w:rPr>
        <w:t>envejecimiento poblacional y baja renovación generacional.</w:t>
      </w:r>
      <w:r w:rsidRPr="005D191D">
        <w:rPr>
          <w:rFonts w:ascii="Humanst521 BT" w:eastAsia="Times New Roman" w:hAnsi="Humanst521 BT" w:cs="Times New Roman"/>
          <w:lang w:val="es-CO" w:eastAsia="es-CO"/>
        </w:rPr>
        <w:t xml:space="preserve"> La adultez sigue siendo relevante (20,67% en Bucaramanga), pero con tendencia a menor peso relativo frente al crecimiento de la población mayor.</w:t>
      </w:r>
    </w:p>
    <w:p w14:paraId="2EDB5969" w14:textId="77777777" w:rsidR="005D191D" w:rsidRPr="005D191D" w:rsidRDefault="005D191D" w:rsidP="005D191D">
      <w:pPr>
        <w:widowControl/>
        <w:autoSpaceDE/>
        <w:autoSpaceDN/>
        <w:spacing w:before="100" w:beforeAutospacing="1" w:after="100" w:afterAutospacing="1"/>
        <w:jc w:val="both"/>
        <w:rPr>
          <w:rFonts w:ascii="Humanst521 BT" w:eastAsia="Times New Roman" w:hAnsi="Humanst521 BT" w:cs="Times New Roman"/>
          <w:lang w:val="es-CO" w:eastAsia="es-CO"/>
        </w:rPr>
      </w:pPr>
      <w:r w:rsidRPr="005D191D">
        <w:rPr>
          <w:rFonts w:ascii="Humanst521 BT" w:eastAsia="Times New Roman" w:hAnsi="Humanst521 BT" w:cs="Times New Roman"/>
          <w:lang w:val="es-CO" w:eastAsia="es-CO"/>
        </w:rPr>
        <w:t xml:space="preserve">En términos epidemiológicos y de gestión del riesgo, esta estructura poblacional implica una </w:t>
      </w:r>
      <w:r w:rsidRPr="00B00599">
        <w:rPr>
          <w:rFonts w:ascii="Humanst521 BT" w:eastAsia="Times New Roman" w:hAnsi="Humanst521 BT" w:cs="Times New Roman"/>
          <w:lang w:val="es-CO" w:eastAsia="es-CO"/>
        </w:rPr>
        <w:t>mayor carga de enfermedad crónica, multimorbilidad y uso intensivo de servicios de salud</w:t>
      </w:r>
      <w:r w:rsidRPr="005D191D">
        <w:rPr>
          <w:rFonts w:ascii="Humanst521 BT" w:eastAsia="Times New Roman" w:hAnsi="Humanst521 BT" w:cs="Times New Roman"/>
          <w:lang w:val="es-CO" w:eastAsia="es-CO"/>
        </w:rPr>
        <w:t>, especialmente en el nivel ambulatorio y hospitalario de mediana y alta complejidad. Este escenario demanda fortalecer estrategias enfocadas en el adulto mayor, como programas de atención integral, manejo de enfermedades crónicas, atención domiciliaria y cuidados paliativos, así como ajustes en la planeación financiera y operativa para garantizar la sostenibilidad del sistema frente a una población progresivamente envejecida.</w:t>
      </w:r>
    </w:p>
    <w:p w14:paraId="74F1653D" w14:textId="77777777" w:rsidR="00BC5824" w:rsidRPr="007F0FA7" w:rsidRDefault="00BC5824" w:rsidP="00093B44">
      <w:pPr>
        <w:jc w:val="both"/>
        <w:rPr>
          <w:rFonts w:ascii="Humanst521 BT" w:hAnsi="Humanst521 BT" w:cstheme="minorBidi"/>
        </w:rPr>
      </w:pPr>
    </w:p>
    <w:p w14:paraId="3D302224" w14:textId="759DAB23" w:rsidR="006F6683" w:rsidRPr="007F0FA7" w:rsidRDefault="006F6683" w:rsidP="006F6683">
      <w:pPr>
        <w:pStyle w:val="Descripcin"/>
        <w:keepNext/>
        <w:spacing w:line="240" w:lineRule="auto"/>
        <w:rPr>
          <w:rFonts w:ascii="Humanst521 BT" w:eastAsia="Verdana" w:hAnsi="Humanst521 BT" w:cs="Verdana"/>
          <w:b w:val="0"/>
          <w:bCs w:val="0"/>
          <w:color w:val="auto"/>
          <w:sz w:val="22"/>
          <w:szCs w:val="22"/>
          <w:lang w:val="es-ES"/>
        </w:rPr>
      </w:pPr>
      <w:bookmarkStart w:id="28" w:name="_Toc231286249"/>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7E563D">
        <w:rPr>
          <w:rFonts w:ascii="Humanst521 BT" w:eastAsia="Verdana" w:hAnsi="Humanst521 BT" w:cs="Verdana"/>
          <w:b w:val="0"/>
          <w:bCs w:val="0"/>
          <w:noProof/>
          <w:color w:val="auto"/>
          <w:sz w:val="22"/>
          <w:szCs w:val="22"/>
          <w:lang w:val="es-ES"/>
        </w:rPr>
        <w:t>4</w:t>
      </w:r>
      <w:r w:rsidRPr="007F0FA7">
        <w:rPr>
          <w:rFonts w:ascii="Humanst521 BT" w:eastAsia="Verdana" w:hAnsi="Humanst521 BT" w:cs="Verdana"/>
          <w:b w:val="0"/>
          <w:bCs w:val="0"/>
          <w:color w:val="auto"/>
          <w:sz w:val="22"/>
          <w:szCs w:val="22"/>
          <w:lang w:val="es-ES"/>
        </w:rPr>
        <w:fldChar w:fldCharType="end"/>
      </w:r>
      <w:r w:rsidRPr="007F0FA7">
        <w:rPr>
          <w:rFonts w:ascii="Humanst521 BT" w:eastAsia="Verdana" w:hAnsi="Humanst521 BT" w:cs="Verdana"/>
          <w:b w:val="0"/>
          <w:bCs w:val="0"/>
          <w:color w:val="auto"/>
          <w:sz w:val="22"/>
          <w:szCs w:val="22"/>
          <w:lang w:val="es-ES"/>
        </w:rPr>
        <w:t xml:space="preserve">. Proporción de la población por ciclo vital, UISALUD – </w:t>
      </w:r>
      <w:r>
        <w:rPr>
          <w:rFonts w:ascii="Humanst521 BT" w:eastAsia="Verdana" w:hAnsi="Humanst521 BT" w:cs="Verdana"/>
          <w:b w:val="0"/>
          <w:bCs w:val="0"/>
          <w:color w:val="auto"/>
          <w:sz w:val="22"/>
          <w:szCs w:val="22"/>
          <w:lang w:val="es-ES"/>
        </w:rPr>
        <w:t>Otros departamentos</w:t>
      </w:r>
      <w:bookmarkEnd w:id="28"/>
    </w:p>
    <w:p w14:paraId="5F8E1E0B" w14:textId="77777777" w:rsidR="00813D1C" w:rsidRPr="007F0FA7" w:rsidRDefault="00813D1C" w:rsidP="00093B44">
      <w:pPr>
        <w:jc w:val="both"/>
        <w:rPr>
          <w:rFonts w:ascii="Humanst521 BT" w:hAnsi="Humanst521 BT" w:cstheme="minorHAnsi"/>
        </w:rPr>
      </w:pPr>
    </w:p>
    <w:tbl>
      <w:tblPr>
        <w:tblW w:w="5000" w:type="pct"/>
        <w:tblCellMar>
          <w:left w:w="70" w:type="dxa"/>
          <w:right w:w="70" w:type="dxa"/>
        </w:tblCellMar>
        <w:tblLook w:val="04A0" w:firstRow="1" w:lastRow="0" w:firstColumn="1" w:lastColumn="0" w:noHBand="0" w:noVBand="1"/>
      </w:tblPr>
      <w:tblGrid>
        <w:gridCol w:w="2305"/>
        <w:gridCol w:w="1935"/>
        <w:gridCol w:w="3063"/>
        <w:gridCol w:w="1078"/>
        <w:gridCol w:w="1169"/>
      </w:tblGrid>
      <w:tr w:rsidR="00C8555F" w:rsidRPr="00C8555F" w14:paraId="5AD57878" w14:textId="77777777" w:rsidTr="00C8555F">
        <w:trPr>
          <w:trHeight w:val="255"/>
        </w:trPr>
        <w:tc>
          <w:tcPr>
            <w:tcW w:w="937" w:type="pct"/>
            <w:tcBorders>
              <w:top w:val="single" w:sz="4" w:space="0" w:color="auto"/>
              <w:left w:val="single" w:sz="4" w:space="0" w:color="auto"/>
              <w:bottom w:val="single" w:sz="8" w:space="0" w:color="70AD47"/>
              <w:right w:val="nil"/>
            </w:tcBorders>
            <w:shd w:val="clear" w:color="auto" w:fill="auto"/>
            <w:noWrap/>
            <w:vAlign w:val="bottom"/>
            <w:hideMark/>
          </w:tcPr>
          <w:p w14:paraId="6BB4CB25"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lastRenderedPageBreak/>
              <w:t>Departamento Residencia</w:t>
            </w:r>
          </w:p>
        </w:tc>
        <w:tc>
          <w:tcPr>
            <w:tcW w:w="853" w:type="pct"/>
            <w:tcBorders>
              <w:top w:val="single" w:sz="4" w:space="0" w:color="auto"/>
              <w:left w:val="nil"/>
              <w:bottom w:val="single" w:sz="8" w:space="0" w:color="70AD47"/>
              <w:right w:val="nil"/>
            </w:tcBorders>
            <w:shd w:val="clear" w:color="auto" w:fill="auto"/>
            <w:noWrap/>
            <w:vAlign w:val="bottom"/>
            <w:hideMark/>
          </w:tcPr>
          <w:p w14:paraId="11E2462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Ciudad Residencia</w:t>
            </w:r>
          </w:p>
        </w:tc>
        <w:tc>
          <w:tcPr>
            <w:tcW w:w="1238" w:type="pct"/>
            <w:tcBorders>
              <w:top w:val="single" w:sz="4" w:space="0" w:color="auto"/>
              <w:left w:val="nil"/>
              <w:bottom w:val="single" w:sz="8" w:space="0" w:color="70AD47"/>
              <w:right w:val="single" w:sz="4" w:space="0" w:color="70AD47"/>
            </w:tcBorders>
            <w:shd w:val="clear" w:color="auto" w:fill="auto"/>
            <w:noWrap/>
            <w:vAlign w:val="bottom"/>
            <w:hideMark/>
          </w:tcPr>
          <w:p w14:paraId="30A9F573"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Ciclo de Vida</w:t>
            </w:r>
          </w:p>
        </w:tc>
        <w:tc>
          <w:tcPr>
            <w:tcW w:w="962" w:type="pct"/>
            <w:tcBorders>
              <w:top w:val="single" w:sz="4" w:space="0" w:color="auto"/>
              <w:left w:val="nil"/>
              <w:bottom w:val="single" w:sz="8" w:space="0" w:color="70AD47"/>
              <w:right w:val="nil"/>
            </w:tcBorders>
            <w:shd w:val="clear" w:color="auto" w:fill="auto"/>
            <w:noWrap/>
            <w:vAlign w:val="bottom"/>
            <w:hideMark/>
          </w:tcPr>
          <w:p w14:paraId="033A07DC" w14:textId="6315B4A6"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w:t>
            </w:r>
          </w:p>
        </w:tc>
        <w:tc>
          <w:tcPr>
            <w:tcW w:w="1010" w:type="pct"/>
            <w:tcBorders>
              <w:top w:val="single" w:sz="4" w:space="0" w:color="auto"/>
              <w:left w:val="nil"/>
              <w:bottom w:val="single" w:sz="8" w:space="0" w:color="70AD47"/>
              <w:right w:val="single" w:sz="4" w:space="0" w:color="auto"/>
            </w:tcBorders>
            <w:shd w:val="clear" w:color="auto" w:fill="auto"/>
            <w:noWrap/>
            <w:vAlign w:val="bottom"/>
            <w:hideMark/>
          </w:tcPr>
          <w:p w14:paraId="644C368C" w14:textId="2AD487E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w:t>
            </w:r>
          </w:p>
        </w:tc>
      </w:tr>
      <w:tr w:rsidR="00C8555F" w:rsidRPr="00C8555F" w14:paraId="0ABBB3E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A7B7BBE"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ANTIOQUIA                                                             </w:t>
            </w:r>
          </w:p>
        </w:tc>
        <w:tc>
          <w:tcPr>
            <w:tcW w:w="853" w:type="pct"/>
            <w:tcBorders>
              <w:top w:val="single" w:sz="4" w:space="0" w:color="E2EFDA"/>
              <w:left w:val="nil"/>
              <w:bottom w:val="single" w:sz="4" w:space="0" w:color="E2EFDA"/>
              <w:right w:val="nil"/>
            </w:tcBorders>
            <w:shd w:val="clear" w:color="auto" w:fill="auto"/>
            <w:noWrap/>
            <w:vAlign w:val="bottom"/>
            <w:hideMark/>
          </w:tcPr>
          <w:p w14:paraId="7E47144B"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ENVIGADO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7E26D26"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1481ED8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780FEC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0,11%</w:t>
            </w:r>
          </w:p>
        </w:tc>
      </w:tr>
      <w:tr w:rsidR="00C8555F" w:rsidRPr="00C8555F" w14:paraId="245AF28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DF1459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0C076CD4"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ENVIGADO                                                              </w:t>
            </w:r>
          </w:p>
        </w:tc>
        <w:tc>
          <w:tcPr>
            <w:tcW w:w="962" w:type="pct"/>
            <w:tcBorders>
              <w:top w:val="single" w:sz="4" w:space="0" w:color="E2EFDA"/>
              <w:left w:val="nil"/>
              <w:bottom w:val="single" w:sz="4" w:space="0" w:color="E2EFDA"/>
              <w:right w:val="nil"/>
            </w:tcBorders>
            <w:shd w:val="clear" w:color="auto" w:fill="auto"/>
            <w:noWrap/>
            <w:vAlign w:val="bottom"/>
            <w:hideMark/>
          </w:tcPr>
          <w:p w14:paraId="13E6B29F"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3</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45F3AAE"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0,11%</w:t>
            </w:r>
          </w:p>
        </w:tc>
      </w:tr>
      <w:tr w:rsidR="00C8555F" w:rsidRPr="00C8555F" w14:paraId="3B2826B9"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0175CFE"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B57535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LA CEJA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50250CFE"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387044B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607FAA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4221EB1E"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E624E5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6C633B5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LA CEJA                                                               </w:t>
            </w:r>
          </w:p>
        </w:tc>
        <w:tc>
          <w:tcPr>
            <w:tcW w:w="962" w:type="pct"/>
            <w:tcBorders>
              <w:top w:val="single" w:sz="4" w:space="0" w:color="E2EFDA"/>
              <w:left w:val="nil"/>
              <w:bottom w:val="single" w:sz="4" w:space="0" w:color="E2EFDA"/>
              <w:right w:val="nil"/>
            </w:tcBorders>
            <w:shd w:val="clear" w:color="auto" w:fill="auto"/>
            <w:noWrap/>
            <w:vAlign w:val="bottom"/>
            <w:hideMark/>
          </w:tcPr>
          <w:p w14:paraId="35E932A2"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E482E38"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5B263E25"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2A45B06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4E8CEC0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MEDELLÍN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F46CFFD"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2AA5C66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4B9E8D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6F4DF792"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52AFA9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3CDB6072"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70FD21A"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44FBFD5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233FBC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0,18%</w:t>
            </w:r>
          </w:p>
        </w:tc>
      </w:tr>
      <w:tr w:rsidR="00C8555F" w:rsidRPr="00C8555F" w14:paraId="038A60D4"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D1FA1C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618E7EB3"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MEDELLÍN                                                              </w:t>
            </w:r>
          </w:p>
        </w:tc>
        <w:tc>
          <w:tcPr>
            <w:tcW w:w="962" w:type="pct"/>
            <w:tcBorders>
              <w:top w:val="single" w:sz="4" w:space="0" w:color="E2EFDA"/>
              <w:left w:val="nil"/>
              <w:bottom w:val="single" w:sz="4" w:space="0" w:color="E2EFDA"/>
              <w:right w:val="nil"/>
            </w:tcBorders>
            <w:shd w:val="clear" w:color="auto" w:fill="auto"/>
            <w:noWrap/>
            <w:vAlign w:val="bottom"/>
            <w:hideMark/>
          </w:tcPr>
          <w:p w14:paraId="329F7B5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6</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B4B51B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0,21%</w:t>
            </w:r>
          </w:p>
        </w:tc>
      </w:tr>
      <w:tr w:rsidR="00C8555F" w:rsidRPr="00C8555F" w14:paraId="5F6CC132"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EB150D9"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37778A3"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RIONEGRO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95BDCF5"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1438716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4626FE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18BAB9E4"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6A3C7CC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2D8C6B96"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RIONEGRO                                                              </w:t>
            </w:r>
          </w:p>
        </w:tc>
        <w:tc>
          <w:tcPr>
            <w:tcW w:w="962" w:type="pct"/>
            <w:tcBorders>
              <w:top w:val="single" w:sz="4" w:space="0" w:color="E2EFDA"/>
              <w:left w:val="nil"/>
              <w:bottom w:val="single" w:sz="4" w:space="0" w:color="E2EFDA"/>
              <w:right w:val="nil"/>
            </w:tcBorders>
            <w:shd w:val="clear" w:color="auto" w:fill="auto"/>
            <w:noWrap/>
            <w:vAlign w:val="bottom"/>
            <w:hideMark/>
          </w:tcPr>
          <w:p w14:paraId="7F082C49"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797E1B4"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762BDD3A"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4E7A3146"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ANTIOQUIA                                                             </w:t>
            </w:r>
          </w:p>
        </w:tc>
        <w:tc>
          <w:tcPr>
            <w:tcW w:w="962" w:type="pct"/>
            <w:tcBorders>
              <w:top w:val="single" w:sz="4" w:space="0" w:color="C6E0B4"/>
              <w:left w:val="nil"/>
              <w:bottom w:val="single" w:sz="4" w:space="0" w:color="C6E0B4"/>
              <w:right w:val="nil"/>
            </w:tcBorders>
            <w:shd w:val="clear" w:color="E2EFDA" w:fill="E2EFDA"/>
            <w:noWrap/>
            <w:vAlign w:val="bottom"/>
            <w:hideMark/>
          </w:tcPr>
          <w:p w14:paraId="40C1354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11</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4F25BF6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0,39%</w:t>
            </w:r>
          </w:p>
        </w:tc>
      </w:tr>
      <w:tr w:rsidR="00C8555F" w:rsidRPr="00C8555F" w14:paraId="361A674C"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BD2F6FB"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BOYACA                                                                </w:t>
            </w:r>
          </w:p>
        </w:tc>
        <w:tc>
          <w:tcPr>
            <w:tcW w:w="853" w:type="pct"/>
            <w:tcBorders>
              <w:top w:val="single" w:sz="4" w:space="0" w:color="E2EFDA"/>
              <w:left w:val="nil"/>
              <w:bottom w:val="single" w:sz="4" w:space="0" w:color="E2EFDA"/>
              <w:right w:val="nil"/>
            </w:tcBorders>
            <w:shd w:val="clear" w:color="auto" w:fill="auto"/>
            <w:noWrap/>
            <w:vAlign w:val="bottom"/>
            <w:hideMark/>
          </w:tcPr>
          <w:p w14:paraId="3759A6DE"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CHIQUINQUIRÁ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5636885"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51AD6FE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5AC17D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47B51062"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2DF9953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5ADD56AF"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78536843"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32D3D9B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454E3D5"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0266B940"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8426DA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77632CD"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C87E214"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53F8D9A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CC1D07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2D406B65"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9DD8E3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03A49B4A"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5CE613D0"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PRIMERA INFANCIA (&lt;=5 AÑOS)</w:t>
            </w:r>
          </w:p>
        </w:tc>
        <w:tc>
          <w:tcPr>
            <w:tcW w:w="962" w:type="pct"/>
            <w:tcBorders>
              <w:top w:val="single" w:sz="4" w:space="0" w:color="E2EFDA"/>
              <w:left w:val="nil"/>
              <w:bottom w:val="single" w:sz="4" w:space="0" w:color="E2EFDA"/>
              <w:right w:val="nil"/>
            </w:tcBorders>
            <w:shd w:val="clear" w:color="auto" w:fill="auto"/>
            <w:noWrap/>
            <w:vAlign w:val="bottom"/>
            <w:hideMark/>
          </w:tcPr>
          <w:p w14:paraId="0192F9A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E80C63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67097911"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B64D10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05B4543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CHIQUINQUIRÁ                                                          </w:t>
            </w:r>
          </w:p>
        </w:tc>
        <w:tc>
          <w:tcPr>
            <w:tcW w:w="962" w:type="pct"/>
            <w:tcBorders>
              <w:top w:val="single" w:sz="4" w:space="0" w:color="E2EFDA"/>
              <w:left w:val="nil"/>
              <w:bottom w:val="single" w:sz="4" w:space="0" w:color="E2EFDA"/>
              <w:right w:val="nil"/>
            </w:tcBorders>
            <w:shd w:val="clear" w:color="auto" w:fill="auto"/>
            <w:noWrap/>
            <w:vAlign w:val="bottom"/>
            <w:hideMark/>
          </w:tcPr>
          <w:p w14:paraId="720E69F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6</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E03E8DF"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0,21%</w:t>
            </w:r>
          </w:p>
        </w:tc>
      </w:tr>
      <w:tr w:rsidR="00C8555F" w:rsidRPr="00C8555F" w14:paraId="795B10F5"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1767B02"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6959E2E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MONIQUIRÁ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8629667"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3930C92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FA0DD6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2342171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5A684F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504791E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MONIQUIRÁ                                                             </w:t>
            </w:r>
          </w:p>
        </w:tc>
        <w:tc>
          <w:tcPr>
            <w:tcW w:w="962" w:type="pct"/>
            <w:tcBorders>
              <w:top w:val="single" w:sz="4" w:space="0" w:color="E2EFDA"/>
              <w:left w:val="nil"/>
              <w:bottom w:val="single" w:sz="4" w:space="0" w:color="E2EFDA"/>
              <w:right w:val="nil"/>
            </w:tcBorders>
            <w:shd w:val="clear" w:color="auto" w:fill="auto"/>
            <w:noWrap/>
            <w:vAlign w:val="bottom"/>
            <w:hideMark/>
          </w:tcPr>
          <w:p w14:paraId="64B44DA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4134B7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3763F2AE"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97D0D6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0D77CA7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TIBASOSA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79DEFFF"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110CE42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6996FD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24BE90B9"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061CED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1347ADA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TIBASOSA                                                              </w:t>
            </w:r>
          </w:p>
        </w:tc>
        <w:tc>
          <w:tcPr>
            <w:tcW w:w="962" w:type="pct"/>
            <w:tcBorders>
              <w:top w:val="single" w:sz="4" w:space="0" w:color="E2EFDA"/>
              <w:left w:val="nil"/>
              <w:bottom w:val="single" w:sz="4" w:space="0" w:color="E2EFDA"/>
              <w:right w:val="nil"/>
            </w:tcBorders>
            <w:shd w:val="clear" w:color="auto" w:fill="auto"/>
            <w:noWrap/>
            <w:vAlign w:val="bottom"/>
            <w:hideMark/>
          </w:tcPr>
          <w:p w14:paraId="3FDC7F1C"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905208E"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731A6B4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DC2D85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6F20786"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TUNJA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E1786EE"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JOVEN (18 A 28 AÑOS)</w:t>
            </w:r>
          </w:p>
        </w:tc>
        <w:tc>
          <w:tcPr>
            <w:tcW w:w="962" w:type="pct"/>
            <w:tcBorders>
              <w:top w:val="single" w:sz="4" w:space="0" w:color="E2EFDA"/>
              <w:left w:val="nil"/>
              <w:bottom w:val="single" w:sz="4" w:space="0" w:color="E2EFDA"/>
              <w:right w:val="nil"/>
            </w:tcBorders>
            <w:shd w:val="clear" w:color="auto" w:fill="auto"/>
            <w:noWrap/>
            <w:vAlign w:val="bottom"/>
            <w:hideMark/>
          </w:tcPr>
          <w:p w14:paraId="27A03DF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976F17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42A770BA"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57923EB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207D982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TUNJA                                                                 </w:t>
            </w:r>
          </w:p>
        </w:tc>
        <w:tc>
          <w:tcPr>
            <w:tcW w:w="962" w:type="pct"/>
            <w:tcBorders>
              <w:top w:val="single" w:sz="4" w:space="0" w:color="E2EFDA"/>
              <w:left w:val="nil"/>
              <w:bottom w:val="single" w:sz="4" w:space="0" w:color="E2EFDA"/>
              <w:right w:val="nil"/>
            </w:tcBorders>
            <w:shd w:val="clear" w:color="auto" w:fill="auto"/>
            <w:noWrap/>
            <w:vAlign w:val="bottom"/>
            <w:hideMark/>
          </w:tcPr>
          <w:p w14:paraId="0D41D7B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1FC99DD"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58C78CF9"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2C9C675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BOYACA                                                                </w:t>
            </w:r>
          </w:p>
        </w:tc>
        <w:tc>
          <w:tcPr>
            <w:tcW w:w="962" w:type="pct"/>
            <w:tcBorders>
              <w:top w:val="single" w:sz="4" w:space="0" w:color="C6E0B4"/>
              <w:left w:val="nil"/>
              <w:bottom w:val="single" w:sz="4" w:space="0" w:color="C6E0B4"/>
              <w:right w:val="nil"/>
            </w:tcBorders>
            <w:shd w:val="clear" w:color="E2EFDA" w:fill="E2EFDA"/>
            <w:noWrap/>
            <w:vAlign w:val="bottom"/>
            <w:hideMark/>
          </w:tcPr>
          <w:p w14:paraId="0734367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9</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79194060"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0,32%</w:t>
            </w:r>
          </w:p>
        </w:tc>
      </w:tr>
      <w:tr w:rsidR="00C8555F" w:rsidRPr="00C8555F" w14:paraId="66E5680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A780E16"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CALDAS                                                                </w:t>
            </w:r>
          </w:p>
        </w:tc>
        <w:tc>
          <w:tcPr>
            <w:tcW w:w="853" w:type="pct"/>
            <w:tcBorders>
              <w:top w:val="single" w:sz="4" w:space="0" w:color="E2EFDA"/>
              <w:left w:val="nil"/>
              <w:bottom w:val="single" w:sz="4" w:space="0" w:color="E2EFDA"/>
              <w:right w:val="nil"/>
            </w:tcBorders>
            <w:shd w:val="clear" w:color="auto" w:fill="auto"/>
            <w:noWrap/>
            <w:vAlign w:val="bottom"/>
            <w:hideMark/>
          </w:tcPr>
          <w:p w14:paraId="6AC155D4"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MANIZALES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6069F54"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171B0FE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43E58E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45794248"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9D5247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50E4EB75"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7929B580"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5024F31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4</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48DF83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0,14%</w:t>
            </w:r>
          </w:p>
        </w:tc>
      </w:tr>
      <w:tr w:rsidR="00C8555F" w:rsidRPr="00C8555F" w14:paraId="32B1C8B6"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57F0A33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45B3484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MANIZALES                                                             </w:t>
            </w:r>
          </w:p>
        </w:tc>
        <w:tc>
          <w:tcPr>
            <w:tcW w:w="962" w:type="pct"/>
            <w:tcBorders>
              <w:top w:val="single" w:sz="4" w:space="0" w:color="E2EFDA"/>
              <w:left w:val="nil"/>
              <w:bottom w:val="single" w:sz="4" w:space="0" w:color="E2EFDA"/>
              <w:right w:val="nil"/>
            </w:tcBorders>
            <w:shd w:val="clear" w:color="auto" w:fill="auto"/>
            <w:noWrap/>
            <w:vAlign w:val="bottom"/>
            <w:hideMark/>
          </w:tcPr>
          <w:p w14:paraId="09E7D170"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D5A77C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0,18%</w:t>
            </w:r>
          </w:p>
        </w:tc>
      </w:tr>
      <w:tr w:rsidR="00C8555F" w:rsidRPr="00C8555F" w14:paraId="39BB1FA5"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696DC98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CALDAS                                                                </w:t>
            </w:r>
          </w:p>
        </w:tc>
        <w:tc>
          <w:tcPr>
            <w:tcW w:w="962" w:type="pct"/>
            <w:tcBorders>
              <w:top w:val="single" w:sz="4" w:space="0" w:color="C6E0B4"/>
              <w:left w:val="nil"/>
              <w:bottom w:val="single" w:sz="4" w:space="0" w:color="C6E0B4"/>
              <w:right w:val="nil"/>
            </w:tcBorders>
            <w:shd w:val="clear" w:color="E2EFDA" w:fill="E2EFDA"/>
            <w:noWrap/>
            <w:vAlign w:val="bottom"/>
            <w:hideMark/>
          </w:tcPr>
          <w:p w14:paraId="33D930F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5</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2E381CF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0,18%</w:t>
            </w:r>
          </w:p>
        </w:tc>
      </w:tr>
      <w:tr w:rsidR="00C8555F" w:rsidRPr="00C8555F" w14:paraId="64C13549"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AB9CB7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CESAR                                                                 </w:t>
            </w:r>
          </w:p>
        </w:tc>
        <w:tc>
          <w:tcPr>
            <w:tcW w:w="853" w:type="pct"/>
            <w:tcBorders>
              <w:top w:val="single" w:sz="4" w:space="0" w:color="E2EFDA"/>
              <w:left w:val="nil"/>
              <w:bottom w:val="single" w:sz="4" w:space="0" w:color="E2EFDA"/>
              <w:right w:val="nil"/>
            </w:tcBorders>
            <w:shd w:val="clear" w:color="auto" w:fill="auto"/>
            <w:noWrap/>
            <w:vAlign w:val="bottom"/>
            <w:hideMark/>
          </w:tcPr>
          <w:p w14:paraId="24BF7BD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VALLEDUPAR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0FF626A"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406F5EE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B98174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5932BAF0"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63262A7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4A37846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VALLEDUPAR                                                            </w:t>
            </w:r>
          </w:p>
        </w:tc>
        <w:tc>
          <w:tcPr>
            <w:tcW w:w="962" w:type="pct"/>
            <w:tcBorders>
              <w:top w:val="single" w:sz="4" w:space="0" w:color="E2EFDA"/>
              <w:left w:val="nil"/>
              <w:bottom w:val="single" w:sz="4" w:space="0" w:color="E2EFDA"/>
              <w:right w:val="nil"/>
            </w:tcBorders>
            <w:shd w:val="clear" w:color="auto" w:fill="auto"/>
            <w:noWrap/>
            <w:vAlign w:val="bottom"/>
            <w:hideMark/>
          </w:tcPr>
          <w:p w14:paraId="4EE00CBC"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455588D"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78220F61"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0A3A7F5A"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CESAR                                                                 </w:t>
            </w:r>
          </w:p>
        </w:tc>
        <w:tc>
          <w:tcPr>
            <w:tcW w:w="962" w:type="pct"/>
            <w:tcBorders>
              <w:top w:val="single" w:sz="4" w:space="0" w:color="C6E0B4"/>
              <w:left w:val="nil"/>
              <w:bottom w:val="single" w:sz="4" w:space="0" w:color="C6E0B4"/>
              <w:right w:val="nil"/>
            </w:tcBorders>
            <w:shd w:val="clear" w:color="E2EFDA" w:fill="E2EFDA"/>
            <w:noWrap/>
            <w:vAlign w:val="bottom"/>
            <w:hideMark/>
          </w:tcPr>
          <w:p w14:paraId="0134645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51F9D30A"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31E56E3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DB5055B"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CUNDINAMARCA                                                          </w:t>
            </w:r>
          </w:p>
        </w:tc>
        <w:tc>
          <w:tcPr>
            <w:tcW w:w="853" w:type="pct"/>
            <w:tcBorders>
              <w:top w:val="single" w:sz="4" w:space="0" w:color="E2EFDA"/>
              <w:left w:val="nil"/>
              <w:bottom w:val="single" w:sz="4" w:space="0" w:color="E2EFDA"/>
              <w:right w:val="nil"/>
            </w:tcBorders>
            <w:shd w:val="clear" w:color="auto" w:fill="auto"/>
            <w:noWrap/>
            <w:vAlign w:val="bottom"/>
            <w:hideMark/>
          </w:tcPr>
          <w:p w14:paraId="349B5D7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BOGOTÁ D.C.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75E2754"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JOVEN (18 A 28 AÑOS)</w:t>
            </w:r>
          </w:p>
        </w:tc>
        <w:tc>
          <w:tcPr>
            <w:tcW w:w="962" w:type="pct"/>
            <w:tcBorders>
              <w:top w:val="single" w:sz="4" w:space="0" w:color="E2EFDA"/>
              <w:left w:val="nil"/>
              <w:bottom w:val="single" w:sz="4" w:space="0" w:color="E2EFDA"/>
              <w:right w:val="nil"/>
            </w:tcBorders>
            <w:shd w:val="clear" w:color="auto" w:fill="auto"/>
            <w:noWrap/>
            <w:vAlign w:val="bottom"/>
            <w:hideMark/>
          </w:tcPr>
          <w:p w14:paraId="02178DB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CA49B4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250E572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9C26E7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43151C2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BOGOTÁ D.C.                                                           </w:t>
            </w:r>
          </w:p>
        </w:tc>
        <w:tc>
          <w:tcPr>
            <w:tcW w:w="962" w:type="pct"/>
            <w:tcBorders>
              <w:top w:val="single" w:sz="4" w:space="0" w:color="E2EFDA"/>
              <w:left w:val="nil"/>
              <w:bottom w:val="single" w:sz="4" w:space="0" w:color="E2EFDA"/>
              <w:right w:val="nil"/>
            </w:tcBorders>
            <w:shd w:val="clear" w:color="auto" w:fill="auto"/>
            <w:noWrap/>
            <w:vAlign w:val="bottom"/>
            <w:hideMark/>
          </w:tcPr>
          <w:p w14:paraId="1BE507B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C65B64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2BC7CDE5"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2321DBA"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47AB490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BOGOTÁ, D.C.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11C7C70"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0CDE9CB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32E217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48E9CB71"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2B328BF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4D30E217"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75E7840"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2E381EA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9FD63C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217569A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C2E9B7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330E45BF"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596885A"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JOVEN (18 A 28 AÑOS)</w:t>
            </w:r>
          </w:p>
        </w:tc>
        <w:tc>
          <w:tcPr>
            <w:tcW w:w="962" w:type="pct"/>
            <w:tcBorders>
              <w:top w:val="single" w:sz="4" w:space="0" w:color="E2EFDA"/>
              <w:left w:val="nil"/>
              <w:bottom w:val="single" w:sz="4" w:space="0" w:color="E2EFDA"/>
              <w:right w:val="nil"/>
            </w:tcBorders>
            <w:shd w:val="clear" w:color="auto" w:fill="auto"/>
            <w:noWrap/>
            <w:vAlign w:val="bottom"/>
            <w:hideMark/>
          </w:tcPr>
          <w:p w14:paraId="3AF9C7F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8</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B798F2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0,29%</w:t>
            </w:r>
          </w:p>
        </w:tc>
      </w:tr>
      <w:tr w:rsidR="00C8555F" w:rsidRPr="00C8555F" w14:paraId="10394B1D"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06375D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2ABFC09"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AF0E40C"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1669871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97031F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0,79%</w:t>
            </w:r>
          </w:p>
        </w:tc>
      </w:tr>
      <w:tr w:rsidR="00C8555F" w:rsidRPr="00C8555F" w14:paraId="720FCB72"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103597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788C4AC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BOGOTÁ, D.C.                                                          </w:t>
            </w:r>
          </w:p>
        </w:tc>
        <w:tc>
          <w:tcPr>
            <w:tcW w:w="962" w:type="pct"/>
            <w:tcBorders>
              <w:top w:val="single" w:sz="4" w:space="0" w:color="E2EFDA"/>
              <w:left w:val="nil"/>
              <w:bottom w:val="single" w:sz="4" w:space="0" w:color="E2EFDA"/>
              <w:right w:val="nil"/>
            </w:tcBorders>
            <w:shd w:val="clear" w:color="auto" w:fill="auto"/>
            <w:noWrap/>
            <w:vAlign w:val="bottom"/>
            <w:hideMark/>
          </w:tcPr>
          <w:p w14:paraId="391E7E2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32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1D98D54"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1,15%</w:t>
            </w:r>
          </w:p>
        </w:tc>
      </w:tr>
      <w:tr w:rsidR="00C8555F" w:rsidRPr="00C8555F" w14:paraId="51BDDFC7"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2FCBEE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1533E8A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CAJICÁ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3710E83"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JOVEN (18 A 28 AÑOS)</w:t>
            </w:r>
          </w:p>
        </w:tc>
        <w:tc>
          <w:tcPr>
            <w:tcW w:w="962" w:type="pct"/>
            <w:tcBorders>
              <w:top w:val="single" w:sz="4" w:space="0" w:color="E2EFDA"/>
              <w:left w:val="nil"/>
              <w:bottom w:val="single" w:sz="4" w:space="0" w:color="E2EFDA"/>
              <w:right w:val="nil"/>
            </w:tcBorders>
            <w:shd w:val="clear" w:color="auto" w:fill="auto"/>
            <w:noWrap/>
            <w:vAlign w:val="bottom"/>
            <w:hideMark/>
          </w:tcPr>
          <w:p w14:paraId="234661C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E21CCE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05E07364"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C3EC1C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0E9D3CD3"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133276B"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627C199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DEFDC3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5614DE1C"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0EB7806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30C57DF5"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CAJICÁ                                                                </w:t>
            </w:r>
          </w:p>
        </w:tc>
        <w:tc>
          <w:tcPr>
            <w:tcW w:w="962" w:type="pct"/>
            <w:tcBorders>
              <w:top w:val="single" w:sz="4" w:space="0" w:color="E2EFDA"/>
              <w:left w:val="nil"/>
              <w:bottom w:val="single" w:sz="4" w:space="0" w:color="E2EFDA"/>
              <w:right w:val="nil"/>
            </w:tcBorders>
            <w:shd w:val="clear" w:color="auto" w:fill="auto"/>
            <w:noWrap/>
            <w:vAlign w:val="bottom"/>
            <w:hideMark/>
          </w:tcPr>
          <w:p w14:paraId="237DDC9F"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3</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E859794"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0,11%</w:t>
            </w:r>
          </w:p>
        </w:tc>
      </w:tr>
      <w:tr w:rsidR="00C8555F" w:rsidRPr="00C8555F" w14:paraId="69BE11F8"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7999ADBD"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CUNDINAMARCA                                                          </w:t>
            </w:r>
          </w:p>
        </w:tc>
        <w:tc>
          <w:tcPr>
            <w:tcW w:w="962" w:type="pct"/>
            <w:tcBorders>
              <w:top w:val="single" w:sz="4" w:space="0" w:color="C6E0B4"/>
              <w:left w:val="nil"/>
              <w:bottom w:val="single" w:sz="4" w:space="0" w:color="C6E0B4"/>
              <w:right w:val="nil"/>
            </w:tcBorders>
            <w:shd w:val="clear" w:color="E2EFDA" w:fill="E2EFDA"/>
            <w:noWrap/>
            <w:vAlign w:val="bottom"/>
            <w:hideMark/>
          </w:tcPr>
          <w:p w14:paraId="17AB162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36</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197CF48A"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1,29%</w:t>
            </w:r>
          </w:p>
        </w:tc>
      </w:tr>
      <w:tr w:rsidR="00C8555F" w:rsidRPr="00C8555F" w14:paraId="60A577B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BC44E0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MAGDALENA                                                             </w:t>
            </w:r>
          </w:p>
        </w:tc>
        <w:tc>
          <w:tcPr>
            <w:tcW w:w="853" w:type="pct"/>
            <w:tcBorders>
              <w:top w:val="single" w:sz="4" w:space="0" w:color="E2EFDA"/>
              <w:left w:val="nil"/>
              <w:bottom w:val="single" w:sz="4" w:space="0" w:color="E2EFDA"/>
              <w:right w:val="nil"/>
            </w:tcBorders>
            <w:shd w:val="clear" w:color="auto" w:fill="auto"/>
            <w:noWrap/>
            <w:vAlign w:val="bottom"/>
            <w:hideMark/>
          </w:tcPr>
          <w:p w14:paraId="74F1605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SANTA MARTA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B08E91A"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4FE3770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459B5E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316D8D53"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46EEF59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58512FBF"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SANTA MARTA                                                           </w:t>
            </w:r>
          </w:p>
        </w:tc>
        <w:tc>
          <w:tcPr>
            <w:tcW w:w="962" w:type="pct"/>
            <w:tcBorders>
              <w:top w:val="single" w:sz="4" w:space="0" w:color="E2EFDA"/>
              <w:left w:val="nil"/>
              <w:bottom w:val="single" w:sz="4" w:space="0" w:color="E2EFDA"/>
              <w:right w:val="nil"/>
            </w:tcBorders>
            <w:shd w:val="clear" w:color="auto" w:fill="auto"/>
            <w:noWrap/>
            <w:vAlign w:val="bottom"/>
            <w:hideMark/>
          </w:tcPr>
          <w:p w14:paraId="3DA1969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B1A0CE4"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0,07%</w:t>
            </w:r>
          </w:p>
        </w:tc>
      </w:tr>
      <w:tr w:rsidR="00C8555F" w:rsidRPr="00C8555F" w14:paraId="6126BF6D"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52D384CA"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MAGDALENA                                                             </w:t>
            </w:r>
          </w:p>
        </w:tc>
        <w:tc>
          <w:tcPr>
            <w:tcW w:w="962" w:type="pct"/>
            <w:tcBorders>
              <w:top w:val="single" w:sz="4" w:space="0" w:color="C6E0B4"/>
              <w:left w:val="nil"/>
              <w:bottom w:val="single" w:sz="4" w:space="0" w:color="C6E0B4"/>
              <w:right w:val="nil"/>
            </w:tcBorders>
            <w:shd w:val="clear" w:color="E2EFDA" w:fill="E2EFDA"/>
            <w:noWrap/>
            <w:vAlign w:val="bottom"/>
            <w:hideMark/>
          </w:tcPr>
          <w:p w14:paraId="179A18D8"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0DB7D9AF"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0,07%</w:t>
            </w:r>
          </w:p>
        </w:tc>
      </w:tr>
      <w:tr w:rsidR="00C8555F" w:rsidRPr="00C8555F" w14:paraId="7F31461B"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268AA2E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NORTE DE SANTANDER                                                    </w:t>
            </w:r>
          </w:p>
        </w:tc>
        <w:tc>
          <w:tcPr>
            <w:tcW w:w="853" w:type="pct"/>
            <w:tcBorders>
              <w:top w:val="single" w:sz="4" w:space="0" w:color="E2EFDA"/>
              <w:left w:val="nil"/>
              <w:bottom w:val="single" w:sz="4" w:space="0" w:color="E2EFDA"/>
              <w:right w:val="nil"/>
            </w:tcBorders>
            <w:shd w:val="clear" w:color="auto" w:fill="auto"/>
            <w:noWrap/>
            <w:vAlign w:val="bottom"/>
            <w:hideMark/>
          </w:tcPr>
          <w:p w14:paraId="2F9907E9"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TOLEDO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CD136C2"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212E846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09A015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6A667867"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205B772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6FF75BC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TOLEDO                                                                </w:t>
            </w:r>
          </w:p>
        </w:tc>
        <w:tc>
          <w:tcPr>
            <w:tcW w:w="962" w:type="pct"/>
            <w:tcBorders>
              <w:top w:val="single" w:sz="4" w:space="0" w:color="E2EFDA"/>
              <w:left w:val="nil"/>
              <w:bottom w:val="single" w:sz="4" w:space="0" w:color="E2EFDA"/>
              <w:right w:val="nil"/>
            </w:tcBorders>
            <w:shd w:val="clear" w:color="auto" w:fill="auto"/>
            <w:noWrap/>
            <w:vAlign w:val="bottom"/>
            <w:hideMark/>
          </w:tcPr>
          <w:p w14:paraId="7F87B840"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4B477D9"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72795027"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7825E693"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NORTE DE SANTANDER                                                    </w:t>
            </w:r>
          </w:p>
        </w:tc>
        <w:tc>
          <w:tcPr>
            <w:tcW w:w="962" w:type="pct"/>
            <w:tcBorders>
              <w:top w:val="single" w:sz="4" w:space="0" w:color="C6E0B4"/>
              <w:left w:val="nil"/>
              <w:bottom w:val="single" w:sz="4" w:space="0" w:color="C6E0B4"/>
              <w:right w:val="nil"/>
            </w:tcBorders>
            <w:shd w:val="clear" w:color="E2EFDA" w:fill="E2EFDA"/>
            <w:noWrap/>
            <w:vAlign w:val="bottom"/>
            <w:hideMark/>
          </w:tcPr>
          <w:p w14:paraId="610B897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12A58202"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6B5B9BD1"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304E8A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RISARALDA                                                             </w:t>
            </w:r>
          </w:p>
        </w:tc>
        <w:tc>
          <w:tcPr>
            <w:tcW w:w="853" w:type="pct"/>
            <w:tcBorders>
              <w:top w:val="single" w:sz="4" w:space="0" w:color="E2EFDA"/>
              <w:left w:val="nil"/>
              <w:bottom w:val="single" w:sz="4" w:space="0" w:color="E2EFDA"/>
              <w:right w:val="nil"/>
            </w:tcBorders>
            <w:shd w:val="clear" w:color="auto" w:fill="auto"/>
            <w:noWrap/>
            <w:vAlign w:val="bottom"/>
            <w:hideMark/>
          </w:tcPr>
          <w:p w14:paraId="5E5ED5BD"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PEREIRA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773AA9E5"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2094A82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203EB0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03E2E5B6"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347596F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1E2C694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PEREIRA                                                               </w:t>
            </w:r>
          </w:p>
        </w:tc>
        <w:tc>
          <w:tcPr>
            <w:tcW w:w="962" w:type="pct"/>
            <w:tcBorders>
              <w:top w:val="single" w:sz="4" w:space="0" w:color="E2EFDA"/>
              <w:left w:val="nil"/>
              <w:bottom w:val="single" w:sz="4" w:space="0" w:color="E2EFDA"/>
              <w:right w:val="nil"/>
            </w:tcBorders>
            <w:shd w:val="clear" w:color="auto" w:fill="auto"/>
            <w:noWrap/>
            <w:vAlign w:val="bottom"/>
            <w:hideMark/>
          </w:tcPr>
          <w:p w14:paraId="28CEA3F4"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A748A1B"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41E43D11"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3293179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RISARALDA                                                             </w:t>
            </w:r>
          </w:p>
        </w:tc>
        <w:tc>
          <w:tcPr>
            <w:tcW w:w="962" w:type="pct"/>
            <w:tcBorders>
              <w:top w:val="single" w:sz="4" w:space="0" w:color="C6E0B4"/>
              <w:left w:val="nil"/>
              <w:bottom w:val="single" w:sz="4" w:space="0" w:color="C6E0B4"/>
              <w:right w:val="nil"/>
            </w:tcBorders>
            <w:shd w:val="clear" w:color="E2EFDA" w:fill="E2EFDA"/>
            <w:noWrap/>
            <w:vAlign w:val="bottom"/>
            <w:hideMark/>
          </w:tcPr>
          <w:p w14:paraId="4FFBBBBD"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075E25FE"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39FDEA08"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C078D1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SANTANDER                                                             </w:t>
            </w:r>
          </w:p>
        </w:tc>
        <w:tc>
          <w:tcPr>
            <w:tcW w:w="853" w:type="pct"/>
            <w:tcBorders>
              <w:top w:val="single" w:sz="4" w:space="0" w:color="E2EFDA"/>
              <w:left w:val="nil"/>
              <w:bottom w:val="single" w:sz="4" w:space="0" w:color="E2EFDA"/>
              <w:right w:val="nil"/>
            </w:tcBorders>
            <w:shd w:val="clear" w:color="auto" w:fill="auto"/>
            <w:noWrap/>
            <w:vAlign w:val="bottom"/>
            <w:hideMark/>
          </w:tcPr>
          <w:p w14:paraId="78BBA17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BARBOSA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512F09DB"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149A017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337AD3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2E49F163"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D080BE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18BD4BFA"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1186BFF"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10F3D5A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557399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23B96DF2"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5BE230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4A52A8FF"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BARBOSA                                                               </w:t>
            </w:r>
          </w:p>
        </w:tc>
        <w:tc>
          <w:tcPr>
            <w:tcW w:w="962" w:type="pct"/>
            <w:tcBorders>
              <w:top w:val="single" w:sz="4" w:space="0" w:color="E2EFDA"/>
              <w:left w:val="nil"/>
              <w:bottom w:val="single" w:sz="4" w:space="0" w:color="E2EFDA"/>
              <w:right w:val="nil"/>
            </w:tcBorders>
            <w:shd w:val="clear" w:color="auto" w:fill="auto"/>
            <w:noWrap/>
            <w:vAlign w:val="bottom"/>
            <w:hideMark/>
          </w:tcPr>
          <w:p w14:paraId="602A163A"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9A395DF"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0,07%</w:t>
            </w:r>
          </w:p>
        </w:tc>
      </w:tr>
      <w:tr w:rsidR="00C8555F" w:rsidRPr="00C8555F" w14:paraId="5AB50B1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BBB9FE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07F2233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BARRANCABERMEJA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F3E5EC1"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46C6078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61B91C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2B9D082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E772BD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6CDB04E4"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BARRANCABERMEJA                                                       </w:t>
            </w:r>
          </w:p>
        </w:tc>
        <w:tc>
          <w:tcPr>
            <w:tcW w:w="962" w:type="pct"/>
            <w:tcBorders>
              <w:top w:val="single" w:sz="4" w:space="0" w:color="E2EFDA"/>
              <w:left w:val="nil"/>
              <w:bottom w:val="single" w:sz="4" w:space="0" w:color="E2EFDA"/>
              <w:right w:val="nil"/>
            </w:tcBorders>
            <w:shd w:val="clear" w:color="auto" w:fill="auto"/>
            <w:noWrap/>
            <w:vAlign w:val="bottom"/>
            <w:hideMark/>
          </w:tcPr>
          <w:p w14:paraId="29579AD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0DBCEE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0,07%</w:t>
            </w:r>
          </w:p>
        </w:tc>
      </w:tr>
      <w:tr w:rsidR="00C8555F" w:rsidRPr="00C8555F" w14:paraId="14D9F0B4"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24E754B"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56F68FC4"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BUCARAMANGA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BF64405"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419C4A4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107</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3DA9D8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3,83%</w:t>
            </w:r>
          </w:p>
        </w:tc>
      </w:tr>
      <w:tr w:rsidR="00C8555F" w:rsidRPr="00C8555F" w14:paraId="21F0F62E"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7F3E6C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32E87140"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A4D76C0"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28D156B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577</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1F7FEA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20,67%</w:t>
            </w:r>
          </w:p>
        </w:tc>
      </w:tr>
      <w:tr w:rsidR="00C8555F" w:rsidRPr="00C8555F" w14:paraId="395D4140"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4210E5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32F0E77"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F4AF1A6"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2925686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79</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B236EC5"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2,83%</w:t>
            </w:r>
          </w:p>
        </w:tc>
      </w:tr>
      <w:tr w:rsidR="00C8555F" w:rsidRPr="00C8555F" w14:paraId="058EF5DB"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99D0B3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8C51EF2"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2D40E017"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JOVEN (18 A 28 AÑOS)</w:t>
            </w:r>
          </w:p>
        </w:tc>
        <w:tc>
          <w:tcPr>
            <w:tcW w:w="962" w:type="pct"/>
            <w:tcBorders>
              <w:top w:val="single" w:sz="4" w:space="0" w:color="E2EFDA"/>
              <w:left w:val="nil"/>
              <w:bottom w:val="single" w:sz="4" w:space="0" w:color="E2EFDA"/>
              <w:right w:val="nil"/>
            </w:tcBorders>
            <w:shd w:val="clear" w:color="auto" w:fill="auto"/>
            <w:noWrap/>
            <w:vAlign w:val="bottom"/>
            <w:hideMark/>
          </w:tcPr>
          <w:p w14:paraId="2CE1925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122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4B8187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4,37%</w:t>
            </w:r>
          </w:p>
        </w:tc>
      </w:tr>
      <w:tr w:rsidR="00C8555F" w:rsidRPr="00C8555F" w14:paraId="15B8F983"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87A929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157C336"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EE8EC92"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PRIMERA INFANCIA (&lt;=5 AÑOS)</w:t>
            </w:r>
          </w:p>
        </w:tc>
        <w:tc>
          <w:tcPr>
            <w:tcW w:w="962" w:type="pct"/>
            <w:tcBorders>
              <w:top w:val="single" w:sz="4" w:space="0" w:color="E2EFDA"/>
              <w:left w:val="nil"/>
              <w:bottom w:val="single" w:sz="4" w:space="0" w:color="E2EFDA"/>
              <w:right w:val="nil"/>
            </w:tcBorders>
            <w:shd w:val="clear" w:color="auto" w:fill="auto"/>
            <w:noWrap/>
            <w:vAlign w:val="bottom"/>
            <w:hideMark/>
          </w:tcPr>
          <w:p w14:paraId="58C883E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52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F7990E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1,86%</w:t>
            </w:r>
          </w:p>
        </w:tc>
      </w:tr>
      <w:tr w:rsidR="00C8555F" w:rsidRPr="00C8555F" w14:paraId="0E14E108"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448D94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9C44599"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9AEB919"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6EFFEEF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888</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B7F4F5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31,81%</w:t>
            </w:r>
          </w:p>
        </w:tc>
      </w:tr>
      <w:tr w:rsidR="00C8555F" w:rsidRPr="00C8555F" w14:paraId="447FE321"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209AA9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57E1ABDB"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BUCARAMANGA                                                           </w:t>
            </w:r>
          </w:p>
        </w:tc>
        <w:tc>
          <w:tcPr>
            <w:tcW w:w="962" w:type="pct"/>
            <w:tcBorders>
              <w:top w:val="single" w:sz="4" w:space="0" w:color="E2EFDA"/>
              <w:left w:val="nil"/>
              <w:bottom w:val="single" w:sz="4" w:space="0" w:color="E2EFDA"/>
              <w:right w:val="nil"/>
            </w:tcBorders>
            <w:shd w:val="clear" w:color="auto" w:fill="auto"/>
            <w:noWrap/>
            <w:vAlign w:val="bottom"/>
            <w:hideMark/>
          </w:tcPr>
          <w:p w14:paraId="078AE454"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1825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6660FFA"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65,37%</w:t>
            </w:r>
          </w:p>
        </w:tc>
      </w:tr>
      <w:tr w:rsidR="00C8555F" w:rsidRPr="00C8555F" w14:paraId="3B1D9802"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93945D2"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5388B84"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CHARALÁ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54D151B"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792F719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C25A45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30DB506E"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95D63B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0EC8096D"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CHARALÁ                                                               </w:t>
            </w:r>
          </w:p>
        </w:tc>
        <w:tc>
          <w:tcPr>
            <w:tcW w:w="962" w:type="pct"/>
            <w:tcBorders>
              <w:top w:val="single" w:sz="4" w:space="0" w:color="E2EFDA"/>
              <w:left w:val="nil"/>
              <w:bottom w:val="single" w:sz="4" w:space="0" w:color="E2EFDA"/>
              <w:right w:val="nil"/>
            </w:tcBorders>
            <w:shd w:val="clear" w:color="auto" w:fill="auto"/>
            <w:noWrap/>
            <w:vAlign w:val="bottom"/>
            <w:hideMark/>
          </w:tcPr>
          <w:p w14:paraId="2B1E644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7F8DA4B"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3AFE9A88"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8A955FD"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4354B66F"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CONTRATACIÓN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23E78CE7"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051545D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C246335"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4325469F"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47B28A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13D44373"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CONTRATACIÓN                                                          </w:t>
            </w:r>
          </w:p>
        </w:tc>
        <w:tc>
          <w:tcPr>
            <w:tcW w:w="962" w:type="pct"/>
            <w:tcBorders>
              <w:top w:val="single" w:sz="4" w:space="0" w:color="E2EFDA"/>
              <w:left w:val="nil"/>
              <w:bottom w:val="single" w:sz="4" w:space="0" w:color="E2EFDA"/>
              <w:right w:val="nil"/>
            </w:tcBorders>
            <w:shd w:val="clear" w:color="auto" w:fill="auto"/>
            <w:noWrap/>
            <w:vAlign w:val="bottom"/>
            <w:hideMark/>
          </w:tcPr>
          <w:p w14:paraId="512C5B02"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DAC397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7E47714C"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8132B0A"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6266D9F9"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CURITÍ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EC52044"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0B739F6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DB61B6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57BABA8B"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5D27A1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46A31D46"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CURITÍ                                                                </w:t>
            </w:r>
          </w:p>
        </w:tc>
        <w:tc>
          <w:tcPr>
            <w:tcW w:w="962" w:type="pct"/>
            <w:tcBorders>
              <w:top w:val="single" w:sz="4" w:space="0" w:color="E2EFDA"/>
              <w:left w:val="nil"/>
              <w:bottom w:val="single" w:sz="4" w:space="0" w:color="E2EFDA"/>
              <w:right w:val="nil"/>
            </w:tcBorders>
            <w:shd w:val="clear" w:color="auto" w:fill="auto"/>
            <w:noWrap/>
            <w:vAlign w:val="bottom"/>
            <w:hideMark/>
          </w:tcPr>
          <w:p w14:paraId="7AA6DA7F"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E1932B2"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0F055657"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1934548"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9D5AC60"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FLORIDABLANCA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542DB2F"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40DF5AB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38</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3A8D52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1,36%</w:t>
            </w:r>
          </w:p>
        </w:tc>
      </w:tr>
      <w:tr w:rsidR="00C8555F" w:rsidRPr="00C8555F" w14:paraId="6CCC7E84"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ACE0B0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D8A6AC1"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22E4C13"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3529463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163</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B76EF7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5,84%</w:t>
            </w:r>
          </w:p>
        </w:tc>
      </w:tr>
      <w:tr w:rsidR="00C8555F" w:rsidRPr="00C8555F" w14:paraId="50B903A5"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C1E7E3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38DC21E6"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700D5762"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4ADE3AD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A844E3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0,90%</w:t>
            </w:r>
          </w:p>
        </w:tc>
      </w:tr>
      <w:tr w:rsidR="00C8555F" w:rsidRPr="00C8555F" w14:paraId="5767C6E3"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4CDBA3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436DB1B0"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2468161"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JOVEN (18 A 28 AÑOS)</w:t>
            </w:r>
          </w:p>
        </w:tc>
        <w:tc>
          <w:tcPr>
            <w:tcW w:w="962" w:type="pct"/>
            <w:tcBorders>
              <w:top w:val="single" w:sz="4" w:space="0" w:color="E2EFDA"/>
              <w:left w:val="nil"/>
              <w:bottom w:val="single" w:sz="4" w:space="0" w:color="E2EFDA"/>
              <w:right w:val="nil"/>
            </w:tcBorders>
            <w:shd w:val="clear" w:color="auto" w:fill="auto"/>
            <w:noWrap/>
            <w:vAlign w:val="bottom"/>
            <w:hideMark/>
          </w:tcPr>
          <w:p w14:paraId="45DE5B4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45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E6081F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1,61%</w:t>
            </w:r>
          </w:p>
        </w:tc>
      </w:tr>
      <w:tr w:rsidR="00C8555F" w:rsidRPr="00C8555F" w14:paraId="238FC99E"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345D59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69200DF8"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DC4D690"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PRIMERA INFANCIA (&lt;=5 AÑOS)</w:t>
            </w:r>
          </w:p>
        </w:tc>
        <w:tc>
          <w:tcPr>
            <w:tcW w:w="962" w:type="pct"/>
            <w:tcBorders>
              <w:top w:val="single" w:sz="4" w:space="0" w:color="E2EFDA"/>
              <w:left w:val="nil"/>
              <w:bottom w:val="single" w:sz="4" w:space="0" w:color="E2EFDA"/>
              <w:right w:val="nil"/>
            </w:tcBorders>
            <w:shd w:val="clear" w:color="auto" w:fill="auto"/>
            <w:noWrap/>
            <w:vAlign w:val="bottom"/>
            <w:hideMark/>
          </w:tcPr>
          <w:p w14:paraId="5368024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10</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82BCE2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0,36%</w:t>
            </w:r>
          </w:p>
        </w:tc>
      </w:tr>
      <w:tr w:rsidR="00C8555F" w:rsidRPr="00C8555F" w14:paraId="2784A7F8"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E366F0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694DC444"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76F6068"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36D271B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315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2613D9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11,28%</w:t>
            </w:r>
          </w:p>
        </w:tc>
      </w:tr>
      <w:tr w:rsidR="00C8555F" w:rsidRPr="00C8555F" w14:paraId="6F21FE54"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272C8DF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734F1166"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FLORIDABLANCA                                                         </w:t>
            </w:r>
          </w:p>
        </w:tc>
        <w:tc>
          <w:tcPr>
            <w:tcW w:w="962" w:type="pct"/>
            <w:tcBorders>
              <w:top w:val="single" w:sz="4" w:space="0" w:color="E2EFDA"/>
              <w:left w:val="nil"/>
              <w:bottom w:val="single" w:sz="4" w:space="0" w:color="E2EFDA"/>
              <w:right w:val="nil"/>
            </w:tcBorders>
            <w:shd w:val="clear" w:color="auto" w:fill="auto"/>
            <w:noWrap/>
            <w:vAlign w:val="bottom"/>
            <w:hideMark/>
          </w:tcPr>
          <w:p w14:paraId="3B5B59A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596</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A8A8520"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21,35%</w:t>
            </w:r>
          </w:p>
        </w:tc>
      </w:tr>
      <w:tr w:rsidR="00C8555F" w:rsidRPr="00C8555F" w14:paraId="005B7175"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626D754"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1B1F59E8"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GIRÓN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CC8C917"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5DD7267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4</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1EC468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0,14%</w:t>
            </w:r>
          </w:p>
        </w:tc>
      </w:tr>
      <w:tr w:rsidR="00C8555F" w:rsidRPr="00C8555F" w14:paraId="21BD830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F1C4E0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0BE92E32"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B9DEE03"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44C0A54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24</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D90A95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0,86%</w:t>
            </w:r>
          </w:p>
        </w:tc>
      </w:tr>
      <w:tr w:rsidR="00C8555F" w:rsidRPr="00C8555F" w14:paraId="3A150FDE"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E58E9F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34140EE2"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08BB478"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0A97143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0EE8945"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0,11%</w:t>
            </w:r>
          </w:p>
        </w:tc>
      </w:tr>
      <w:tr w:rsidR="00C8555F" w:rsidRPr="00C8555F" w14:paraId="74967FF7"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50E9A1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C3ACB36"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692A271"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JOVEN (18 A 28 AÑOS)</w:t>
            </w:r>
          </w:p>
        </w:tc>
        <w:tc>
          <w:tcPr>
            <w:tcW w:w="962" w:type="pct"/>
            <w:tcBorders>
              <w:top w:val="single" w:sz="4" w:space="0" w:color="E2EFDA"/>
              <w:left w:val="nil"/>
              <w:bottom w:val="single" w:sz="4" w:space="0" w:color="E2EFDA"/>
              <w:right w:val="nil"/>
            </w:tcBorders>
            <w:shd w:val="clear" w:color="auto" w:fill="auto"/>
            <w:noWrap/>
            <w:vAlign w:val="bottom"/>
            <w:hideMark/>
          </w:tcPr>
          <w:p w14:paraId="226EC25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9</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E23203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0,32%</w:t>
            </w:r>
          </w:p>
        </w:tc>
      </w:tr>
      <w:tr w:rsidR="00C8555F" w:rsidRPr="00C8555F" w14:paraId="24BC98E8"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CB81F3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4E925DD1"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025F6C9"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PRIMERA INFANCIA (&lt;=5 AÑOS)</w:t>
            </w:r>
          </w:p>
        </w:tc>
        <w:tc>
          <w:tcPr>
            <w:tcW w:w="962" w:type="pct"/>
            <w:tcBorders>
              <w:top w:val="single" w:sz="4" w:space="0" w:color="E2EFDA"/>
              <w:left w:val="nil"/>
              <w:bottom w:val="single" w:sz="4" w:space="0" w:color="E2EFDA"/>
              <w:right w:val="nil"/>
            </w:tcBorders>
            <w:shd w:val="clear" w:color="auto" w:fill="auto"/>
            <w:noWrap/>
            <w:vAlign w:val="bottom"/>
            <w:hideMark/>
          </w:tcPr>
          <w:p w14:paraId="2B79716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4</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CFF99C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0,14%</w:t>
            </w:r>
          </w:p>
        </w:tc>
      </w:tr>
      <w:tr w:rsidR="00C8555F" w:rsidRPr="00C8555F" w14:paraId="7C94AC8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242B5C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04436CCE"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29B1DD99"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278F0A5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58CFB6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1,11%</w:t>
            </w:r>
          </w:p>
        </w:tc>
      </w:tr>
      <w:tr w:rsidR="00C8555F" w:rsidRPr="00C8555F" w14:paraId="725ADD9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EAB8D4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4658060E"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GIRÓN                                                                 </w:t>
            </w:r>
          </w:p>
        </w:tc>
        <w:tc>
          <w:tcPr>
            <w:tcW w:w="962" w:type="pct"/>
            <w:tcBorders>
              <w:top w:val="single" w:sz="4" w:space="0" w:color="E2EFDA"/>
              <w:left w:val="nil"/>
              <w:bottom w:val="single" w:sz="4" w:space="0" w:color="E2EFDA"/>
              <w:right w:val="nil"/>
            </w:tcBorders>
            <w:shd w:val="clear" w:color="auto" w:fill="auto"/>
            <w:noWrap/>
            <w:vAlign w:val="bottom"/>
            <w:hideMark/>
          </w:tcPr>
          <w:p w14:paraId="39ED2D8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75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AF7E00B"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2,69%</w:t>
            </w:r>
          </w:p>
        </w:tc>
      </w:tr>
      <w:tr w:rsidR="00C8555F" w:rsidRPr="00C8555F" w14:paraId="6EDD134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22F3AA4C"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8D8E12D"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LEBRÍJA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34364B3"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3B7AE97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55C3EA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0,11%</w:t>
            </w:r>
          </w:p>
        </w:tc>
      </w:tr>
      <w:tr w:rsidR="00C8555F" w:rsidRPr="00C8555F" w14:paraId="6C1EA964"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239F0C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3D5BAC2"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96A897A"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372907D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C1E292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6A19B721"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F555FC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3949530E"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LEBRÍJA                                                               </w:t>
            </w:r>
          </w:p>
        </w:tc>
        <w:tc>
          <w:tcPr>
            <w:tcW w:w="962" w:type="pct"/>
            <w:tcBorders>
              <w:top w:val="single" w:sz="4" w:space="0" w:color="E2EFDA"/>
              <w:left w:val="nil"/>
              <w:bottom w:val="single" w:sz="4" w:space="0" w:color="E2EFDA"/>
              <w:right w:val="nil"/>
            </w:tcBorders>
            <w:shd w:val="clear" w:color="auto" w:fill="auto"/>
            <w:noWrap/>
            <w:vAlign w:val="bottom"/>
            <w:hideMark/>
          </w:tcPr>
          <w:p w14:paraId="4D04053F"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4</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E4A0E7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0,14%</w:t>
            </w:r>
          </w:p>
        </w:tc>
      </w:tr>
      <w:tr w:rsidR="00C8555F" w:rsidRPr="00C8555F" w14:paraId="3751E43D"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7936D4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6DD3A25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LOS SANTOS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B07DF4F"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280ED5B5"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C294BE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58491EF2"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BADD3A5"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369D58D4"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D658878"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4B313A1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A8D42D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03B0F2D9"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8350DA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765943B6"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LOS SANTOS                                                            </w:t>
            </w:r>
          </w:p>
        </w:tc>
        <w:tc>
          <w:tcPr>
            <w:tcW w:w="962" w:type="pct"/>
            <w:tcBorders>
              <w:top w:val="single" w:sz="4" w:space="0" w:color="E2EFDA"/>
              <w:left w:val="nil"/>
              <w:bottom w:val="single" w:sz="4" w:space="0" w:color="E2EFDA"/>
              <w:right w:val="nil"/>
            </w:tcBorders>
            <w:shd w:val="clear" w:color="auto" w:fill="auto"/>
            <w:noWrap/>
            <w:vAlign w:val="bottom"/>
            <w:hideMark/>
          </w:tcPr>
          <w:p w14:paraId="598795FA"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191713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0,07%</w:t>
            </w:r>
          </w:p>
        </w:tc>
      </w:tr>
      <w:tr w:rsidR="00C8555F" w:rsidRPr="00C8555F" w14:paraId="401399BB"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6611439"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45519AAF"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MOGOTES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6A80C74"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57F2B90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5B0F0D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0F696804"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AFD74E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87B6157"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0523E1E"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5E25D3F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C40DCF4"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341A384C"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9C8202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6D86ECBB"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MOGOTES                                                               </w:t>
            </w:r>
          </w:p>
        </w:tc>
        <w:tc>
          <w:tcPr>
            <w:tcW w:w="962" w:type="pct"/>
            <w:tcBorders>
              <w:top w:val="single" w:sz="4" w:space="0" w:color="E2EFDA"/>
              <w:left w:val="nil"/>
              <w:bottom w:val="single" w:sz="4" w:space="0" w:color="E2EFDA"/>
              <w:right w:val="nil"/>
            </w:tcBorders>
            <w:shd w:val="clear" w:color="auto" w:fill="auto"/>
            <w:noWrap/>
            <w:vAlign w:val="bottom"/>
            <w:hideMark/>
          </w:tcPr>
          <w:p w14:paraId="6C34BD5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3</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E5092BD"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0,11%</w:t>
            </w:r>
          </w:p>
        </w:tc>
      </w:tr>
      <w:tr w:rsidR="00C8555F" w:rsidRPr="00C8555F" w14:paraId="6C68AEA7"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CEE9B1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18BFC4C1"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PIEDECUESTA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0FEBD10B"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64BF5DE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C83192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0,43%</w:t>
            </w:r>
          </w:p>
        </w:tc>
      </w:tr>
      <w:tr w:rsidR="00C8555F" w:rsidRPr="00C8555F" w14:paraId="2512FC9D"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701336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541ED90D"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E79BC9C"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5F45944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52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B57097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1,86%</w:t>
            </w:r>
          </w:p>
        </w:tc>
      </w:tr>
      <w:tr w:rsidR="00C8555F" w:rsidRPr="00C8555F" w14:paraId="021FE36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471D97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7EB0A08A"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590BC711"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33E0B79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8</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EF0ACB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0,29%</w:t>
            </w:r>
          </w:p>
        </w:tc>
      </w:tr>
      <w:tr w:rsidR="00C8555F" w:rsidRPr="00C8555F" w14:paraId="7E8CA465"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C63628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BC77770"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E3DDC7B"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JOVEN (18 A 28 AÑOS)</w:t>
            </w:r>
          </w:p>
        </w:tc>
        <w:tc>
          <w:tcPr>
            <w:tcW w:w="962" w:type="pct"/>
            <w:tcBorders>
              <w:top w:val="single" w:sz="4" w:space="0" w:color="E2EFDA"/>
              <w:left w:val="nil"/>
              <w:bottom w:val="single" w:sz="4" w:space="0" w:color="E2EFDA"/>
              <w:right w:val="nil"/>
            </w:tcBorders>
            <w:shd w:val="clear" w:color="auto" w:fill="auto"/>
            <w:noWrap/>
            <w:vAlign w:val="bottom"/>
            <w:hideMark/>
          </w:tcPr>
          <w:p w14:paraId="4640178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16</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23D35C6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0,57%</w:t>
            </w:r>
          </w:p>
        </w:tc>
      </w:tr>
      <w:tr w:rsidR="00C8555F" w:rsidRPr="00C8555F" w14:paraId="7AD0A082"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48BB3B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E7B865F"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53DEB836"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PRIMERA INFANCIA (&lt;=5 AÑOS)</w:t>
            </w:r>
          </w:p>
        </w:tc>
        <w:tc>
          <w:tcPr>
            <w:tcW w:w="962" w:type="pct"/>
            <w:tcBorders>
              <w:top w:val="single" w:sz="4" w:space="0" w:color="E2EFDA"/>
              <w:left w:val="nil"/>
              <w:bottom w:val="single" w:sz="4" w:space="0" w:color="E2EFDA"/>
              <w:right w:val="nil"/>
            </w:tcBorders>
            <w:shd w:val="clear" w:color="auto" w:fill="auto"/>
            <w:noWrap/>
            <w:vAlign w:val="bottom"/>
            <w:hideMark/>
          </w:tcPr>
          <w:p w14:paraId="224DD75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F4A274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0,11%</w:t>
            </w:r>
          </w:p>
        </w:tc>
      </w:tr>
      <w:tr w:rsidR="00C8555F" w:rsidRPr="00C8555F" w14:paraId="7961171F"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0AA886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193F7D8F"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3C09BE2"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7F290B2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99</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49D15F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3,55%</w:t>
            </w:r>
          </w:p>
        </w:tc>
      </w:tr>
      <w:tr w:rsidR="00C8555F" w:rsidRPr="00C8555F" w14:paraId="05C5182B"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CC0F168"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30F9E10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PIEDECUESTA                                                           </w:t>
            </w:r>
          </w:p>
        </w:tc>
        <w:tc>
          <w:tcPr>
            <w:tcW w:w="962" w:type="pct"/>
            <w:tcBorders>
              <w:top w:val="single" w:sz="4" w:space="0" w:color="E2EFDA"/>
              <w:left w:val="nil"/>
              <w:bottom w:val="single" w:sz="4" w:space="0" w:color="E2EFDA"/>
              <w:right w:val="nil"/>
            </w:tcBorders>
            <w:shd w:val="clear" w:color="auto" w:fill="auto"/>
            <w:noWrap/>
            <w:vAlign w:val="bottom"/>
            <w:hideMark/>
          </w:tcPr>
          <w:p w14:paraId="7D3B610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190</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A0610F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6,81%</w:t>
            </w:r>
          </w:p>
        </w:tc>
      </w:tr>
      <w:tr w:rsidR="00C8555F" w:rsidRPr="00C8555F" w14:paraId="31AD37B8"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53CCD9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38A7D486"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SAN GIL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990FB37"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6A021AF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DD2239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4428A29E"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5D3F6715"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6462774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SAN GIL                                                               </w:t>
            </w:r>
          </w:p>
        </w:tc>
        <w:tc>
          <w:tcPr>
            <w:tcW w:w="962" w:type="pct"/>
            <w:tcBorders>
              <w:top w:val="single" w:sz="4" w:space="0" w:color="E2EFDA"/>
              <w:left w:val="nil"/>
              <w:bottom w:val="single" w:sz="4" w:space="0" w:color="E2EFDA"/>
              <w:right w:val="nil"/>
            </w:tcBorders>
            <w:shd w:val="clear" w:color="auto" w:fill="auto"/>
            <w:noWrap/>
            <w:vAlign w:val="bottom"/>
            <w:hideMark/>
          </w:tcPr>
          <w:p w14:paraId="3086D92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045786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3A5D2691"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65F35EC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4487571A"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SOCORRO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7254861"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ADOLESCENCIA (12 A 17 AÑOS)</w:t>
            </w:r>
          </w:p>
        </w:tc>
        <w:tc>
          <w:tcPr>
            <w:tcW w:w="962" w:type="pct"/>
            <w:tcBorders>
              <w:top w:val="single" w:sz="4" w:space="0" w:color="E2EFDA"/>
              <w:left w:val="nil"/>
              <w:bottom w:val="single" w:sz="4" w:space="0" w:color="E2EFDA"/>
              <w:right w:val="nil"/>
            </w:tcBorders>
            <w:shd w:val="clear" w:color="auto" w:fill="auto"/>
            <w:noWrap/>
            <w:vAlign w:val="bottom"/>
            <w:hideMark/>
          </w:tcPr>
          <w:p w14:paraId="0C56731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B8A7952"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500C1F9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229D522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08668FD2"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61A82E59"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0C06FBF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2FD720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51AA73BF"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C25457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3CE6D400"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7E5FE1E2"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INFANCIA (6 A 11 AÑOS)</w:t>
            </w:r>
          </w:p>
        </w:tc>
        <w:tc>
          <w:tcPr>
            <w:tcW w:w="962" w:type="pct"/>
            <w:tcBorders>
              <w:top w:val="single" w:sz="4" w:space="0" w:color="E2EFDA"/>
              <w:left w:val="nil"/>
              <w:bottom w:val="single" w:sz="4" w:space="0" w:color="E2EFDA"/>
              <w:right w:val="nil"/>
            </w:tcBorders>
            <w:shd w:val="clear" w:color="auto" w:fill="auto"/>
            <w:noWrap/>
            <w:vAlign w:val="bottom"/>
            <w:hideMark/>
          </w:tcPr>
          <w:p w14:paraId="3F698BC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F24CBC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27853026"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3275A27"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67BA55FE"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7281EA94"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7D1132E3"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7</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7DA29E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0,25%</w:t>
            </w:r>
          </w:p>
        </w:tc>
      </w:tr>
      <w:tr w:rsidR="00C8555F" w:rsidRPr="00C8555F" w14:paraId="4C19C00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B94D70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580919DA"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SOCORRO                                                               </w:t>
            </w:r>
          </w:p>
        </w:tc>
        <w:tc>
          <w:tcPr>
            <w:tcW w:w="962" w:type="pct"/>
            <w:tcBorders>
              <w:top w:val="single" w:sz="4" w:space="0" w:color="E2EFDA"/>
              <w:left w:val="nil"/>
              <w:bottom w:val="single" w:sz="4" w:space="0" w:color="E2EFDA"/>
              <w:right w:val="nil"/>
            </w:tcBorders>
            <w:shd w:val="clear" w:color="auto" w:fill="auto"/>
            <w:noWrap/>
            <w:vAlign w:val="bottom"/>
            <w:hideMark/>
          </w:tcPr>
          <w:p w14:paraId="7031ADE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CE8DAAC"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0,43%</w:t>
            </w:r>
          </w:p>
        </w:tc>
      </w:tr>
      <w:tr w:rsidR="00C8555F" w:rsidRPr="00C8555F" w14:paraId="2E93DCA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12E92B62"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163209B9"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ZAPATOCA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8ABBDC0"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0F9B236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4DAADAAC"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077B1AD4"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798539F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070E0BF5"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ZAPATOCA                                                              </w:t>
            </w:r>
          </w:p>
        </w:tc>
        <w:tc>
          <w:tcPr>
            <w:tcW w:w="962" w:type="pct"/>
            <w:tcBorders>
              <w:top w:val="single" w:sz="4" w:space="0" w:color="E2EFDA"/>
              <w:left w:val="nil"/>
              <w:bottom w:val="single" w:sz="4" w:space="0" w:color="E2EFDA"/>
              <w:right w:val="nil"/>
            </w:tcBorders>
            <w:shd w:val="clear" w:color="auto" w:fill="auto"/>
            <w:noWrap/>
            <w:vAlign w:val="bottom"/>
            <w:hideMark/>
          </w:tcPr>
          <w:p w14:paraId="40ED6B4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6F396240"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46DB992B"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18C0E7F2"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SANTANDER                                                             </w:t>
            </w:r>
          </w:p>
        </w:tc>
        <w:tc>
          <w:tcPr>
            <w:tcW w:w="962" w:type="pct"/>
            <w:tcBorders>
              <w:top w:val="single" w:sz="4" w:space="0" w:color="C6E0B4"/>
              <w:left w:val="nil"/>
              <w:bottom w:val="single" w:sz="4" w:space="0" w:color="C6E0B4"/>
              <w:right w:val="nil"/>
            </w:tcBorders>
            <w:shd w:val="clear" w:color="E2EFDA" w:fill="E2EFDA"/>
            <w:noWrap/>
            <w:vAlign w:val="bottom"/>
            <w:hideMark/>
          </w:tcPr>
          <w:p w14:paraId="3B8EF9D8"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2716</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77139F8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97,28%</w:t>
            </w:r>
          </w:p>
        </w:tc>
      </w:tr>
      <w:tr w:rsidR="00C8555F" w:rsidRPr="00C8555F" w14:paraId="23A9A241"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18FD72B"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TOLIMA                                                                </w:t>
            </w:r>
          </w:p>
        </w:tc>
        <w:tc>
          <w:tcPr>
            <w:tcW w:w="853" w:type="pct"/>
            <w:tcBorders>
              <w:top w:val="single" w:sz="4" w:space="0" w:color="E2EFDA"/>
              <w:left w:val="nil"/>
              <w:bottom w:val="single" w:sz="4" w:space="0" w:color="E2EFDA"/>
              <w:right w:val="nil"/>
            </w:tcBorders>
            <w:shd w:val="clear" w:color="auto" w:fill="auto"/>
            <w:noWrap/>
            <w:vAlign w:val="bottom"/>
            <w:hideMark/>
          </w:tcPr>
          <w:p w14:paraId="363E7094"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IBAGUÉ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4719D3C"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ADULTO (29 A 59 AÑOS)</w:t>
            </w:r>
          </w:p>
        </w:tc>
        <w:tc>
          <w:tcPr>
            <w:tcW w:w="962" w:type="pct"/>
            <w:tcBorders>
              <w:top w:val="single" w:sz="4" w:space="0" w:color="E2EFDA"/>
              <w:left w:val="nil"/>
              <w:bottom w:val="single" w:sz="4" w:space="0" w:color="E2EFDA"/>
              <w:right w:val="nil"/>
            </w:tcBorders>
            <w:shd w:val="clear" w:color="auto" w:fill="auto"/>
            <w:noWrap/>
            <w:vAlign w:val="bottom"/>
            <w:hideMark/>
          </w:tcPr>
          <w:p w14:paraId="65A9B48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3A7E8B0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7B58DC03"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DC26F5B"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6736C46E"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3B1AB004"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09DF4D3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6A10C11"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45A38372"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1AFD5840"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042F5E2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IBAGUÉ                                                                </w:t>
            </w:r>
          </w:p>
        </w:tc>
        <w:tc>
          <w:tcPr>
            <w:tcW w:w="962" w:type="pct"/>
            <w:tcBorders>
              <w:top w:val="single" w:sz="4" w:space="0" w:color="E2EFDA"/>
              <w:left w:val="nil"/>
              <w:bottom w:val="single" w:sz="4" w:space="0" w:color="E2EFDA"/>
              <w:right w:val="nil"/>
            </w:tcBorders>
            <w:shd w:val="clear" w:color="auto" w:fill="auto"/>
            <w:noWrap/>
            <w:vAlign w:val="bottom"/>
            <w:hideMark/>
          </w:tcPr>
          <w:p w14:paraId="283BBBE9"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16A4A6E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0,07%</w:t>
            </w:r>
          </w:p>
        </w:tc>
      </w:tr>
      <w:tr w:rsidR="00C8555F" w:rsidRPr="00C8555F" w14:paraId="3ED14685"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2CF6879A"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TOLIMA                                                                </w:t>
            </w:r>
          </w:p>
        </w:tc>
        <w:tc>
          <w:tcPr>
            <w:tcW w:w="962" w:type="pct"/>
            <w:tcBorders>
              <w:top w:val="single" w:sz="4" w:space="0" w:color="C6E0B4"/>
              <w:left w:val="nil"/>
              <w:bottom w:val="single" w:sz="4" w:space="0" w:color="C6E0B4"/>
              <w:right w:val="nil"/>
            </w:tcBorders>
            <w:shd w:val="clear" w:color="E2EFDA" w:fill="E2EFDA"/>
            <w:noWrap/>
            <w:vAlign w:val="bottom"/>
            <w:hideMark/>
          </w:tcPr>
          <w:p w14:paraId="08BCFAF6"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54F464F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0,07%</w:t>
            </w:r>
          </w:p>
        </w:tc>
      </w:tr>
      <w:tr w:rsidR="00C8555F" w:rsidRPr="00C8555F" w14:paraId="7633DB0B"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7D8B356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VALLE                                                                 </w:t>
            </w:r>
          </w:p>
        </w:tc>
        <w:tc>
          <w:tcPr>
            <w:tcW w:w="853" w:type="pct"/>
            <w:tcBorders>
              <w:top w:val="single" w:sz="4" w:space="0" w:color="E2EFDA"/>
              <w:left w:val="nil"/>
              <w:bottom w:val="single" w:sz="4" w:space="0" w:color="E2EFDA"/>
              <w:right w:val="nil"/>
            </w:tcBorders>
            <w:shd w:val="clear" w:color="auto" w:fill="auto"/>
            <w:noWrap/>
            <w:vAlign w:val="bottom"/>
            <w:hideMark/>
          </w:tcPr>
          <w:p w14:paraId="608CAF7F"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CALI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10357760"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6E31685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787D33A9"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0,18%</w:t>
            </w:r>
          </w:p>
        </w:tc>
      </w:tr>
      <w:tr w:rsidR="00C8555F" w:rsidRPr="00C8555F" w14:paraId="093669AA"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3E67308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17BE7F4C"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CALI                                                                  </w:t>
            </w:r>
          </w:p>
        </w:tc>
        <w:tc>
          <w:tcPr>
            <w:tcW w:w="962" w:type="pct"/>
            <w:tcBorders>
              <w:top w:val="single" w:sz="4" w:space="0" w:color="E2EFDA"/>
              <w:left w:val="nil"/>
              <w:bottom w:val="single" w:sz="4" w:space="0" w:color="E2EFDA"/>
              <w:right w:val="nil"/>
            </w:tcBorders>
            <w:shd w:val="clear" w:color="auto" w:fill="auto"/>
            <w:noWrap/>
            <w:vAlign w:val="bottom"/>
            <w:hideMark/>
          </w:tcPr>
          <w:p w14:paraId="02263392"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5</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E951AEB"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0,18%</w:t>
            </w:r>
          </w:p>
        </w:tc>
      </w:tr>
      <w:tr w:rsidR="00C8555F" w:rsidRPr="00C8555F" w14:paraId="6FCE0020"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07806365"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6371DBDA"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JAMUNDÍ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220C22F2"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46A57535"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48E3D2E"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0,07%</w:t>
            </w:r>
          </w:p>
        </w:tc>
      </w:tr>
      <w:tr w:rsidR="00C8555F" w:rsidRPr="00C8555F" w14:paraId="0D80F801"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4CE7B37A"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6FDD1FDE"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JAMUNDÍ                                                               </w:t>
            </w:r>
          </w:p>
        </w:tc>
        <w:tc>
          <w:tcPr>
            <w:tcW w:w="962" w:type="pct"/>
            <w:tcBorders>
              <w:top w:val="single" w:sz="4" w:space="0" w:color="E2EFDA"/>
              <w:left w:val="nil"/>
              <w:bottom w:val="single" w:sz="4" w:space="0" w:color="E2EFDA"/>
              <w:right w:val="nil"/>
            </w:tcBorders>
            <w:shd w:val="clear" w:color="auto" w:fill="auto"/>
            <w:noWrap/>
            <w:vAlign w:val="bottom"/>
            <w:hideMark/>
          </w:tcPr>
          <w:p w14:paraId="111C6B9B"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A58D8C7"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0,07%</w:t>
            </w:r>
          </w:p>
        </w:tc>
      </w:tr>
      <w:tr w:rsidR="00C8555F" w:rsidRPr="00C8555F" w14:paraId="19B71498" w14:textId="77777777" w:rsidTr="00C8555F">
        <w:trPr>
          <w:trHeight w:val="255"/>
        </w:trPr>
        <w:tc>
          <w:tcPr>
            <w:tcW w:w="937" w:type="pct"/>
            <w:tcBorders>
              <w:top w:val="single" w:sz="4" w:space="0" w:color="E2EFDA"/>
              <w:left w:val="single" w:sz="4" w:space="0" w:color="auto"/>
              <w:bottom w:val="single" w:sz="4" w:space="0" w:color="E2EFDA"/>
              <w:right w:val="nil"/>
            </w:tcBorders>
            <w:shd w:val="clear" w:color="E2EFDA" w:fill="E2EFDA"/>
            <w:noWrap/>
            <w:vAlign w:val="bottom"/>
            <w:hideMark/>
          </w:tcPr>
          <w:p w14:paraId="27B6EA3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p>
        </w:tc>
        <w:tc>
          <w:tcPr>
            <w:tcW w:w="853" w:type="pct"/>
            <w:tcBorders>
              <w:top w:val="single" w:sz="4" w:space="0" w:color="E2EFDA"/>
              <w:left w:val="nil"/>
              <w:bottom w:val="single" w:sz="4" w:space="0" w:color="E2EFDA"/>
              <w:right w:val="nil"/>
            </w:tcBorders>
            <w:shd w:val="clear" w:color="auto" w:fill="auto"/>
            <w:noWrap/>
            <w:vAlign w:val="bottom"/>
            <w:hideMark/>
          </w:tcPr>
          <w:p w14:paraId="2F4363F8"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 xml:space="preserve">PALMIRA                                                               </w:t>
            </w:r>
          </w:p>
        </w:tc>
        <w:tc>
          <w:tcPr>
            <w:tcW w:w="1238" w:type="pct"/>
            <w:tcBorders>
              <w:top w:val="single" w:sz="4" w:space="0" w:color="E2EFDA"/>
              <w:left w:val="nil"/>
              <w:bottom w:val="single" w:sz="4" w:space="0" w:color="E2EFDA"/>
              <w:right w:val="single" w:sz="4" w:space="0" w:color="70AD47"/>
            </w:tcBorders>
            <w:shd w:val="clear" w:color="auto" w:fill="auto"/>
            <w:noWrap/>
            <w:vAlign w:val="bottom"/>
            <w:hideMark/>
          </w:tcPr>
          <w:p w14:paraId="475EF8D6" w14:textId="77777777" w:rsidR="00C8555F" w:rsidRPr="00B00599" w:rsidRDefault="00C8555F" w:rsidP="00C8555F">
            <w:pPr>
              <w:widowControl/>
              <w:autoSpaceDE/>
              <w:autoSpaceDN/>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VEJEZ (60 Y MÁS AÑOS)</w:t>
            </w:r>
          </w:p>
        </w:tc>
        <w:tc>
          <w:tcPr>
            <w:tcW w:w="962" w:type="pct"/>
            <w:tcBorders>
              <w:top w:val="single" w:sz="4" w:space="0" w:color="E2EFDA"/>
              <w:left w:val="nil"/>
              <w:bottom w:val="single" w:sz="4" w:space="0" w:color="E2EFDA"/>
              <w:right w:val="nil"/>
            </w:tcBorders>
            <w:shd w:val="clear" w:color="auto" w:fill="auto"/>
            <w:noWrap/>
            <w:vAlign w:val="bottom"/>
            <w:hideMark/>
          </w:tcPr>
          <w:p w14:paraId="217CF81F"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52477096"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r w:rsidRPr="00B00599">
              <w:rPr>
                <w:rFonts w:ascii="Humanst521 BT" w:eastAsia="Times New Roman" w:hAnsi="Humanst521 BT" w:cs="Arial"/>
                <w:color w:val="548235"/>
                <w:sz w:val="20"/>
                <w:szCs w:val="20"/>
                <w:lang w:val="es-CO" w:eastAsia="es-CO"/>
              </w:rPr>
              <w:t>0,04%</w:t>
            </w:r>
          </w:p>
        </w:tc>
      </w:tr>
      <w:tr w:rsidR="00C8555F" w:rsidRPr="00C8555F" w14:paraId="786E3165" w14:textId="77777777" w:rsidTr="00C8555F">
        <w:trPr>
          <w:trHeight w:val="255"/>
        </w:trPr>
        <w:tc>
          <w:tcPr>
            <w:tcW w:w="937" w:type="pct"/>
            <w:tcBorders>
              <w:top w:val="single" w:sz="4" w:space="0" w:color="E2EFDA"/>
              <w:left w:val="single" w:sz="4" w:space="0" w:color="auto"/>
              <w:bottom w:val="single" w:sz="4" w:space="0" w:color="FFFFFF"/>
              <w:right w:val="nil"/>
            </w:tcBorders>
            <w:shd w:val="clear" w:color="E2EFDA" w:fill="E2EFDA"/>
            <w:noWrap/>
            <w:vAlign w:val="bottom"/>
            <w:hideMark/>
          </w:tcPr>
          <w:p w14:paraId="1F9DC67D" w14:textId="77777777" w:rsidR="00C8555F" w:rsidRPr="00B00599" w:rsidRDefault="00C8555F" w:rsidP="00C8555F">
            <w:pPr>
              <w:widowControl/>
              <w:autoSpaceDE/>
              <w:autoSpaceDN/>
              <w:jc w:val="right"/>
              <w:rPr>
                <w:rFonts w:ascii="Humanst521 BT" w:eastAsia="Times New Roman" w:hAnsi="Humanst521 BT" w:cs="Arial"/>
                <w:color w:val="548235"/>
                <w:sz w:val="20"/>
                <w:szCs w:val="20"/>
                <w:lang w:val="es-CO" w:eastAsia="es-CO"/>
              </w:rPr>
            </w:pPr>
          </w:p>
        </w:tc>
        <w:tc>
          <w:tcPr>
            <w:tcW w:w="2092" w:type="pct"/>
            <w:gridSpan w:val="2"/>
            <w:tcBorders>
              <w:top w:val="single" w:sz="4" w:space="0" w:color="E2EFDA"/>
              <w:left w:val="nil"/>
              <w:bottom w:val="single" w:sz="4" w:space="0" w:color="E2EFDA"/>
              <w:right w:val="nil"/>
            </w:tcBorders>
            <w:shd w:val="clear" w:color="auto" w:fill="auto"/>
            <w:noWrap/>
            <w:vAlign w:val="bottom"/>
            <w:hideMark/>
          </w:tcPr>
          <w:p w14:paraId="02D476E4"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PALMIRA                                                               </w:t>
            </w:r>
          </w:p>
        </w:tc>
        <w:tc>
          <w:tcPr>
            <w:tcW w:w="962" w:type="pct"/>
            <w:tcBorders>
              <w:top w:val="single" w:sz="4" w:space="0" w:color="E2EFDA"/>
              <w:left w:val="nil"/>
              <w:bottom w:val="single" w:sz="4" w:space="0" w:color="E2EFDA"/>
              <w:right w:val="nil"/>
            </w:tcBorders>
            <w:shd w:val="clear" w:color="auto" w:fill="auto"/>
            <w:noWrap/>
            <w:vAlign w:val="bottom"/>
            <w:hideMark/>
          </w:tcPr>
          <w:p w14:paraId="2BE1B543"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w:t>
            </w:r>
          </w:p>
        </w:tc>
        <w:tc>
          <w:tcPr>
            <w:tcW w:w="1010" w:type="pct"/>
            <w:tcBorders>
              <w:top w:val="single" w:sz="4" w:space="0" w:color="E2EFDA"/>
              <w:left w:val="nil"/>
              <w:bottom w:val="single" w:sz="4" w:space="0" w:color="E2EFDA"/>
              <w:right w:val="single" w:sz="4" w:space="0" w:color="auto"/>
            </w:tcBorders>
            <w:shd w:val="clear" w:color="auto" w:fill="auto"/>
            <w:noWrap/>
            <w:vAlign w:val="bottom"/>
            <w:hideMark/>
          </w:tcPr>
          <w:p w14:paraId="0CF39A2C"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0,04%</w:t>
            </w:r>
          </w:p>
        </w:tc>
      </w:tr>
      <w:tr w:rsidR="00C8555F" w:rsidRPr="00C8555F" w14:paraId="09EDED85" w14:textId="77777777" w:rsidTr="00C8555F">
        <w:trPr>
          <w:trHeight w:val="255"/>
        </w:trPr>
        <w:tc>
          <w:tcPr>
            <w:tcW w:w="3028" w:type="pct"/>
            <w:gridSpan w:val="3"/>
            <w:tcBorders>
              <w:top w:val="single" w:sz="4" w:space="0" w:color="C6E0B4"/>
              <w:left w:val="single" w:sz="4" w:space="0" w:color="auto"/>
              <w:bottom w:val="single" w:sz="4" w:space="0" w:color="C6E0B4"/>
              <w:right w:val="nil"/>
            </w:tcBorders>
            <w:shd w:val="clear" w:color="E2EFDA" w:fill="E2EFDA"/>
            <w:noWrap/>
            <w:vAlign w:val="bottom"/>
            <w:hideMark/>
          </w:tcPr>
          <w:p w14:paraId="3669DE5D"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VALLE                                                                 </w:t>
            </w:r>
          </w:p>
        </w:tc>
        <w:tc>
          <w:tcPr>
            <w:tcW w:w="962" w:type="pct"/>
            <w:tcBorders>
              <w:top w:val="single" w:sz="4" w:space="0" w:color="C6E0B4"/>
              <w:left w:val="nil"/>
              <w:bottom w:val="single" w:sz="4" w:space="0" w:color="C6E0B4"/>
              <w:right w:val="nil"/>
            </w:tcBorders>
            <w:shd w:val="clear" w:color="E2EFDA" w:fill="E2EFDA"/>
            <w:noWrap/>
            <w:vAlign w:val="bottom"/>
            <w:hideMark/>
          </w:tcPr>
          <w:p w14:paraId="16845434"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8</w:t>
            </w:r>
          </w:p>
        </w:tc>
        <w:tc>
          <w:tcPr>
            <w:tcW w:w="1010" w:type="pct"/>
            <w:tcBorders>
              <w:top w:val="single" w:sz="4" w:space="0" w:color="C6E0B4"/>
              <w:left w:val="nil"/>
              <w:bottom w:val="single" w:sz="4" w:space="0" w:color="C6E0B4"/>
              <w:right w:val="single" w:sz="4" w:space="0" w:color="auto"/>
            </w:tcBorders>
            <w:shd w:val="clear" w:color="E2EFDA" w:fill="E2EFDA"/>
            <w:noWrap/>
            <w:vAlign w:val="bottom"/>
            <w:hideMark/>
          </w:tcPr>
          <w:p w14:paraId="6D9F0E21"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0,29%</w:t>
            </w:r>
          </w:p>
        </w:tc>
      </w:tr>
      <w:tr w:rsidR="00C8555F" w:rsidRPr="00C8555F" w14:paraId="77B9B0F3" w14:textId="77777777" w:rsidTr="00C8555F">
        <w:trPr>
          <w:trHeight w:val="255"/>
        </w:trPr>
        <w:tc>
          <w:tcPr>
            <w:tcW w:w="937" w:type="pct"/>
            <w:tcBorders>
              <w:top w:val="single" w:sz="8" w:space="0" w:color="70AD47"/>
              <w:left w:val="single" w:sz="4" w:space="0" w:color="auto"/>
              <w:bottom w:val="single" w:sz="4" w:space="0" w:color="auto"/>
              <w:right w:val="nil"/>
            </w:tcBorders>
            <w:shd w:val="clear" w:color="auto" w:fill="auto"/>
            <w:noWrap/>
            <w:vAlign w:val="bottom"/>
            <w:hideMark/>
          </w:tcPr>
          <w:p w14:paraId="07BDBF97"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roofErr w:type="gramStart"/>
            <w:r w:rsidRPr="00B00599">
              <w:rPr>
                <w:rFonts w:ascii="Humanst521 BT" w:eastAsia="Times New Roman" w:hAnsi="Humanst521 BT" w:cs="Arial"/>
                <w:b/>
                <w:bCs/>
                <w:color w:val="000000"/>
                <w:sz w:val="20"/>
                <w:szCs w:val="20"/>
                <w:lang w:val="es-CO" w:eastAsia="es-CO"/>
              </w:rPr>
              <w:t>Total</w:t>
            </w:r>
            <w:proofErr w:type="gramEnd"/>
            <w:r w:rsidRPr="00B00599">
              <w:rPr>
                <w:rFonts w:ascii="Humanst521 BT" w:eastAsia="Times New Roman" w:hAnsi="Humanst521 BT" w:cs="Arial"/>
                <w:b/>
                <w:bCs/>
                <w:color w:val="000000"/>
                <w:sz w:val="20"/>
                <w:szCs w:val="20"/>
                <w:lang w:val="es-CO" w:eastAsia="es-CO"/>
              </w:rPr>
              <w:t xml:space="preserve"> general</w:t>
            </w:r>
          </w:p>
        </w:tc>
        <w:tc>
          <w:tcPr>
            <w:tcW w:w="853" w:type="pct"/>
            <w:tcBorders>
              <w:top w:val="single" w:sz="8" w:space="0" w:color="70AD47"/>
              <w:left w:val="nil"/>
              <w:bottom w:val="single" w:sz="4" w:space="0" w:color="auto"/>
              <w:right w:val="nil"/>
            </w:tcBorders>
            <w:shd w:val="clear" w:color="auto" w:fill="auto"/>
            <w:noWrap/>
            <w:vAlign w:val="bottom"/>
            <w:hideMark/>
          </w:tcPr>
          <w:p w14:paraId="156BC725" w14:textId="77777777" w:rsidR="00C8555F" w:rsidRPr="00B00599" w:rsidRDefault="00C8555F" w:rsidP="00C8555F">
            <w:pPr>
              <w:widowControl/>
              <w:autoSpaceDE/>
              <w:autoSpaceDN/>
              <w:rPr>
                <w:rFonts w:ascii="Humanst521 BT" w:eastAsia="Times New Roman" w:hAnsi="Humanst521 BT" w:cs="Arial"/>
                <w:b/>
                <w:bCs/>
                <w:color w:val="000000"/>
                <w:sz w:val="20"/>
                <w:szCs w:val="20"/>
                <w:lang w:val="es-CO" w:eastAsia="es-CO"/>
              </w:rPr>
            </w:pPr>
          </w:p>
        </w:tc>
        <w:tc>
          <w:tcPr>
            <w:tcW w:w="1238" w:type="pct"/>
            <w:tcBorders>
              <w:top w:val="single" w:sz="8" w:space="0" w:color="70AD47"/>
              <w:left w:val="nil"/>
              <w:bottom w:val="single" w:sz="4" w:space="0" w:color="auto"/>
              <w:right w:val="single" w:sz="4" w:space="0" w:color="70AD47"/>
            </w:tcBorders>
            <w:shd w:val="clear" w:color="auto" w:fill="auto"/>
            <w:noWrap/>
            <w:vAlign w:val="bottom"/>
            <w:hideMark/>
          </w:tcPr>
          <w:p w14:paraId="62C38E43" w14:textId="77777777" w:rsidR="00C8555F" w:rsidRPr="00B00599" w:rsidRDefault="00C8555F" w:rsidP="00C8555F">
            <w:pPr>
              <w:widowControl/>
              <w:autoSpaceDE/>
              <w:autoSpaceDN/>
              <w:rPr>
                <w:rFonts w:ascii="Humanst521 BT" w:eastAsia="Times New Roman" w:hAnsi="Humanst521 BT" w:cs="Times New Roman"/>
                <w:sz w:val="20"/>
                <w:szCs w:val="20"/>
                <w:lang w:val="es-CO" w:eastAsia="es-CO"/>
              </w:rPr>
            </w:pPr>
          </w:p>
        </w:tc>
        <w:tc>
          <w:tcPr>
            <w:tcW w:w="962" w:type="pct"/>
            <w:tcBorders>
              <w:top w:val="single" w:sz="8" w:space="0" w:color="70AD47"/>
              <w:left w:val="nil"/>
              <w:bottom w:val="single" w:sz="4" w:space="0" w:color="auto"/>
              <w:right w:val="nil"/>
            </w:tcBorders>
            <w:shd w:val="clear" w:color="auto" w:fill="auto"/>
            <w:noWrap/>
            <w:vAlign w:val="bottom"/>
            <w:hideMark/>
          </w:tcPr>
          <w:p w14:paraId="0335868C"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2792</w:t>
            </w:r>
          </w:p>
        </w:tc>
        <w:tc>
          <w:tcPr>
            <w:tcW w:w="1010" w:type="pct"/>
            <w:tcBorders>
              <w:top w:val="single" w:sz="8" w:space="0" w:color="70AD47"/>
              <w:left w:val="nil"/>
              <w:bottom w:val="single" w:sz="4" w:space="0" w:color="auto"/>
              <w:right w:val="single" w:sz="4" w:space="0" w:color="auto"/>
            </w:tcBorders>
            <w:shd w:val="clear" w:color="auto" w:fill="auto"/>
            <w:noWrap/>
            <w:vAlign w:val="bottom"/>
            <w:hideMark/>
          </w:tcPr>
          <w:p w14:paraId="3777530B" w14:textId="77777777" w:rsidR="00C8555F" w:rsidRPr="00B00599" w:rsidRDefault="00C8555F" w:rsidP="00C8555F">
            <w:pPr>
              <w:widowControl/>
              <w:autoSpaceDE/>
              <w:autoSpaceDN/>
              <w:jc w:val="right"/>
              <w:rPr>
                <w:rFonts w:ascii="Humanst521 BT" w:eastAsia="Times New Roman" w:hAnsi="Humanst521 BT" w:cs="Arial"/>
                <w:b/>
                <w:bCs/>
                <w:color w:val="000000"/>
                <w:sz w:val="20"/>
                <w:szCs w:val="20"/>
                <w:lang w:val="es-CO" w:eastAsia="es-CO"/>
              </w:rPr>
            </w:pPr>
            <w:r w:rsidRPr="00B00599">
              <w:rPr>
                <w:rFonts w:ascii="Humanst521 BT" w:eastAsia="Times New Roman" w:hAnsi="Humanst521 BT" w:cs="Arial"/>
                <w:b/>
                <w:bCs/>
                <w:color w:val="000000"/>
                <w:sz w:val="20"/>
                <w:szCs w:val="20"/>
                <w:lang w:val="es-CO" w:eastAsia="es-CO"/>
              </w:rPr>
              <w:t>100,00%</w:t>
            </w:r>
          </w:p>
        </w:tc>
      </w:tr>
    </w:tbl>
    <w:p w14:paraId="6D22FC19" w14:textId="77777777" w:rsidR="00813D1C" w:rsidRPr="007F0FA7" w:rsidRDefault="00813D1C" w:rsidP="00093B44">
      <w:pPr>
        <w:autoSpaceDE/>
        <w:autoSpaceDN/>
        <w:jc w:val="both"/>
        <w:rPr>
          <w:rFonts w:ascii="Humanst521 BT" w:hAnsi="Humanst521 BT" w:cstheme="minorBidi"/>
        </w:rPr>
      </w:pPr>
    </w:p>
    <w:p w14:paraId="6E4DA3F7" w14:textId="77777777" w:rsidR="005B5BAE" w:rsidRPr="007F0FA7" w:rsidRDefault="005B5BAE" w:rsidP="00093B44">
      <w:pPr>
        <w:tabs>
          <w:tab w:val="left" w:pos="1410"/>
        </w:tabs>
        <w:ind w:right="381"/>
        <w:jc w:val="both"/>
        <w:rPr>
          <w:rFonts w:ascii="Humanst521 BT" w:hAnsi="Humanst521 BT"/>
        </w:rPr>
      </w:pPr>
    </w:p>
    <w:p w14:paraId="53BFF6B6" w14:textId="77777777" w:rsidR="00C95FDE" w:rsidRPr="007F0FA7" w:rsidRDefault="00C95FDE" w:rsidP="00093B44">
      <w:pPr>
        <w:pStyle w:val="Prrafodelista"/>
        <w:tabs>
          <w:tab w:val="left" w:pos="1410"/>
        </w:tabs>
        <w:ind w:left="1410" w:right="381" w:firstLine="0"/>
        <w:rPr>
          <w:rFonts w:ascii="Humanst521 BT" w:hAnsi="Humanst521 BT"/>
        </w:rPr>
      </w:pPr>
    </w:p>
    <w:p w14:paraId="5B1E024C" w14:textId="0B79AD27" w:rsidR="00F128CB" w:rsidRPr="007D03AF" w:rsidRDefault="006E14D8" w:rsidP="007D03AF">
      <w:pPr>
        <w:pStyle w:val="Descripcin"/>
        <w:spacing w:line="240" w:lineRule="auto"/>
        <w:outlineLvl w:val="3"/>
        <w:rPr>
          <w:rFonts w:ascii="Humanst521 BT" w:eastAsia="Verdana" w:hAnsi="Humanst521 BT" w:cs="Verdana"/>
          <w:sz w:val="22"/>
          <w:szCs w:val="22"/>
          <w:lang w:val="es-ES"/>
        </w:rPr>
      </w:pPr>
      <w:bookmarkStart w:id="29" w:name="_Toc231286789"/>
      <w:r w:rsidRPr="007D03AF">
        <w:rPr>
          <w:rFonts w:ascii="Humanst521 BT" w:eastAsia="Verdana" w:hAnsi="Humanst521 BT" w:cs="Verdana"/>
          <w:sz w:val="22"/>
          <w:szCs w:val="22"/>
          <w:lang w:val="es-ES"/>
        </w:rPr>
        <w:t>5.1.1.</w:t>
      </w:r>
      <w:r w:rsidR="00B20579" w:rsidRPr="007D03AF">
        <w:rPr>
          <w:rFonts w:ascii="Humanst521 BT" w:eastAsia="Verdana" w:hAnsi="Humanst521 BT" w:cs="Verdana"/>
          <w:sz w:val="22"/>
          <w:szCs w:val="22"/>
          <w:lang w:val="es-ES"/>
        </w:rPr>
        <w:t>4</w:t>
      </w:r>
      <w:r w:rsidRPr="007D03AF">
        <w:rPr>
          <w:rFonts w:ascii="Humanst521 BT" w:eastAsia="Verdana" w:hAnsi="Humanst521 BT" w:cs="Verdana"/>
          <w:sz w:val="22"/>
          <w:szCs w:val="22"/>
          <w:lang w:val="es-ES"/>
        </w:rPr>
        <w:t>.</w:t>
      </w:r>
      <w:r w:rsidR="002A4D50" w:rsidRPr="007D03AF">
        <w:rPr>
          <w:rFonts w:ascii="Humanst521 BT" w:eastAsia="Verdana" w:hAnsi="Humanst521 BT" w:cs="Verdana"/>
          <w:sz w:val="22"/>
          <w:szCs w:val="22"/>
          <w:lang w:val="es-ES"/>
        </w:rPr>
        <w:t xml:space="preserve"> </w:t>
      </w:r>
      <w:r w:rsidR="00B34872" w:rsidRPr="007D03AF">
        <w:rPr>
          <w:rFonts w:ascii="Humanst521 BT" w:eastAsia="Verdana" w:hAnsi="Humanst521 BT" w:cs="Verdana"/>
          <w:sz w:val="22"/>
          <w:szCs w:val="22"/>
          <w:lang w:val="es-ES"/>
        </w:rPr>
        <w:t xml:space="preserve">Descripción de afiliados UISALUD, </w:t>
      </w:r>
      <w:r w:rsidR="00E61DCD" w:rsidRPr="007D03AF">
        <w:rPr>
          <w:rFonts w:ascii="Humanst521 BT" w:eastAsia="Verdana" w:hAnsi="Humanst521 BT" w:cs="Verdana"/>
          <w:sz w:val="22"/>
          <w:szCs w:val="22"/>
          <w:lang w:val="es-ES"/>
        </w:rPr>
        <w:t>por poblaciones diferenciales</w:t>
      </w:r>
      <w:bookmarkEnd w:id="29"/>
      <w:r w:rsidR="001F292E" w:rsidRPr="007D03AF">
        <w:rPr>
          <w:rFonts w:ascii="Humanst521 BT" w:eastAsia="Verdana" w:hAnsi="Humanst521 BT" w:cs="Verdana"/>
          <w:sz w:val="22"/>
          <w:szCs w:val="22"/>
          <w:lang w:val="es-ES"/>
        </w:rPr>
        <w:t xml:space="preserve"> </w:t>
      </w:r>
    </w:p>
    <w:p w14:paraId="5906BE44" w14:textId="77777777" w:rsidR="007C0C12" w:rsidRPr="007F0FA7" w:rsidRDefault="007C0C12" w:rsidP="00093B44">
      <w:pPr>
        <w:pStyle w:val="Prrafodelista"/>
        <w:tabs>
          <w:tab w:val="left" w:pos="1410"/>
        </w:tabs>
        <w:spacing w:before="1"/>
        <w:ind w:left="1275" w:right="380" w:firstLine="0"/>
        <w:jc w:val="left"/>
        <w:rPr>
          <w:rFonts w:ascii="Humanst521 BT" w:hAnsi="Humanst521 BT"/>
        </w:rPr>
      </w:pPr>
    </w:p>
    <w:p w14:paraId="7F12FEC0" w14:textId="38341998" w:rsidR="00D47759" w:rsidRPr="007F0FA7" w:rsidRDefault="00D47759" w:rsidP="00093B44">
      <w:pPr>
        <w:rPr>
          <w:rFonts w:ascii="Humanst521 BT" w:hAnsi="Humanst521 BT"/>
          <w:b/>
          <w:bCs/>
        </w:rPr>
      </w:pPr>
      <w:bookmarkStart w:id="30" w:name="_Toc159490476"/>
      <w:r w:rsidRPr="007F0FA7">
        <w:rPr>
          <w:rFonts w:ascii="Humanst521 BT" w:hAnsi="Humanst521 BT"/>
          <w:b/>
          <w:bCs/>
        </w:rPr>
        <w:t>Afiliados según pertenencia étnica</w:t>
      </w:r>
      <w:bookmarkEnd w:id="30"/>
    </w:p>
    <w:p w14:paraId="6DCD78B1" w14:textId="77777777" w:rsidR="006F63C0" w:rsidRPr="007F0FA7" w:rsidRDefault="006F63C0" w:rsidP="00093B44">
      <w:pPr>
        <w:rPr>
          <w:rFonts w:ascii="Humanst521 BT" w:hAnsi="Humanst521 BT"/>
        </w:rPr>
      </w:pPr>
      <w:r w:rsidRPr="007F0FA7">
        <w:rPr>
          <w:rFonts w:ascii="Humanst521 BT" w:hAnsi="Humanst521 BT"/>
        </w:rPr>
        <w:t>En la población afiliada de UISALUD para el año de análisis, no se reportan personas que pertenezcan a los siguientes grupos étnicos: Indígena, Raizal del archipiélago de San Andrés y Providencia, Palanquero de San Basilio, ROM, Negro(a), mulato(a) afrodescendiente.</w:t>
      </w:r>
    </w:p>
    <w:p w14:paraId="7F77FE49" w14:textId="77777777" w:rsidR="000E0145" w:rsidRPr="007F0FA7" w:rsidRDefault="000E0145" w:rsidP="00093B44">
      <w:pPr>
        <w:rPr>
          <w:rFonts w:ascii="Humanst521 BT" w:hAnsi="Humanst521 BT"/>
        </w:rPr>
      </w:pPr>
    </w:p>
    <w:p w14:paraId="4FBA507A" w14:textId="77777777" w:rsidR="000E0145" w:rsidRPr="007F0FA7" w:rsidRDefault="000E0145" w:rsidP="00093B44">
      <w:pPr>
        <w:rPr>
          <w:rFonts w:ascii="Humanst521 BT" w:hAnsi="Humanst521 BT"/>
          <w:b/>
          <w:bCs/>
        </w:rPr>
      </w:pPr>
      <w:bookmarkStart w:id="31" w:name="_Toc159490477"/>
      <w:r w:rsidRPr="007F0FA7">
        <w:rPr>
          <w:rFonts w:ascii="Humanst521 BT" w:hAnsi="Humanst521 BT"/>
          <w:b/>
          <w:bCs/>
        </w:rPr>
        <w:t>Afiliados que declaran ser desplazados</w:t>
      </w:r>
      <w:bookmarkEnd w:id="31"/>
    </w:p>
    <w:p w14:paraId="2093865E" w14:textId="77777777" w:rsidR="00C44D3B" w:rsidRPr="007F0FA7" w:rsidRDefault="00C44D3B" w:rsidP="00093B44">
      <w:pPr>
        <w:shd w:val="clear" w:color="auto" w:fill="FFFFFF"/>
        <w:rPr>
          <w:rFonts w:ascii="Humanst521 BT" w:hAnsi="Humanst521 BT"/>
        </w:rPr>
      </w:pPr>
      <w:r w:rsidRPr="007F0FA7">
        <w:rPr>
          <w:rFonts w:ascii="Humanst521 BT" w:hAnsi="Humanst521 BT"/>
        </w:rPr>
        <w:t xml:space="preserve">En UISALUD, durante el periodo de análisis no se reportaron personas en condición de desplazamiento entre los afiliados.  </w:t>
      </w:r>
    </w:p>
    <w:p w14:paraId="7C69B8DE" w14:textId="77777777" w:rsidR="00206F6A" w:rsidRPr="007F0FA7" w:rsidRDefault="005C16C0" w:rsidP="00093B44">
      <w:pPr>
        <w:jc w:val="both"/>
        <w:rPr>
          <w:rFonts w:ascii="Humanst521 BT" w:hAnsi="Humanst521 BT"/>
        </w:rPr>
      </w:pPr>
      <w:r w:rsidRPr="007F0FA7">
        <w:rPr>
          <w:rFonts w:ascii="Humanst521 BT" w:hAnsi="Humanst521 BT"/>
        </w:rPr>
        <w:t xml:space="preserve">Para UISALUD el desplazamiento forzado interno constituye una violación de los Derechos Humanos, el </w:t>
      </w:r>
      <w:r w:rsidRPr="007F0FA7">
        <w:rPr>
          <w:rFonts w:ascii="Humanst521 BT" w:hAnsi="Humanst521 BT"/>
        </w:rPr>
        <w:lastRenderedPageBreak/>
        <w:t xml:space="preserve">Derecho Internacional, los derechos constitucionales y la dignidad, que se convierte en una problemática nacional que afecta la dinámica de los centros urbanos y rurales.  </w:t>
      </w:r>
    </w:p>
    <w:p w14:paraId="5BF67410" w14:textId="77777777" w:rsidR="00206F6A" w:rsidRPr="007F0FA7" w:rsidRDefault="00206F6A" w:rsidP="00093B44">
      <w:pPr>
        <w:jc w:val="both"/>
        <w:rPr>
          <w:rFonts w:ascii="Humanst521 BT" w:hAnsi="Humanst521 BT"/>
        </w:rPr>
      </w:pPr>
    </w:p>
    <w:p w14:paraId="7F97F308" w14:textId="77777777" w:rsidR="00206F6A" w:rsidRPr="007F0FA7" w:rsidRDefault="00206F6A" w:rsidP="00093B44">
      <w:pPr>
        <w:rPr>
          <w:rFonts w:ascii="Humanst521 BT" w:hAnsi="Humanst521 BT"/>
          <w:b/>
          <w:bCs/>
        </w:rPr>
      </w:pPr>
      <w:r w:rsidRPr="007F0FA7">
        <w:rPr>
          <w:rFonts w:ascii="Humanst521 BT" w:hAnsi="Humanst521 BT"/>
          <w:b/>
          <w:bCs/>
        </w:rPr>
        <w:t>Afiliados en condición de movilidad forzada</w:t>
      </w:r>
    </w:p>
    <w:p w14:paraId="75963ECE" w14:textId="3667416A" w:rsidR="005C16C0" w:rsidRPr="00AD31B9" w:rsidRDefault="005C16C0" w:rsidP="00093B44">
      <w:pPr>
        <w:jc w:val="both"/>
        <w:rPr>
          <w:rFonts w:ascii="Humanst521 BT" w:hAnsi="Humanst521 BT"/>
        </w:rPr>
      </w:pPr>
      <w:r w:rsidRPr="007F0FA7">
        <w:rPr>
          <w:rFonts w:ascii="Humanst521 BT" w:hAnsi="Humanst521 BT"/>
        </w:rPr>
        <w:t xml:space="preserve">Para el caso de la Unidad, la población víctima del conflicto armado son 21 personas y están en el programa de atención psicosocial y salud integral a víctimas – PAPSIVI, liderado por el área de trabajo social de la institución. El 52,4% (11) son hombres, y el 47,6% (10) son mujeres. El 95,2% reside en zona urbana. Por municipio de residencia el 81,0% están en Bucaramanga, 9,5% en Floridablanca y el 4,8% en Girón y Medellín. </w:t>
      </w:r>
      <w:r w:rsidR="00AD31B9" w:rsidRPr="00AD31B9">
        <w:rPr>
          <w:rFonts w:ascii="Humanst521 BT" w:hAnsi="Humanst521 BT"/>
        </w:rPr>
        <w:t>Lo anteriormente mencionado se detalla en la siguiente tabla.</w:t>
      </w:r>
    </w:p>
    <w:p w14:paraId="26A25B8E" w14:textId="4877BE00" w:rsidR="00334FA3" w:rsidRPr="007F0FA7" w:rsidRDefault="00334FA3" w:rsidP="00093B44">
      <w:pPr>
        <w:pStyle w:val="Descripcin"/>
        <w:keepNext/>
        <w:spacing w:line="240" w:lineRule="auto"/>
        <w:rPr>
          <w:rFonts w:ascii="Humanst521 BT" w:eastAsia="Verdana" w:hAnsi="Humanst521 BT" w:cs="Verdana"/>
          <w:b w:val="0"/>
          <w:bCs w:val="0"/>
          <w:color w:val="auto"/>
          <w:sz w:val="22"/>
          <w:szCs w:val="22"/>
          <w:lang w:val="es-ES"/>
        </w:rPr>
      </w:pPr>
      <w:bookmarkStart w:id="32" w:name="_Toc160090325"/>
      <w:bookmarkStart w:id="33" w:name="_Toc231286250"/>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7E563D">
        <w:rPr>
          <w:rFonts w:ascii="Humanst521 BT" w:eastAsia="Verdana" w:hAnsi="Humanst521 BT" w:cs="Verdana"/>
          <w:b w:val="0"/>
          <w:bCs w:val="0"/>
          <w:noProof/>
          <w:color w:val="auto"/>
          <w:sz w:val="22"/>
          <w:szCs w:val="22"/>
          <w:lang w:val="es-ES"/>
        </w:rPr>
        <w:t>5</w:t>
      </w:r>
      <w:r w:rsidRPr="007F0FA7">
        <w:rPr>
          <w:rFonts w:ascii="Humanst521 BT" w:eastAsia="Verdana" w:hAnsi="Humanst521 BT" w:cs="Verdana"/>
          <w:b w:val="0"/>
          <w:bCs w:val="0"/>
          <w:color w:val="auto"/>
          <w:sz w:val="22"/>
          <w:szCs w:val="22"/>
          <w:lang w:val="es-ES"/>
        </w:rPr>
        <w:fldChar w:fldCharType="end"/>
      </w:r>
      <w:r w:rsidR="007E563D">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Características de la Población víctima del conflicto armado, UISALUD</w:t>
      </w:r>
      <w:bookmarkEnd w:id="32"/>
      <w:bookmarkEnd w:id="33"/>
    </w:p>
    <w:tbl>
      <w:tblPr>
        <w:tblStyle w:val="Tabladelista3-nfasis3"/>
        <w:tblW w:w="9640" w:type="dxa"/>
        <w:tblLook w:val="04A0" w:firstRow="1" w:lastRow="0" w:firstColumn="1" w:lastColumn="0" w:noHBand="0" w:noVBand="1"/>
      </w:tblPr>
      <w:tblGrid>
        <w:gridCol w:w="1507"/>
        <w:gridCol w:w="1527"/>
        <w:gridCol w:w="1055"/>
        <w:gridCol w:w="877"/>
        <w:gridCol w:w="1461"/>
        <w:gridCol w:w="1023"/>
        <w:gridCol w:w="1057"/>
        <w:gridCol w:w="1133"/>
      </w:tblGrid>
      <w:tr w:rsidR="002D28C6" w:rsidRPr="007F0FA7" w14:paraId="57ED9957" w14:textId="77777777" w:rsidTr="002D28C6">
        <w:trPr>
          <w:cnfStyle w:val="100000000000" w:firstRow="1" w:lastRow="0" w:firstColumn="0" w:lastColumn="0" w:oddVBand="0" w:evenVBand="0" w:oddHBand="0" w:evenHBand="0" w:firstRowFirstColumn="0" w:firstRowLastColumn="0" w:lastRowFirstColumn="0" w:lastRowLastColumn="0"/>
          <w:trHeight w:val="106"/>
        </w:trPr>
        <w:tc>
          <w:tcPr>
            <w:cnfStyle w:val="001000000100" w:firstRow="0" w:lastRow="0" w:firstColumn="1" w:lastColumn="0" w:oddVBand="0" w:evenVBand="0" w:oddHBand="0" w:evenHBand="0" w:firstRowFirstColumn="1" w:firstRowLastColumn="0" w:lastRowFirstColumn="0" w:lastRowLastColumn="0"/>
            <w:tcW w:w="3034" w:type="dxa"/>
            <w:gridSpan w:val="2"/>
            <w:shd w:val="clear" w:color="auto" w:fill="B3CC82"/>
          </w:tcPr>
          <w:p w14:paraId="3D9F1AFF" w14:textId="77777777" w:rsidR="00334FA3" w:rsidRPr="002D28C6" w:rsidRDefault="00334FA3" w:rsidP="00093B44">
            <w:pPr>
              <w:jc w:val="center"/>
              <w:rPr>
                <w:rFonts w:ascii="Humanst521 BT" w:eastAsia="Times New Roman" w:hAnsi="Humanst521 BT" w:cs="Arial"/>
                <w:color w:val="000000"/>
                <w:sz w:val="20"/>
                <w:szCs w:val="20"/>
                <w:lang w:val="es-CO" w:eastAsia="es-CO"/>
              </w:rPr>
            </w:pPr>
            <w:r w:rsidRPr="002D28C6">
              <w:rPr>
                <w:rFonts w:ascii="Humanst521 BT" w:eastAsia="Times New Roman" w:hAnsi="Humanst521 BT" w:cs="Arial"/>
                <w:color w:val="000000"/>
                <w:sz w:val="20"/>
                <w:szCs w:val="20"/>
                <w:lang w:val="es-CO" w:eastAsia="es-CO"/>
              </w:rPr>
              <w:t>Variables</w:t>
            </w:r>
          </w:p>
        </w:tc>
        <w:tc>
          <w:tcPr>
            <w:tcW w:w="1055" w:type="dxa"/>
            <w:shd w:val="clear" w:color="auto" w:fill="B3CC82"/>
            <w:hideMark/>
          </w:tcPr>
          <w:p w14:paraId="1BDB7C42" w14:textId="77777777" w:rsidR="00334FA3" w:rsidRPr="002D28C6" w:rsidRDefault="00334FA3"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Arial"/>
                <w:color w:val="000000"/>
                <w:sz w:val="20"/>
                <w:szCs w:val="20"/>
                <w:lang w:val="es-CO" w:eastAsia="es-CO"/>
              </w:rPr>
            </w:pPr>
            <w:r w:rsidRPr="002D28C6">
              <w:rPr>
                <w:rFonts w:ascii="Humanst521 BT" w:eastAsia="Times New Roman" w:hAnsi="Humanst521 BT" w:cs="Arial"/>
                <w:color w:val="000000"/>
                <w:sz w:val="20"/>
                <w:szCs w:val="20"/>
                <w:lang w:val="es-CO" w:eastAsia="es-CO"/>
              </w:rPr>
              <w:t>Mujeres</w:t>
            </w:r>
          </w:p>
        </w:tc>
        <w:tc>
          <w:tcPr>
            <w:tcW w:w="877" w:type="dxa"/>
            <w:shd w:val="clear" w:color="auto" w:fill="B3CC82"/>
            <w:noWrap/>
            <w:hideMark/>
          </w:tcPr>
          <w:p w14:paraId="4E3ABEBA" w14:textId="77777777" w:rsidR="00334FA3" w:rsidRPr="002D28C6" w:rsidRDefault="00334FA3"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Arial"/>
                <w:color w:val="000000"/>
                <w:sz w:val="20"/>
                <w:szCs w:val="20"/>
                <w:lang w:val="es-CO" w:eastAsia="es-CO"/>
              </w:rPr>
            </w:pPr>
            <w:r w:rsidRPr="002D28C6">
              <w:rPr>
                <w:rFonts w:ascii="Humanst521 BT" w:eastAsia="Times New Roman" w:hAnsi="Humanst521 BT" w:cs="Arial"/>
                <w:color w:val="000000"/>
                <w:sz w:val="20"/>
                <w:szCs w:val="20"/>
                <w:lang w:val="es-CO" w:eastAsia="es-CO"/>
              </w:rPr>
              <w:t xml:space="preserve">  % </w:t>
            </w:r>
          </w:p>
        </w:tc>
        <w:tc>
          <w:tcPr>
            <w:tcW w:w="1461" w:type="dxa"/>
            <w:shd w:val="clear" w:color="auto" w:fill="B3CC82"/>
            <w:hideMark/>
          </w:tcPr>
          <w:p w14:paraId="3EB3BBBD" w14:textId="77777777" w:rsidR="00334FA3" w:rsidRPr="002D28C6" w:rsidRDefault="00334FA3"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Arial"/>
                <w:color w:val="000000"/>
                <w:sz w:val="20"/>
                <w:szCs w:val="20"/>
                <w:lang w:val="es-CO" w:eastAsia="es-CO"/>
              </w:rPr>
            </w:pPr>
            <w:r w:rsidRPr="002D28C6">
              <w:rPr>
                <w:rFonts w:ascii="Humanst521 BT" w:eastAsia="Times New Roman" w:hAnsi="Humanst521 BT" w:cs="Arial"/>
                <w:color w:val="000000"/>
                <w:sz w:val="20"/>
                <w:szCs w:val="20"/>
                <w:lang w:val="es-CO" w:eastAsia="es-CO"/>
              </w:rPr>
              <w:t>Hombres</w:t>
            </w:r>
          </w:p>
        </w:tc>
        <w:tc>
          <w:tcPr>
            <w:tcW w:w="1023" w:type="dxa"/>
            <w:shd w:val="clear" w:color="auto" w:fill="B3CC82"/>
            <w:noWrap/>
            <w:hideMark/>
          </w:tcPr>
          <w:p w14:paraId="10361728" w14:textId="77777777" w:rsidR="00334FA3" w:rsidRPr="002D28C6" w:rsidRDefault="00334FA3"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Arial"/>
                <w:color w:val="000000"/>
                <w:sz w:val="20"/>
                <w:szCs w:val="20"/>
                <w:lang w:val="es-CO" w:eastAsia="es-CO"/>
              </w:rPr>
            </w:pPr>
            <w:r w:rsidRPr="002D28C6">
              <w:rPr>
                <w:rFonts w:ascii="Humanst521 BT" w:eastAsia="Times New Roman" w:hAnsi="Humanst521 BT" w:cs="Arial"/>
                <w:color w:val="000000"/>
                <w:sz w:val="20"/>
                <w:szCs w:val="20"/>
                <w:lang w:val="es-CO" w:eastAsia="es-CO"/>
              </w:rPr>
              <w:t>%</w:t>
            </w:r>
          </w:p>
        </w:tc>
        <w:tc>
          <w:tcPr>
            <w:tcW w:w="1057" w:type="dxa"/>
            <w:shd w:val="clear" w:color="auto" w:fill="B3CC82"/>
            <w:noWrap/>
            <w:hideMark/>
          </w:tcPr>
          <w:p w14:paraId="062316AD" w14:textId="77777777" w:rsidR="00334FA3" w:rsidRPr="002D28C6" w:rsidRDefault="00334FA3"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Arial"/>
                <w:color w:val="000000"/>
                <w:sz w:val="20"/>
                <w:szCs w:val="20"/>
                <w:lang w:val="es-CO" w:eastAsia="es-CO"/>
              </w:rPr>
            </w:pPr>
            <w:r w:rsidRPr="002D28C6">
              <w:rPr>
                <w:rFonts w:ascii="Humanst521 BT" w:eastAsia="Times New Roman" w:hAnsi="Humanst521 BT" w:cs="Arial"/>
                <w:color w:val="000000"/>
                <w:sz w:val="20"/>
                <w:szCs w:val="20"/>
                <w:lang w:val="es-CO" w:eastAsia="es-CO"/>
              </w:rPr>
              <w:t>Total</w:t>
            </w:r>
          </w:p>
        </w:tc>
        <w:tc>
          <w:tcPr>
            <w:tcW w:w="1133" w:type="dxa"/>
            <w:shd w:val="clear" w:color="auto" w:fill="B3CC82"/>
            <w:noWrap/>
            <w:hideMark/>
          </w:tcPr>
          <w:p w14:paraId="0B29A6B8" w14:textId="77777777" w:rsidR="00334FA3" w:rsidRPr="002D28C6" w:rsidRDefault="00334FA3"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Arial"/>
                <w:color w:val="000000"/>
                <w:sz w:val="20"/>
                <w:szCs w:val="20"/>
                <w:lang w:val="es-CO" w:eastAsia="es-CO"/>
              </w:rPr>
            </w:pPr>
            <w:r w:rsidRPr="002D28C6">
              <w:rPr>
                <w:rFonts w:ascii="Humanst521 BT" w:eastAsia="Times New Roman" w:hAnsi="Humanst521 BT" w:cs="Arial"/>
                <w:color w:val="000000"/>
                <w:sz w:val="20"/>
                <w:szCs w:val="20"/>
                <w:lang w:val="es-CO" w:eastAsia="es-CO"/>
              </w:rPr>
              <w:t xml:space="preserve">% </w:t>
            </w:r>
          </w:p>
        </w:tc>
      </w:tr>
      <w:tr w:rsidR="005C2B7E" w:rsidRPr="007F0FA7" w14:paraId="6EBCF491" w14:textId="77777777" w:rsidTr="002D28C6">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1507" w:type="dxa"/>
            <w:vMerge w:val="restart"/>
          </w:tcPr>
          <w:p w14:paraId="512076CC" w14:textId="77777777" w:rsidR="00334FA3" w:rsidRPr="007F0FA7" w:rsidRDefault="00334FA3" w:rsidP="00093B44">
            <w:pPr>
              <w:jc w:val="center"/>
              <w:rPr>
                <w:rFonts w:ascii="Humanst521 BT" w:hAnsi="Humanst521 BT" w:cs="Arial"/>
                <w:b w:val="0"/>
                <w:bCs w:val="0"/>
                <w:lang w:eastAsia="es-CO"/>
              </w:rPr>
            </w:pPr>
            <w:r w:rsidRPr="007F0FA7">
              <w:rPr>
                <w:rFonts w:ascii="Humanst521 BT" w:hAnsi="Humanst521 BT" w:cs="Arial"/>
                <w:b w:val="0"/>
                <w:bCs w:val="0"/>
                <w:lang w:eastAsia="es-CO"/>
              </w:rPr>
              <w:t>Ciclo de Vida</w:t>
            </w:r>
          </w:p>
        </w:tc>
        <w:tc>
          <w:tcPr>
            <w:tcW w:w="1526" w:type="dxa"/>
            <w:noWrap/>
            <w:hideMark/>
          </w:tcPr>
          <w:p w14:paraId="657A41EE" w14:textId="77777777" w:rsidR="00334FA3" w:rsidRPr="007F0FA7" w:rsidRDefault="00334FA3" w:rsidP="00093B44">
            <w:pP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 xml:space="preserve">Infancia </w:t>
            </w:r>
          </w:p>
        </w:tc>
        <w:tc>
          <w:tcPr>
            <w:tcW w:w="1055" w:type="dxa"/>
            <w:noWrap/>
            <w:hideMark/>
          </w:tcPr>
          <w:p w14:paraId="1E402ECA"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877" w:type="dxa"/>
            <w:noWrap/>
            <w:hideMark/>
          </w:tcPr>
          <w:p w14:paraId="1F4FC15E"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c>
          <w:tcPr>
            <w:tcW w:w="1461" w:type="dxa"/>
            <w:noWrap/>
            <w:hideMark/>
          </w:tcPr>
          <w:p w14:paraId="51B9FFA6"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1023" w:type="dxa"/>
            <w:noWrap/>
            <w:hideMark/>
          </w:tcPr>
          <w:p w14:paraId="67916E9A"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c>
          <w:tcPr>
            <w:tcW w:w="1057" w:type="dxa"/>
            <w:noWrap/>
            <w:hideMark/>
          </w:tcPr>
          <w:p w14:paraId="514CE7FB"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2</w:t>
            </w:r>
          </w:p>
        </w:tc>
        <w:tc>
          <w:tcPr>
            <w:tcW w:w="1133" w:type="dxa"/>
            <w:noWrap/>
            <w:hideMark/>
          </w:tcPr>
          <w:p w14:paraId="0E6C6074"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9,5</w:t>
            </w:r>
          </w:p>
        </w:tc>
      </w:tr>
      <w:tr w:rsidR="005C2B7E" w:rsidRPr="007F0FA7" w14:paraId="6E7CE42A" w14:textId="77777777" w:rsidTr="002D28C6">
        <w:trPr>
          <w:trHeight w:val="101"/>
        </w:trPr>
        <w:tc>
          <w:tcPr>
            <w:cnfStyle w:val="001000000000" w:firstRow="0" w:lastRow="0" w:firstColumn="1" w:lastColumn="0" w:oddVBand="0" w:evenVBand="0" w:oddHBand="0" w:evenHBand="0" w:firstRowFirstColumn="0" w:firstRowLastColumn="0" w:lastRowFirstColumn="0" w:lastRowLastColumn="0"/>
            <w:tcW w:w="1507" w:type="dxa"/>
            <w:vMerge/>
          </w:tcPr>
          <w:p w14:paraId="61FF41E1" w14:textId="77777777" w:rsidR="00334FA3" w:rsidRPr="007F0FA7" w:rsidRDefault="00334FA3" w:rsidP="00093B44">
            <w:pPr>
              <w:jc w:val="center"/>
              <w:rPr>
                <w:rFonts w:ascii="Humanst521 BT" w:hAnsi="Humanst521 BT" w:cs="Arial"/>
                <w:b w:val="0"/>
                <w:bCs w:val="0"/>
                <w:lang w:eastAsia="es-CO"/>
              </w:rPr>
            </w:pPr>
          </w:p>
        </w:tc>
        <w:tc>
          <w:tcPr>
            <w:tcW w:w="1526" w:type="dxa"/>
            <w:noWrap/>
            <w:hideMark/>
          </w:tcPr>
          <w:p w14:paraId="188F4176" w14:textId="77777777" w:rsidR="00334FA3" w:rsidRPr="007F0FA7" w:rsidRDefault="00334FA3" w:rsidP="00093B44">
            <w:pP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 xml:space="preserve">Adolescencia </w:t>
            </w:r>
          </w:p>
        </w:tc>
        <w:tc>
          <w:tcPr>
            <w:tcW w:w="1055" w:type="dxa"/>
            <w:noWrap/>
          </w:tcPr>
          <w:p w14:paraId="4ACF14D9"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p>
        </w:tc>
        <w:tc>
          <w:tcPr>
            <w:tcW w:w="877" w:type="dxa"/>
            <w:noWrap/>
          </w:tcPr>
          <w:p w14:paraId="055F9F87"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p>
        </w:tc>
        <w:tc>
          <w:tcPr>
            <w:tcW w:w="1461" w:type="dxa"/>
            <w:noWrap/>
            <w:hideMark/>
          </w:tcPr>
          <w:p w14:paraId="4077B797"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2</w:t>
            </w:r>
          </w:p>
        </w:tc>
        <w:tc>
          <w:tcPr>
            <w:tcW w:w="1023" w:type="dxa"/>
            <w:noWrap/>
            <w:hideMark/>
          </w:tcPr>
          <w:p w14:paraId="4BCAE283"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9,5</w:t>
            </w:r>
          </w:p>
        </w:tc>
        <w:tc>
          <w:tcPr>
            <w:tcW w:w="1057" w:type="dxa"/>
            <w:noWrap/>
            <w:hideMark/>
          </w:tcPr>
          <w:p w14:paraId="4160A072"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2</w:t>
            </w:r>
          </w:p>
        </w:tc>
        <w:tc>
          <w:tcPr>
            <w:tcW w:w="1133" w:type="dxa"/>
            <w:noWrap/>
            <w:hideMark/>
          </w:tcPr>
          <w:p w14:paraId="32F7FB9F"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9,5</w:t>
            </w:r>
          </w:p>
        </w:tc>
      </w:tr>
      <w:tr w:rsidR="005C2B7E" w:rsidRPr="007F0FA7" w14:paraId="5B3D3EB3" w14:textId="77777777" w:rsidTr="002D28C6">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1507" w:type="dxa"/>
            <w:vMerge/>
          </w:tcPr>
          <w:p w14:paraId="484A248E" w14:textId="77777777" w:rsidR="00334FA3" w:rsidRPr="007F0FA7" w:rsidRDefault="00334FA3" w:rsidP="00093B44">
            <w:pPr>
              <w:jc w:val="center"/>
              <w:rPr>
                <w:rFonts w:ascii="Humanst521 BT" w:hAnsi="Humanst521 BT" w:cs="Arial"/>
                <w:b w:val="0"/>
                <w:bCs w:val="0"/>
                <w:lang w:eastAsia="es-CO"/>
              </w:rPr>
            </w:pPr>
          </w:p>
        </w:tc>
        <w:tc>
          <w:tcPr>
            <w:tcW w:w="1526" w:type="dxa"/>
            <w:noWrap/>
            <w:hideMark/>
          </w:tcPr>
          <w:p w14:paraId="5F693AD1" w14:textId="77777777" w:rsidR="00334FA3" w:rsidRPr="007F0FA7" w:rsidRDefault="00334FA3" w:rsidP="00093B44">
            <w:pP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 xml:space="preserve">Adultez </w:t>
            </w:r>
          </w:p>
        </w:tc>
        <w:tc>
          <w:tcPr>
            <w:tcW w:w="1055" w:type="dxa"/>
            <w:noWrap/>
            <w:hideMark/>
          </w:tcPr>
          <w:p w14:paraId="63025EF5"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6</w:t>
            </w:r>
          </w:p>
        </w:tc>
        <w:tc>
          <w:tcPr>
            <w:tcW w:w="877" w:type="dxa"/>
            <w:noWrap/>
            <w:hideMark/>
          </w:tcPr>
          <w:p w14:paraId="6D01C095"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28,6</w:t>
            </w:r>
          </w:p>
        </w:tc>
        <w:tc>
          <w:tcPr>
            <w:tcW w:w="1461" w:type="dxa"/>
            <w:noWrap/>
            <w:hideMark/>
          </w:tcPr>
          <w:p w14:paraId="7745FD53"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3</w:t>
            </w:r>
          </w:p>
        </w:tc>
        <w:tc>
          <w:tcPr>
            <w:tcW w:w="1023" w:type="dxa"/>
            <w:noWrap/>
            <w:hideMark/>
          </w:tcPr>
          <w:p w14:paraId="53145A41"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14,3</w:t>
            </w:r>
          </w:p>
        </w:tc>
        <w:tc>
          <w:tcPr>
            <w:tcW w:w="1057" w:type="dxa"/>
            <w:noWrap/>
            <w:hideMark/>
          </w:tcPr>
          <w:p w14:paraId="4ED74841"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9</w:t>
            </w:r>
          </w:p>
        </w:tc>
        <w:tc>
          <w:tcPr>
            <w:tcW w:w="1133" w:type="dxa"/>
            <w:noWrap/>
            <w:hideMark/>
          </w:tcPr>
          <w:p w14:paraId="33FBBAE2"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42,9</w:t>
            </w:r>
          </w:p>
        </w:tc>
      </w:tr>
      <w:tr w:rsidR="005C2B7E" w:rsidRPr="007F0FA7" w14:paraId="78103DDA" w14:textId="77777777" w:rsidTr="002D28C6">
        <w:trPr>
          <w:trHeight w:val="101"/>
        </w:trPr>
        <w:tc>
          <w:tcPr>
            <w:cnfStyle w:val="001000000000" w:firstRow="0" w:lastRow="0" w:firstColumn="1" w:lastColumn="0" w:oddVBand="0" w:evenVBand="0" w:oddHBand="0" w:evenHBand="0" w:firstRowFirstColumn="0" w:firstRowLastColumn="0" w:lastRowFirstColumn="0" w:lastRowLastColumn="0"/>
            <w:tcW w:w="1507" w:type="dxa"/>
            <w:vMerge/>
          </w:tcPr>
          <w:p w14:paraId="579B479F" w14:textId="77777777" w:rsidR="00334FA3" w:rsidRPr="007F0FA7" w:rsidRDefault="00334FA3" w:rsidP="00093B44">
            <w:pPr>
              <w:jc w:val="center"/>
              <w:rPr>
                <w:rFonts w:ascii="Humanst521 BT" w:hAnsi="Humanst521 BT" w:cs="Arial"/>
                <w:b w:val="0"/>
                <w:bCs w:val="0"/>
                <w:lang w:eastAsia="es-CO"/>
              </w:rPr>
            </w:pPr>
          </w:p>
        </w:tc>
        <w:tc>
          <w:tcPr>
            <w:tcW w:w="1526" w:type="dxa"/>
            <w:noWrap/>
            <w:hideMark/>
          </w:tcPr>
          <w:p w14:paraId="7B177C7E" w14:textId="77777777" w:rsidR="00334FA3" w:rsidRPr="007F0FA7" w:rsidRDefault="00334FA3" w:rsidP="00093B44">
            <w:pP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Vejez</w:t>
            </w:r>
          </w:p>
        </w:tc>
        <w:tc>
          <w:tcPr>
            <w:tcW w:w="1055" w:type="dxa"/>
            <w:noWrap/>
            <w:hideMark/>
          </w:tcPr>
          <w:p w14:paraId="4F0FF6E4"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3</w:t>
            </w:r>
          </w:p>
        </w:tc>
        <w:tc>
          <w:tcPr>
            <w:tcW w:w="877" w:type="dxa"/>
            <w:noWrap/>
            <w:hideMark/>
          </w:tcPr>
          <w:p w14:paraId="327F7241"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14,3</w:t>
            </w:r>
          </w:p>
        </w:tc>
        <w:tc>
          <w:tcPr>
            <w:tcW w:w="1461" w:type="dxa"/>
            <w:noWrap/>
            <w:hideMark/>
          </w:tcPr>
          <w:p w14:paraId="5E4EF0E4"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5</w:t>
            </w:r>
          </w:p>
        </w:tc>
        <w:tc>
          <w:tcPr>
            <w:tcW w:w="1023" w:type="dxa"/>
            <w:noWrap/>
            <w:hideMark/>
          </w:tcPr>
          <w:p w14:paraId="157C4D65"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23,8</w:t>
            </w:r>
          </w:p>
        </w:tc>
        <w:tc>
          <w:tcPr>
            <w:tcW w:w="1057" w:type="dxa"/>
            <w:noWrap/>
            <w:hideMark/>
          </w:tcPr>
          <w:p w14:paraId="5CB1EB1D"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8</w:t>
            </w:r>
          </w:p>
        </w:tc>
        <w:tc>
          <w:tcPr>
            <w:tcW w:w="1133" w:type="dxa"/>
            <w:noWrap/>
            <w:hideMark/>
          </w:tcPr>
          <w:p w14:paraId="3095A60E"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38,1</w:t>
            </w:r>
          </w:p>
        </w:tc>
      </w:tr>
      <w:tr w:rsidR="005C2B7E" w:rsidRPr="007F0FA7" w14:paraId="3547F41D" w14:textId="77777777" w:rsidTr="002D28C6">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1507" w:type="dxa"/>
            <w:vMerge w:val="restart"/>
          </w:tcPr>
          <w:p w14:paraId="2221BB13" w14:textId="77777777" w:rsidR="00334FA3" w:rsidRPr="007F0FA7" w:rsidRDefault="00334FA3" w:rsidP="00093B44">
            <w:pPr>
              <w:jc w:val="center"/>
              <w:rPr>
                <w:rFonts w:ascii="Humanst521 BT" w:hAnsi="Humanst521 BT" w:cs="Arial"/>
                <w:b w:val="0"/>
                <w:bCs w:val="0"/>
                <w:lang w:eastAsia="es-CO"/>
              </w:rPr>
            </w:pPr>
            <w:r w:rsidRPr="007F0FA7">
              <w:rPr>
                <w:rFonts w:ascii="Humanst521 BT" w:hAnsi="Humanst521 BT" w:cs="Arial"/>
                <w:b w:val="0"/>
                <w:bCs w:val="0"/>
                <w:lang w:eastAsia="es-CO"/>
              </w:rPr>
              <w:t>Zona de Residencia</w:t>
            </w:r>
          </w:p>
        </w:tc>
        <w:tc>
          <w:tcPr>
            <w:tcW w:w="1526" w:type="dxa"/>
            <w:noWrap/>
            <w:hideMark/>
          </w:tcPr>
          <w:p w14:paraId="03128A85" w14:textId="77777777" w:rsidR="00334FA3" w:rsidRPr="007F0FA7" w:rsidRDefault="00334FA3" w:rsidP="00093B44">
            <w:pP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Urbana</w:t>
            </w:r>
          </w:p>
        </w:tc>
        <w:tc>
          <w:tcPr>
            <w:tcW w:w="1055" w:type="dxa"/>
            <w:noWrap/>
            <w:hideMark/>
          </w:tcPr>
          <w:p w14:paraId="7958AFC8"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9</w:t>
            </w:r>
          </w:p>
        </w:tc>
        <w:tc>
          <w:tcPr>
            <w:tcW w:w="877" w:type="dxa"/>
            <w:noWrap/>
            <w:hideMark/>
          </w:tcPr>
          <w:p w14:paraId="5A5C96F3"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42,9</w:t>
            </w:r>
          </w:p>
        </w:tc>
        <w:tc>
          <w:tcPr>
            <w:tcW w:w="1461" w:type="dxa"/>
            <w:noWrap/>
            <w:hideMark/>
          </w:tcPr>
          <w:p w14:paraId="2D17CC75"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11</w:t>
            </w:r>
          </w:p>
        </w:tc>
        <w:tc>
          <w:tcPr>
            <w:tcW w:w="1023" w:type="dxa"/>
            <w:noWrap/>
            <w:hideMark/>
          </w:tcPr>
          <w:p w14:paraId="050B78BA"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52,4</w:t>
            </w:r>
          </w:p>
        </w:tc>
        <w:tc>
          <w:tcPr>
            <w:tcW w:w="1057" w:type="dxa"/>
            <w:noWrap/>
            <w:hideMark/>
          </w:tcPr>
          <w:p w14:paraId="24233158"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20</w:t>
            </w:r>
          </w:p>
        </w:tc>
        <w:tc>
          <w:tcPr>
            <w:tcW w:w="1133" w:type="dxa"/>
            <w:noWrap/>
            <w:hideMark/>
          </w:tcPr>
          <w:p w14:paraId="7528B22A"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95,2</w:t>
            </w:r>
          </w:p>
        </w:tc>
      </w:tr>
      <w:tr w:rsidR="005C2B7E" w:rsidRPr="007F0FA7" w14:paraId="31E00771" w14:textId="77777777" w:rsidTr="002D28C6">
        <w:trPr>
          <w:trHeight w:val="101"/>
        </w:trPr>
        <w:tc>
          <w:tcPr>
            <w:cnfStyle w:val="001000000000" w:firstRow="0" w:lastRow="0" w:firstColumn="1" w:lastColumn="0" w:oddVBand="0" w:evenVBand="0" w:oddHBand="0" w:evenHBand="0" w:firstRowFirstColumn="0" w:firstRowLastColumn="0" w:lastRowFirstColumn="0" w:lastRowLastColumn="0"/>
            <w:tcW w:w="1507" w:type="dxa"/>
            <w:vMerge/>
          </w:tcPr>
          <w:p w14:paraId="246CC3F2" w14:textId="77777777" w:rsidR="00334FA3" w:rsidRPr="007F0FA7" w:rsidRDefault="00334FA3" w:rsidP="00093B44">
            <w:pPr>
              <w:jc w:val="center"/>
              <w:rPr>
                <w:rFonts w:ascii="Humanst521 BT" w:hAnsi="Humanst521 BT" w:cs="Arial"/>
                <w:b w:val="0"/>
                <w:bCs w:val="0"/>
                <w:lang w:eastAsia="es-CO"/>
              </w:rPr>
            </w:pPr>
          </w:p>
        </w:tc>
        <w:tc>
          <w:tcPr>
            <w:tcW w:w="1526" w:type="dxa"/>
            <w:noWrap/>
            <w:hideMark/>
          </w:tcPr>
          <w:p w14:paraId="7BA5D25C" w14:textId="77777777" w:rsidR="00334FA3" w:rsidRPr="007F0FA7" w:rsidRDefault="00334FA3" w:rsidP="00093B44">
            <w:pP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Rural</w:t>
            </w:r>
          </w:p>
        </w:tc>
        <w:tc>
          <w:tcPr>
            <w:tcW w:w="1055" w:type="dxa"/>
            <w:noWrap/>
            <w:hideMark/>
          </w:tcPr>
          <w:p w14:paraId="2383FD26"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877" w:type="dxa"/>
            <w:noWrap/>
            <w:hideMark/>
          </w:tcPr>
          <w:p w14:paraId="199359AC"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c>
          <w:tcPr>
            <w:tcW w:w="1461" w:type="dxa"/>
            <w:noWrap/>
          </w:tcPr>
          <w:p w14:paraId="44E3DE2C"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p>
        </w:tc>
        <w:tc>
          <w:tcPr>
            <w:tcW w:w="1023" w:type="dxa"/>
            <w:noWrap/>
          </w:tcPr>
          <w:p w14:paraId="74CF0AC8"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p>
        </w:tc>
        <w:tc>
          <w:tcPr>
            <w:tcW w:w="1057" w:type="dxa"/>
            <w:noWrap/>
            <w:hideMark/>
          </w:tcPr>
          <w:p w14:paraId="45DDA1D4"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1133" w:type="dxa"/>
            <w:noWrap/>
            <w:hideMark/>
          </w:tcPr>
          <w:p w14:paraId="62960F91"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r>
      <w:tr w:rsidR="005C2B7E" w:rsidRPr="007F0FA7" w14:paraId="42C893A7" w14:textId="77777777" w:rsidTr="002D28C6">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1507" w:type="dxa"/>
            <w:vMerge w:val="restart"/>
          </w:tcPr>
          <w:p w14:paraId="7A8A44C0" w14:textId="77777777" w:rsidR="00334FA3" w:rsidRPr="007F0FA7" w:rsidRDefault="00334FA3" w:rsidP="00093B44">
            <w:pPr>
              <w:jc w:val="center"/>
              <w:rPr>
                <w:rFonts w:ascii="Humanst521 BT" w:hAnsi="Humanst521 BT" w:cs="Arial"/>
                <w:b w:val="0"/>
                <w:bCs w:val="0"/>
                <w:lang w:eastAsia="es-CO"/>
              </w:rPr>
            </w:pPr>
            <w:r w:rsidRPr="007F0FA7">
              <w:rPr>
                <w:rFonts w:ascii="Humanst521 BT" w:hAnsi="Humanst521 BT" w:cs="Arial"/>
                <w:b w:val="0"/>
                <w:bCs w:val="0"/>
                <w:lang w:eastAsia="es-CO"/>
              </w:rPr>
              <w:t>Municipio de Residencia</w:t>
            </w:r>
          </w:p>
        </w:tc>
        <w:tc>
          <w:tcPr>
            <w:tcW w:w="1526" w:type="dxa"/>
            <w:noWrap/>
            <w:hideMark/>
          </w:tcPr>
          <w:p w14:paraId="257C7DA0" w14:textId="77777777" w:rsidR="00334FA3" w:rsidRPr="007F0FA7" w:rsidRDefault="00334FA3" w:rsidP="00093B44">
            <w:pP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Bucaramanga</w:t>
            </w:r>
          </w:p>
        </w:tc>
        <w:tc>
          <w:tcPr>
            <w:tcW w:w="1055" w:type="dxa"/>
            <w:noWrap/>
            <w:hideMark/>
          </w:tcPr>
          <w:p w14:paraId="33EC30FA"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8</w:t>
            </w:r>
          </w:p>
        </w:tc>
        <w:tc>
          <w:tcPr>
            <w:tcW w:w="877" w:type="dxa"/>
            <w:noWrap/>
            <w:hideMark/>
          </w:tcPr>
          <w:p w14:paraId="071FB619"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38,1</w:t>
            </w:r>
          </w:p>
        </w:tc>
        <w:tc>
          <w:tcPr>
            <w:tcW w:w="1461" w:type="dxa"/>
            <w:noWrap/>
            <w:hideMark/>
          </w:tcPr>
          <w:p w14:paraId="6699974D"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9</w:t>
            </w:r>
          </w:p>
        </w:tc>
        <w:tc>
          <w:tcPr>
            <w:tcW w:w="1023" w:type="dxa"/>
            <w:noWrap/>
            <w:hideMark/>
          </w:tcPr>
          <w:p w14:paraId="2D4E43FC"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42,9</w:t>
            </w:r>
          </w:p>
        </w:tc>
        <w:tc>
          <w:tcPr>
            <w:tcW w:w="1057" w:type="dxa"/>
            <w:noWrap/>
            <w:hideMark/>
          </w:tcPr>
          <w:p w14:paraId="2E92DA50"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17</w:t>
            </w:r>
          </w:p>
        </w:tc>
        <w:tc>
          <w:tcPr>
            <w:tcW w:w="1133" w:type="dxa"/>
            <w:noWrap/>
            <w:hideMark/>
          </w:tcPr>
          <w:p w14:paraId="52CDF8A4"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81,0</w:t>
            </w:r>
          </w:p>
        </w:tc>
      </w:tr>
      <w:tr w:rsidR="005C2B7E" w:rsidRPr="007F0FA7" w14:paraId="1539C441" w14:textId="77777777" w:rsidTr="002D28C6">
        <w:trPr>
          <w:trHeight w:val="101"/>
        </w:trPr>
        <w:tc>
          <w:tcPr>
            <w:cnfStyle w:val="001000000000" w:firstRow="0" w:lastRow="0" w:firstColumn="1" w:lastColumn="0" w:oddVBand="0" w:evenVBand="0" w:oddHBand="0" w:evenHBand="0" w:firstRowFirstColumn="0" w:firstRowLastColumn="0" w:lastRowFirstColumn="0" w:lastRowLastColumn="0"/>
            <w:tcW w:w="1507" w:type="dxa"/>
            <w:vMerge/>
          </w:tcPr>
          <w:p w14:paraId="23D552F9" w14:textId="77777777" w:rsidR="00334FA3" w:rsidRPr="007F0FA7" w:rsidRDefault="00334FA3" w:rsidP="00093B44">
            <w:pPr>
              <w:rPr>
                <w:rFonts w:ascii="Humanst521 BT" w:hAnsi="Humanst521 BT" w:cs="Arial"/>
                <w:b w:val="0"/>
                <w:bCs w:val="0"/>
                <w:lang w:eastAsia="es-CO"/>
              </w:rPr>
            </w:pPr>
          </w:p>
        </w:tc>
        <w:tc>
          <w:tcPr>
            <w:tcW w:w="1526" w:type="dxa"/>
            <w:noWrap/>
            <w:hideMark/>
          </w:tcPr>
          <w:p w14:paraId="49DCE41C" w14:textId="77777777" w:rsidR="00334FA3" w:rsidRPr="007F0FA7" w:rsidRDefault="00334FA3" w:rsidP="00093B44">
            <w:pP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Floridablanca</w:t>
            </w:r>
          </w:p>
        </w:tc>
        <w:tc>
          <w:tcPr>
            <w:tcW w:w="1055" w:type="dxa"/>
            <w:noWrap/>
            <w:hideMark/>
          </w:tcPr>
          <w:p w14:paraId="3A27F537"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877" w:type="dxa"/>
            <w:noWrap/>
            <w:hideMark/>
          </w:tcPr>
          <w:p w14:paraId="29F7202A"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c>
          <w:tcPr>
            <w:tcW w:w="1461" w:type="dxa"/>
            <w:noWrap/>
            <w:hideMark/>
          </w:tcPr>
          <w:p w14:paraId="0899B54A"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1023" w:type="dxa"/>
            <w:noWrap/>
            <w:hideMark/>
          </w:tcPr>
          <w:p w14:paraId="0BCC9D0C"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c>
          <w:tcPr>
            <w:tcW w:w="1057" w:type="dxa"/>
            <w:noWrap/>
            <w:hideMark/>
          </w:tcPr>
          <w:p w14:paraId="43B17B93"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2</w:t>
            </w:r>
          </w:p>
        </w:tc>
        <w:tc>
          <w:tcPr>
            <w:tcW w:w="1133" w:type="dxa"/>
            <w:noWrap/>
            <w:hideMark/>
          </w:tcPr>
          <w:p w14:paraId="0ADE824F"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9,5</w:t>
            </w:r>
          </w:p>
        </w:tc>
      </w:tr>
      <w:tr w:rsidR="005C2B7E" w:rsidRPr="007F0FA7" w14:paraId="6CE856C7" w14:textId="77777777" w:rsidTr="002D28C6">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1507" w:type="dxa"/>
            <w:vMerge/>
          </w:tcPr>
          <w:p w14:paraId="642AA3E3" w14:textId="77777777" w:rsidR="00334FA3" w:rsidRPr="007F0FA7" w:rsidRDefault="00334FA3" w:rsidP="00093B44">
            <w:pPr>
              <w:rPr>
                <w:rFonts w:ascii="Humanst521 BT" w:hAnsi="Humanst521 BT" w:cs="Arial"/>
                <w:b w:val="0"/>
                <w:bCs w:val="0"/>
                <w:lang w:eastAsia="es-CO"/>
              </w:rPr>
            </w:pPr>
          </w:p>
        </w:tc>
        <w:tc>
          <w:tcPr>
            <w:tcW w:w="1526" w:type="dxa"/>
            <w:noWrap/>
            <w:hideMark/>
          </w:tcPr>
          <w:p w14:paraId="52DE3718" w14:textId="77777777" w:rsidR="00334FA3" w:rsidRPr="007F0FA7" w:rsidRDefault="00334FA3" w:rsidP="00093B44">
            <w:pP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 xml:space="preserve">Girón </w:t>
            </w:r>
          </w:p>
        </w:tc>
        <w:tc>
          <w:tcPr>
            <w:tcW w:w="1055" w:type="dxa"/>
            <w:noWrap/>
          </w:tcPr>
          <w:p w14:paraId="31F488AF"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p>
        </w:tc>
        <w:tc>
          <w:tcPr>
            <w:tcW w:w="877" w:type="dxa"/>
            <w:noWrap/>
          </w:tcPr>
          <w:p w14:paraId="0D2C69CF"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p>
        </w:tc>
        <w:tc>
          <w:tcPr>
            <w:tcW w:w="1461" w:type="dxa"/>
            <w:noWrap/>
            <w:hideMark/>
          </w:tcPr>
          <w:p w14:paraId="7BE3E191"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1023" w:type="dxa"/>
            <w:noWrap/>
            <w:hideMark/>
          </w:tcPr>
          <w:p w14:paraId="705180CB"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c>
          <w:tcPr>
            <w:tcW w:w="1057" w:type="dxa"/>
            <w:noWrap/>
            <w:hideMark/>
          </w:tcPr>
          <w:p w14:paraId="01C6D52D"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1133" w:type="dxa"/>
            <w:noWrap/>
            <w:hideMark/>
          </w:tcPr>
          <w:p w14:paraId="43ECC257"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r>
      <w:tr w:rsidR="005C2B7E" w:rsidRPr="007F0FA7" w14:paraId="1513FA55" w14:textId="77777777" w:rsidTr="002D28C6">
        <w:trPr>
          <w:trHeight w:val="101"/>
        </w:trPr>
        <w:tc>
          <w:tcPr>
            <w:cnfStyle w:val="001000000000" w:firstRow="0" w:lastRow="0" w:firstColumn="1" w:lastColumn="0" w:oddVBand="0" w:evenVBand="0" w:oddHBand="0" w:evenHBand="0" w:firstRowFirstColumn="0" w:firstRowLastColumn="0" w:lastRowFirstColumn="0" w:lastRowLastColumn="0"/>
            <w:tcW w:w="1507" w:type="dxa"/>
            <w:vMerge/>
          </w:tcPr>
          <w:p w14:paraId="2855F29A" w14:textId="77777777" w:rsidR="00334FA3" w:rsidRPr="007F0FA7" w:rsidRDefault="00334FA3" w:rsidP="00093B44">
            <w:pPr>
              <w:rPr>
                <w:rFonts w:ascii="Humanst521 BT" w:hAnsi="Humanst521 BT" w:cs="Arial"/>
                <w:b w:val="0"/>
                <w:bCs w:val="0"/>
                <w:lang w:eastAsia="es-CO"/>
              </w:rPr>
            </w:pPr>
          </w:p>
        </w:tc>
        <w:tc>
          <w:tcPr>
            <w:tcW w:w="1526" w:type="dxa"/>
            <w:noWrap/>
            <w:hideMark/>
          </w:tcPr>
          <w:p w14:paraId="0448BD6A" w14:textId="77777777" w:rsidR="00334FA3" w:rsidRPr="007F0FA7" w:rsidRDefault="00334FA3" w:rsidP="00093B44">
            <w:pP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cs="Arial"/>
                <w:lang w:eastAsia="es-CO"/>
              </w:rPr>
              <w:t xml:space="preserve">Medellín </w:t>
            </w:r>
          </w:p>
        </w:tc>
        <w:tc>
          <w:tcPr>
            <w:tcW w:w="1055" w:type="dxa"/>
            <w:noWrap/>
            <w:hideMark/>
          </w:tcPr>
          <w:p w14:paraId="75973936"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877" w:type="dxa"/>
            <w:noWrap/>
            <w:hideMark/>
          </w:tcPr>
          <w:p w14:paraId="457AC52D"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c>
          <w:tcPr>
            <w:tcW w:w="1461" w:type="dxa"/>
            <w:noWrap/>
          </w:tcPr>
          <w:p w14:paraId="11EB333B"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p>
        </w:tc>
        <w:tc>
          <w:tcPr>
            <w:tcW w:w="1023" w:type="dxa"/>
            <w:noWrap/>
          </w:tcPr>
          <w:p w14:paraId="071916C9"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p>
        </w:tc>
        <w:tc>
          <w:tcPr>
            <w:tcW w:w="1057" w:type="dxa"/>
            <w:noWrap/>
            <w:hideMark/>
          </w:tcPr>
          <w:p w14:paraId="688BC0E8"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1</w:t>
            </w:r>
          </w:p>
        </w:tc>
        <w:tc>
          <w:tcPr>
            <w:tcW w:w="1133" w:type="dxa"/>
            <w:noWrap/>
            <w:hideMark/>
          </w:tcPr>
          <w:p w14:paraId="547484B5" w14:textId="77777777" w:rsidR="00334FA3" w:rsidRPr="007F0FA7" w:rsidRDefault="00334FA3" w:rsidP="00093B44">
            <w:pPr>
              <w:jc w:val="center"/>
              <w:cnfStyle w:val="000000000000" w:firstRow="0" w:lastRow="0" w:firstColumn="0" w:lastColumn="0" w:oddVBand="0" w:evenVBand="0" w:oddHBand="0" w:evenHBand="0" w:firstRowFirstColumn="0" w:firstRowLastColumn="0" w:lastRowFirstColumn="0" w:lastRowLastColumn="0"/>
              <w:rPr>
                <w:rFonts w:ascii="Humanst521 BT" w:hAnsi="Humanst521 BT" w:cs="Arial"/>
                <w:lang w:eastAsia="es-CO"/>
              </w:rPr>
            </w:pPr>
            <w:r w:rsidRPr="007F0FA7">
              <w:rPr>
                <w:rFonts w:ascii="Humanst521 BT" w:hAnsi="Humanst521 BT"/>
              </w:rPr>
              <w:t>4,8</w:t>
            </w:r>
          </w:p>
        </w:tc>
      </w:tr>
      <w:tr w:rsidR="005C2B7E" w:rsidRPr="007F0FA7" w14:paraId="34F1430F" w14:textId="77777777" w:rsidTr="002D28C6">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3034" w:type="dxa"/>
            <w:gridSpan w:val="2"/>
          </w:tcPr>
          <w:p w14:paraId="3A775BE8" w14:textId="0679ABCE" w:rsidR="00334FA3" w:rsidRPr="007F0FA7" w:rsidRDefault="0013535E" w:rsidP="00093B44">
            <w:pPr>
              <w:jc w:val="center"/>
              <w:rPr>
                <w:rFonts w:ascii="Humanst521 BT" w:hAnsi="Humanst521 BT" w:cs="Arial"/>
                <w:lang w:eastAsia="es-CO"/>
              </w:rPr>
            </w:pPr>
            <w:r w:rsidRPr="007F0FA7">
              <w:rPr>
                <w:rFonts w:ascii="Humanst521 BT" w:hAnsi="Humanst521 BT" w:cs="Arial"/>
                <w:lang w:eastAsia="es-CO"/>
              </w:rPr>
              <w:t>Total</w:t>
            </w:r>
            <w:r w:rsidRPr="007F0FA7">
              <w:rPr>
                <w:rFonts w:ascii="Humanst521 BT" w:hAnsi="Humanst521 BT" w:cs="Arial"/>
                <w:b w:val="0"/>
                <w:bCs w:val="0"/>
                <w:lang w:eastAsia="es-CO"/>
              </w:rPr>
              <w:t>,</w:t>
            </w:r>
            <w:r w:rsidR="00334FA3" w:rsidRPr="007F0FA7">
              <w:rPr>
                <w:rFonts w:ascii="Humanst521 BT" w:hAnsi="Humanst521 BT" w:cs="Arial"/>
                <w:lang w:eastAsia="es-CO"/>
              </w:rPr>
              <w:t xml:space="preserve"> general </w:t>
            </w:r>
          </w:p>
        </w:tc>
        <w:tc>
          <w:tcPr>
            <w:tcW w:w="1055" w:type="dxa"/>
            <w:noWrap/>
            <w:hideMark/>
          </w:tcPr>
          <w:p w14:paraId="100DA2A2"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b/>
                <w:bCs/>
                <w:lang w:eastAsia="es-CO"/>
              </w:rPr>
            </w:pPr>
            <w:r w:rsidRPr="007F0FA7">
              <w:rPr>
                <w:rFonts w:ascii="Humanst521 BT" w:hAnsi="Humanst521 BT"/>
                <w:b/>
                <w:bCs/>
              </w:rPr>
              <w:t>10</w:t>
            </w:r>
          </w:p>
        </w:tc>
        <w:tc>
          <w:tcPr>
            <w:tcW w:w="877" w:type="dxa"/>
            <w:noWrap/>
            <w:hideMark/>
          </w:tcPr>
          <w:p w14:paraId="7624E209"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b/>
                <w:bCs/>
                <w:lang w:eastAsia="es-CO"/>
              </w:rPr>
            </w:pPr>
            <w:r w:rsidRPr="007F0FA7">
              <w:rPr>
                <w:rFonts w:ascii="Humanst521 BT" w:hAnsi="Humanst521 BT"/>
                <w:b/>
                <w:bCs/>
              </w:rPr>
              <w:t>47,6</w:t>
            </w:r>
          </w:p>
        </w:tc>
        <w:tc>
          <w:tcPr>
            <w:tcW w:w="1461" w:type="dxa"/>
            <w:noWrap/>
            <w:hideMark/>
          </w:tcPr>
          <w:p w14:paraId="00007486"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b/>
                <w:bCs/>
                <w:lang w:eastAsia="es-CO"/>
              </w:rPr>
            </w:pPr>
            <w:r w:rsidRPr="007F0FA7">
              <w:rPr>
                <w:rFonts w:ascii="Humanst521 BT" w:hAnsi="Humanst521 BT"/>
                <w:b/>
                <w:bCs/>
              </w:rPr>
              <w:t>11</w:t>
            </w:r>
          </w:p>
        </w:tc>
        <w:tc>
          <w:tcPr>
            <w:tcW w:w="1023" w:type="dxa"/>
            <w:noWrap/>
            <w:hideMark/>
          </w:tcPr>
          <w:p w14:paraId="2C82F8E5"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b/>
                <w:bCs/>
                <w:lang w:eastAsia="es-CO"/>
              </w:rPr>
            </w:pPr>
            <w:r w:rsidRPr="007F0FA7">
              <w:rPr>
                <w:rFonts w:ascii="Humanst521 BT" w:hAnsi="Humanst521 BT"/>
                <w:b/>
                <w:bCs/>
              </w:rPr>
              <w:t>52,4</w:t>
            </w:r>
          </w:p>
        </w:tc>
        <w:tc>
          <w:tcPr>
            <w:tcW w:w="1057" w:type="dxa"/>
            <w:noWrap/>
            <w:hideMark/>
          </w:tcPr>
          <w:p w14:paraId="37933638"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b/>
                <w:bCs/>
                <w:lang w:eastAsia="es-CO"/>
              </w:rPr>
            </w:pPr>
            <w:r w:rsidRPr="007F0FA7">
              <w:rPr>
                <w:rFonts w:ascii="Humanst521 BT" w:hAnsi="Humanst521 BT"/>
                <w:b/>
                <w:bCs/>
              </w:rPr>
              <w:t>21</w:t>
            </w:r>
          </w:p>
        </w:tc>
        <w:tc>
          <w:tcPr>
            <w:tcW w:w="1133" w:type="dxa"/>
            <w:noWrap/>
            <w:hideMark/>
          </w:tcPr>
          <w:p w14:paraId="2593DF7B" w14:textId="77777777" w:rsidR="00334FA3" w:rsidRPr="007F0FA7" w:rsidRDefault="00334FA3" w:rsidP="00093B44">
            <w:pPr>
              <w:jc w:val="center"/>
              <w:cnfStyle w:val="000000100000" w:firstRow="0" w:lastRow="0" w:firstColumn="0" w:lastColumn="0" w:oddVBand="0" w:evenVBand="0" w:oddHBand="1" w:evenHBand="0" w:firstRowFirstColumn="0" w:firstRowLastColumn="0" w:lastRowFirstColumn="0" w:lastRowLastColumn="0"/>
              <w:rPr>
                <w:rFonts w:ascii="Humanst521 BT" w:hAnsi="Humanst521 BT" w:cs="Arial"/>
                <w:b/>
                <w:bCs/>
                <w:lang w:eastAsia="es-CO"/>
              </w:rPr>
            </w:pPr>
            <w:r w:rsidRPr="007F0FA7">
              <w:rPr>
                <w:rFonts w:ascii="Humanst521 BT" w:hAnsi="Humanst521 BT"/>
                <w:b/>
                <w:bCs/>
              </w:rPr>
              <w:t>100,0</w:t>
            </w:r>
          </w:p>
        </w:tc>
      </w:tr>
    </w:tbl>
    <w:p w14:paraId="26A653F8" w14:textId="7340FDE6" w:rsidR="00334FA3" w:rsidRPr="007F0FA7" w:rsidRDefault="00334FA3" w:rsidP="00093B44">
      <w:pPr>
        <w:pStyle w:val="Cita"/>
        <w:spacing w:line="240" w:lineRule="auto"/>
        <w:rPr>
          <w:rFonts w:ascii="Humanst521 BT" w:hAnsi="Humanst521 BT"/>
          <w:sz w:val="22"/>
          <w:szCs w:val="22"/>
        </w:rPr>
      </w:pPr>
      <w:r w:rsidRPr="007F0FA7">
        <w:rPr>
          <w:rFonts w:ascii="Humanst521 BT" w:hAnsi="Humanst521 BT"/>
          <w:sz w:val="22"/>
          <w:szCs w:val="22"/>
        </w:rPr>
        <w:t xml:space="preserve">Fuente: Elaboración propia. Base de datos afiliados: fecha de corte: </w:t>
      </w:r>
      <w:r w:rsidR="00695964">
        <w:rPr>
          <w:rFonts w:ascii="Humanst521 BT" w:hAnsi="Humanst521 BT"/>
          <w:sz w:val="22"/>
          <w:szCs w:val="22"/>
        </w:rPr>
        <w:t>31 dic de 2025</w:t>
      </w:r>
    </w:p>
    <w:p w14:paraId="15EECA72" w14:textId="77777777" w:rsidR="007C0C12" w:rsidRPr="007F0FA7" w:rsidRDefault="007C0C12" w:rsidP="00093B44">
      <w:pPr>
        <w:rPr>
          <w:rFonts w:ascii="Humanst521 BT" w:hAnsi="Humanst521 BT"/>
          <w:b/>
          <w:bCs/>
        </w:rPr>
      </w:pPr>
      <w:bookmarkStart w:id="34" w:name="_Toc159490478"/>
    </w:p>
    <w:p w14:paraId="55F00970" w14:textId="65DE22ED" w:rsidR="00334FA3" w:rsidRPr="007F0FA7" w:rsidRDefault="00334FA3" w:rsidP="00093B44">
      <w:pPr>
        <w:rPr>
          <w:rFonts w:ascii="Humanst521 BT" w:hAnsi="Humanst521 BT"/>
          <w:b/>
          <w:bCs/>
        </w:rPr>
      </w:pPr>
      <w:r w:rsidRPr="007F0FA7">
        <w:rPr>
          <w:rFonts w:ascii="Humanst521 BT" w:hAnsi="Humanst521 BT"/>
          <w:b/>
          <w:bCs/>
        </w:rPr>
        <w:t>Afiliados en condición de discapacidad</w:t>
      </w:r>
      <w:bookmarkEnd w:id="34"/>
    </w:p>
    <w:p w14:paraId="74A6FE4D" w14:textId="77777777" w:rsidR="00334FA3" w:rsidRPr="007F0FA7" w:rsidRDefault="00334FA3" w:rsidP="00093B44">
      <w:pPr>
        <w:rPr>
          <w:rFonts w:ascii="Humanst521 BT" w:hAnsi="Humanst521 BT" w:cs="Arial"/>
          <w:b/>
        </w:rPr>
      </w:pPr>
    </w:p>
    <w:p w14:paraId="7ED1AC63" w14:textId="77777777" w:rsidR="00AD31B9" w:rsidRPr="00AD31B9" w:rsidRDefault="00334FA3" w:rsidP="00AD31B9">
      <w:pPr>
        <w:jc w:val="both"/>
        <w:rPr>
          <w:rFonts w:ascii="Humanst521 BT" w:hAnsi="Humanst521 BT"/>
        </w:rPr>
      </w:pPr>
      <w:r w:rsidRPr="007F0FA7">
        <w:rPr>
          <w:rFonts w:ascii="Humanst521 BT" w:hAnsi="Humanst521 BT" w:cs="Arial"/>
        </w:rPr>
        <w:t>En UISALUD se tiene un reporte de 4</w:t>
      </w:r>
      <w:r w:rsidR="00651CD8" w:rsidRPr="007F0FA7">
        <w:rPr>
          <w:rFonts w:ascii="Humanst521 BT" w:hAnsi="Humanst521 BT" w:cs="Arial"/>
        </w:rPr>
        <w:t>6</w:t>
      </w:r>
      <w:r w:rsidRPr="007F0FA7">
        <w:rPr>
          <w:rFonts w:ascii="Humanst521 BT" w:hAnsi="Humanst521 BT" w:cs="Arial"/>
        </w:rPr>
        <w:t xml:space="preserve"> personas en condición de discapacidad, lo que corresponde al 1,</w:t>
      </w:r>
      <w:r w:rsidR="00CD6842" w:rsidRPr="007F0FA7">
        <w:rPr>
          <w:rFonts w:ascii="Humanst521 BT" w:hAnsi="Humanst521 BT" w:cs="Arial"/>
        </w:rPr>
        <w:t>7</w:t>
      </w:r>
      <w:r w:rsidRPr="007F0FA7">
        <w:rPr>
          <w:rFonts w:ascii="Humanst521 BT" w:hAnsi="Humanst521 BT" w:cs="Arial"/>
        </w:rPr>
        <w:t xml:space="preserve"> del total de afiliados. El 69% son hombres y el 3</w:t>
      </w:r>
      <w:r w:rsidR="00B02D35" w:rsidRPr="007F0FA7">
        <w:rPr>
          <w:rFonts w:ascii="Humanst521 BT" w:hAnsi="Humanst521 BT" w:cs="Arial"/>
        </w:rPr>
        <w:t>1</w:t>
      </w:r>
      <w:r w:rsidRPr="007F0FA7">
        <w:rPr>
          <w:rFonts w:ascii="Humanst521 BT" w:hAnsi="Humanst521 BT" w:cs="Arial"/>
        </w:rPr>
        <w:t xml:space="preserve">% son mujeres, el </w:t>
      </w:r>
      <w:r w:rsidR="00CF7B45" w:rsidRPr="007F0FA7">
        <w:rPr>
          <w:rFonts w:ascii="Humanst521 BT" w:hAnsi="Humanst521 BT" w:cs="Arial"/>
        </w:rPr>
        <w:t>100</w:t>
      </w:r>
      <w:r w:rsidRPr="007F0FA7">
        <w:rPr>
          <w:rFonts w:ascii="Humanst521 BT" w:hAnsi="Humanst521 BT" w:cs="Arial"/>
        </w:rPr>
        <w:t xml:space="preserve">% viven en zona urbana, en su mayoría en Bucaramanga y Floridablanca con el </w:t>
      </w:r>
      <w:r w:rsidR="00283678" w:rsidRPr="007F0FA7">
        <w:rPr>
          <w:rFonts w:ascii="Humanst521 BT" w:hAnsi="Humanst521 BT" w:cs="Arial"/>
        </w:rPr>
        <w:t>71</w:t>
      </w:r>
      <w:r w:rsidRPr="007F0FA7">
        <w:rPr>
          <w:rFonts w:ascii="Humanst521 BT" w:hAnsi="Humanst521 BT" w:cs="Arial"/>
        </w:rPr>
        <w:t xml:space="preserve">% y </w:t>
      </w:r>
      <w:r w:rsidR="00283678" w:rsidRPr="007F0FA7">
        <w:rPr>
          <w:rFonts w:ascii="Humanst521 BT" w:hAnsi="Humanst521 BT" w:cs="Arial"/>
        </w:rPr>
        <w:t>20</w:t>
      </w:r>
      <w:r w:rsidRPr="007F0FA7">
        <w:rPr>
          <w:rFonts w:ascii="Humanst521 BT" w:hAnsi="Humanst521 BT" w:cs="Arial"/>
        </w:rPr>
        <w:t xml:space="preserve">% respectivamente. Respecto a la distribución por ciclo de vida, para la juventud está el 15,2% (7), adultez </w:t>
      </w:r>
      <w:r w:rsidR="007A0914" w:rsidRPr="007F0FA7">
        <w:rPr>
          <w:rFonts w:ascii="Humanst521 BT" w:hAnsi="Humanst521 BT" w:cs="Arial"/>
        </w:rPr>
        <w:t>71,7</w:t>
      </w:r>
      <w:r w:rsidRPr="007F0FA7">
        <w:rPr>
          <w:rFonts w:ascii="Humanst521 BT" w:hAnsi="Humanst521 BT" w:cs="Arial"/>
        </w:rPr>
        <w:t>% (3</w:t>
      </w:r>
      <w:r w:rsidR="007A0914" w:rsidRPr="007F0FA7">
        <w:rPr>
          <w:rFonts w:ascii="Humanst521 BT" w:hAnsi="Humanst521 BT" w:cs="Arial"/>
        </w:rPr>
        <w:t>3</w:t>
      </w:r>
      <w:r w:rsidRPr="007F0FA7">
        <w:rPr>
          <w:rFonts w:ascii="Humanst521 BT" w:hAnsi="Humanst521 BT" w:cs="Arial"/>
        </w:rPr>
        <w:t>) y vejez 10,9% (5). Según tipo de discapacidad el 73,9% (34) son de tipo mental, 15,2% (7) sensorial, 10,9% (5) física.</w:t>
      </w:r>
      <w:r w:rsidR="00AD31B9">
        <w:rPr>
          <w:rFonts w:ascii="Humanst521 BT" w:hAnsi="Humanst521 BT" w:cs="Arial"/>
        </w:rPr>
        <w:t xml:space="preserve"> </w:t>
      </w:r>
      <w:r w:rsidR="00AD31B9" w:rsidRPr="00AD31B9">
        <w:rPr>
          <w:rFonts w:ascii="Humanst521 BT" w:hAnsi="Humanst521 BT"/>
        </w:rPr>
        <w:t>Lo anteriormente mencionado se detalla en la siguiente tabla.</w:t>
      </w:r>
    </w:p>
    <w:p w14:paraId="5B32B6F8" w14:textId="77777777" w:rsidR="00F04504" w:rsidRPr="007F0FA7" w:rsidRDefault="00F04504" w:rsidP="00093B44">
      <w:pPr>
        <w:adjustRightInd w:val="0"/>
        <w:rPr>
          <w:rFonts w:ascii="Humanst521 BT" w:hAnsi="Humanst521 BT" w:cs="Arial"/>
        </w:rPr>
      </w:pPr>
    </w:p>
    <w:p w14:paraId="153B369F" w14:textId="462555FD" w:rsidR="00334FA3" w:rsidRDefault="00334FA3" w:rsidP="00093B44">
      <w:pPr>
        <w:pStyle w:val="Descripcin"/>
        <w:keepNext/>
        <w:spacing w:line="240" w:lineRule="auto"/>
        <w:rPr>
          <w:rFonts w:ascii="Humanst521 BT" w:eastAsia="Verdana" w:hAnsi="Humanst521 BT" w:cs="Verdana"/>
          <w:b w:val="0"/>
          <w:bCs w:val="0"/>
          <w:color w:val="auto"/>
          <w:sz w:val="22"/>
          <w:szCs w:val="22"/>
          <w:lang w:val="es-ES"/>
        </w:rPr>
      </w:pPr>
      <w:bookmarkStart w:id="35" w:name="_Toc160090326"/>
      <w:bookmarkStart w:id="36" w:name="_Toc231286251"/>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7E563D">
        <w:rPr>
          <w:rFonts w:ascii="Humanst521 BT" w:eastAsia="Verdana" w:hAnsi="Humanst521 BT" w:cs="Verdana"/>
          <w:b w:val="0"/>
          <w:bCs w:val="0"/>
          <w:noProof/>
          <w:color w:val="auto"/>
          <w:sz w:val="22"/>
          <w:szCs w:val="22"/>
          <w:lang w:val="es-ES"/>
        </w:rPr>
        <w:t>6</w:t>
      </w:r>
      <w:r w:rsidRPr="007F0FA7">
        <w:rPr>
          <w:rFonts w:ascii="Humanst521 BT" w:eastAsia="Verdana" w:hAnsi="Humanst521 BT" w:cs="Verdana"/>
          <w:b w:val="0"/>
          <w:bCs w:val="0"/>
          <w:color w:val="auto"/>
          <w:sz w:val="22"/>
          <w:szCs w:val="22"/>
          <w:lang w:val="es-ES"/>
        </w:rPr>
        <w:fldChar w:fldCharType="end"/>
      </w:r>
      <w:r w:rsidR="00FB1F4E">
        <w:rPr>
          <w:rFonts w:ascii="Humanst521 BT" w:eastAsia="Verdana" w:hAnsi="Humanst521 BT" w:cs="Verdana"/>
          <w:b w:val="0"/>
          <w:bCs w:val="0"/>
          <w:color w:val="auto"/>
          <w:sz w:val="22"/>
          <w:szCs w:val="22"/>
          <w:lang w:val="es-ES"/>
        </w:rPr>
        <w:t xml:space="preserve">. </w:t>
      </w:r>
      <w:r w:rsidRPr="007F0FA7">
        <w:rPr>
          <w:rFonts w:ascii="Humanst521 BT" w:eastAsia="Verdana" w:hAnsi="Humanst521 BT" w:cs="Verdana"/>
          <w:b w:val="0"/>
          <w:bCs w:val="0"/>
          <w:color w:val="auto"/>
          <w:sz w:val="22"/>
          <w:szCs w:val="22"/>
          <w:lang w:val="es-ES"/>
        </w:rPr>
        <w:t xml:space="preserve"> </w:t>
      </w:r>
      <w:r w:rsidR="0027335B" w:rsidRPr="007F0FA7">
        <w:rPr>
          <w:rFonts w:ascii="Humanst521 BT" w:eastAsia="Verdana" w:hAnsi="Humanst521 BT" w:cs="Verdana"/>
          <w:b w:val="0"/>
          <w:bCs w:val="0"/>
          <w:color w:val="auto"/>
          <w:sz w:val="22"/>
          <w:szCs w:val="22"/>
          <w:lang w:val="es-ES"/>
        </w:rPr>
        <w:t>Afiliados en</w:t>
      </w:r>
      <w:r w:rsidRPr="007F0FA7">
        <w:rPr>
          <w:rFonts w:ascii="Humanst521 BT" w:eastAsia="Verdana" w:hAnsi="Humanst521 BT" w:cs="Verdana"/>
          <w:b w:val="0"/>
          <w:bCs w:val="0"/>
          <w:color w:val="auto"/>
          <w:sz w:val="22"/>
          <w:szCs w:val="22"/>
          <w:lang w:val="es-ES"/>
        </w:rPr>
        <w:t xml:space="preserve"> condición de discapacidad </w:t>
      </w:r>
      <w:r w:rsidR="0027335B" w:rsidRPr="007F0FA7">
        <w:rPr>
          <w:rFonts w:ascii="Humanst521 BT" w:eastAsia="Verdana" w:hAnsi="Humanst521 BT" w:cs="Verdana"/>
          <w:b w:val="0"/>
          <w:bCs w:val="0"/>
          <w:color w:val="auto"/>
          <w:sz w:val="22"/>
          <w:szCs w:val="22"/>
          <w:lang w:val="es-ES"/>
        </w:rPr>
        <w:t xml:space="preserve">por </w:t>
      </w:r>
      <w:r w:rsidR="00FB1F4E">
        <w:rPr>
          <w:rFonts w:ascii="Humanst521 BT" w:eastAsia="Verdana" w:hAnsi="Humanst521 BT" w:cs="Verdana"/>
          <w:b w:val="0"/>
          <w:bCs w:val="0"/>
          <w:color w:val="auto"/>
          <w:sz w:val="22"/>
          <w:szCs w:val="22"/>
          <w:lang w:val="es-ES"/>
        </w:rPr>
        <w:t xml:space="preserve">ciclo </w:t>
      </w:r>
      <w:proofErr w:type="gramStart"/>
      <w:r w:rsidR="00FB1F4E">
        <w:rPr>
          <w:rFonts w:ascii="Humanst521 BT" w:eastAsia="Verdana" w:hAnsi="Humanst521 BT" w:cs="Verdana"/>
          <w:b w:val="0"/>
          <w:bCs w:val="0"/>
          <w:color w:val="auto"/>
          <w:sz w:val="22"/>
          <w:szCs w:val="22"/>
          <w:lang w:val="es-ES"/>
        </w:rPr>
        <w:t xml:space="preserve">vital </w:t>
      </w:r>
      <w:r w:rsidR="0027335B" w:rsidRPr="007F0FA7">
        <w:rPr>
          <w:rFonts w:ascii="Humanst521 BT" w:eastAsia="Verdana" w:hAnsi="Humanst521 BT" w:cs="Verdana"/>
          <w:b w:val="0"/>
          <w:bCs w:val="0"/>
          <w:color w:val="auto"/>
          <w:sz w:val="22"/>
          <w:szCs w:val="22"/>
          <w:lang w:val="es-ES"/>
        </w:rPr>
        <w:t xml:space="preserve"> y</w:t>
      </w:r>
      <w:proofErr w:type="gramEnd"/>
      <w:r w:rsidR="0027335B" w:rsidRPr="007F0FA7">
        <w:rPr>
          <w:rFonts w:ascii="Humanst521 BT" w:eastAsia="Verdana" w:hAnsi="Humanst521 BT" w:cs="Verdana"/>
          <w:b w:val="0"/>
          <w:bCs w:val="0"/>
          <w:color w:val="auto"/>
          <w:sz w:val="22"/>
          <w:szCs w:val="22"/>
          <w:lang w:val="es-ES"/>
        </w:rPr>
        <w:t xml:space="preserve"> </w:t>
      </w:r>
      <w:r w:rsidR="004D2B2D" w:rsidRPr="007F0FA7">
        <w:rPr>
          <w:rFonts w:ascii="Humanst521 BT" w:eastAsia="Verdana" w:hAnsi="Humanst521 BT" w:cs="Verdana"/>
          <w:b w:val="0"/>
          <w:bCs w:val="0"/>
          <w:color w:val="auto"/>
          <w:sz w:val="22"/>
          <w:szCs w:val="22"/>
          <w:lang w:val="es-ES"/>
        </w:rPr>
        <w:t xml:space="preserve">sexo </w:t>
      </w:r>
      <w:r w:rsidRPr="007F0FA7">
        <w:rPr>
          <w:rFonts w:ascii="Humanst521 BT" w:eastAsia="Verdana" w:hAnsi="Humanst521 BT" w:cs="Verdana"/>
          <w:b w:val="0"/>
          <w:bCs w:val="0"/>
          <w:color w:val="auto"/>
          <w:sz w:val="22"/>
          <w:szCs w:val="22"/>
          <w:lang w:val="es-ES"/>
        </w:rPr>
        <w:t>UISALUD</w:t>
      </w:r>
      <w:bookmarkEnd w:id="35"/>
      <w:bookmarkEnd w:id="36"/>
    </w:p>
    <w:tbl>
      <w:tblPr>
        <w:tblW w:w="5000" w:type="pct"/>
        <w:tblCellMar>
          <w:left w:w="70" w:type="dxa"/>
          <w:right w:w="70" w:type="dxa"/>
        </w:tblCellMar>
        <w:tblLook w:val="04A0" w:firstRow="1" w:lastRow="0" w:firstColumn="1" w:lastColumn="0" w:noHBand="0" w:noVBand="1"/>
      </w:tblPr>
      <w:tblGrid>
        <w:gridCol w:w="1215"/>
        <w:gridCol w:w="2177"/>
        <w:gridCol w:w="1843"/>
        <w:gridCol w:w="567"/>
        <w:gridCol w:w="851"/>
        <w:gridCol w:w="425"/>
        <w:gridCol w:w="992"/>
        <w:gridCol w:w="683"/>
        <w:gridCol w:w="787"/>
      </w:tblGrid>
      <w:tr w:rsidR="00BD79F6" w:rsidRPr="000712D6" w14:paraId="030D7046" w14:textId="77777777" w:rsidTr="00B71C3E">
        <w:trPr>
          <w:trHeight w:val="510"/>
        </w:trPr>
        <w:tc>
          <w:tcPr>
            <w:tcW w:w="637" w:type="pc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2DA03BEE"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Calibri"/>
                <w:b/>
                <w:bCs/>
                <w:color w:val="000000"/>
                <w:sz w:val="20"/>
              </w:rPr>
              <w:t>Ciudad de residencia</w:t>
            </w:r>
            <w:r w:rsidRPr="000712D6">
              <w:rPr>
                <w:rFonts w:ascii="Humanst521 BT" w:hAnsi="Humanst521 BT" w:cs="Calibri"/>
                <w:color w:val="000000"/>
                <w:sz w:val="20"/>
              </w:rPr>
              <w:t xml:space="preserve"> </w:t>
            </w:r>
          </w:p>
        </w:tc>
        <w:tc>
          <w:tcPr>
            <w:tcW w:w="1141" w:type="pct"/>
            <w:tcBorders>
              <w:top w:val="single" w:sz="8" w:space="0" w:color="67B93E"/>
              <w:left w:val="nil"/>
              <w:bottom w:val="single" w:sz="8" w:space="0" w:color="67B93E"/>
              <w:right w:val="single" w:sz="8" w:space="0" w:color="67B93E"/>
            </w:tcBorders>
            <w:shd w:val="clear" w:color="000000" w:fill="C5E0B3"/>
            <w:vAlign w:val="center"/>
            <w:hideMark/>
          </w:tcPr>
          <w:p w14:paraId="7727D6F9"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Ciclo de Vida</w:t>
            </w:r>
          </w:p>
        </w:tc>
        <w:tc>
          <w:tcPr>
            <w:tcW w:w="966" w:type="pct"/>
            <w:tcBorders>
              <w:top w:val="single" w:sz="8" w:space="0" w:color="67B93E"/>
              <w:left w:val="nil"/>
              <w:bottom w:val="single" w:sz="8" w:space="0" w:color="67B93E"/>
              <w:right w:val="single" w:sz="8" w:space="0" w:color="67B93E"/>
            </w:tcBorders>
            <w:shd w:val="clear" w:color="000000" w:fill="C5E0B3"/>
            <w:vAlign w:val="center"/>
            <w:hideMark/>
          </w:tcPr>
          <w:p w14:paraId="4E6F1387"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Calibri"/>
                <w:b/>
                <w:bCs/>
                <w:color w:val="000000"/>
                <w:sz w:val="20"/>
              </w:rPr>
              <w:t>Tipo de discapacidad</w:t>
            </w:r>
          </w:p>
        </w:tc>
        <w:tc>
          <w:tcPr>
            <w:tcW w:w="297" w:type="pct"/>
            <w:tcBorders>
              <w:top w:val="single" w:sz="8" w:space="0" w:color="67B93E"/>
              <w:left w:val="nil"/>
              <w:bottom w:val="single" w:sz="8" w:space="0" w:color="67B93E"/>
              <w:right w:val="single" w:sz="8" w:space="0" w:color="67B93E"/>
            </w:tcBorders>
            <w:shd w:val="clear" w:color="000000" w:fill="C5E0B3"/>
            <w:vAlign w:val="center"/>
            <w:hideMark/>
          </w:tcPr>
          <w:p w14:paraId="164D12AA"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Calibri"/>
                <w:b/>
                <w:bCs/>
                <w:color w:val="000000"/>
                <w:sz w:val="20"/>
              </w:rPr>
              <w:t>F</w:t>
            </w:r>
          </w:p>
        </w:tc>
        <w:tc>
          <w:tcPr>
            <w:tcW w:w="446" w:type="pct"/>
            <w:tcBorders>
              <w:top w:val="single" w:sz="8" w:space="0" w:color="67B93E"/>
              <w:left w:val="nil"/>
              <w:bottom w:val="single" w:sz="8" w:space="0" w:color="67B93E"/>
              <w:right w:val="single" w:sz="8" w:space="0" w:color="67B93E"/>
            </w:tcBorders>
            <w:shd w:val="clear" w:color="000000" w:fill="C5E0B3"/>
            <w:vAlign w:val="center"/>
            <w:hideMark/>
          </w:tcPr>
          <w:p w14:paraId="25D1B776"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Calibri"/>
                <w:b/>
                <w:bCs/>
                <w:color w:val="000000"/>
                <w:sz w:val="20"/>
              </w:rPr>
              <w:t>% Part.</w:t>
            </w:r>
            <w:r w:rsidRPr="000712D6">
              <w:rPr>
                <w:rFonts w:ascii="Humanst521 BT" w:hAnsi="Humanst521 BT" w:cs="Calibri"/>
                <w:color w:val="000000"/>
                <w:sz w:val="20"/>
              </w:rPr>
              <w:t xml:space="preserve"> </w:t>
            </w:r>
          </w:p>
        </w:tc>
        <w:tc>
          <w:tcPr>
            <w:tcW w:w="223" w:type="pct"/>
            <w:tcBorders>
              <w:top w:val="single" w:sz="8" w:space="0" w:color="67B93E"/>
              <w:left w:val="nil"/>
              <w:bottom w:val="single" w:sz="8" w:space="0" w:color="67B93E"/>
              <w:right w:val="single" w:sz="8" w:space="0" w:color="67B93E"/>
            </w:tcBorders>
            <w:shd w:val="clear" w:color="000000" w:fill="C5E0B3"/>
            <w:vAlign w:val="center"/>
            <w:hideMark/>
          </w:tcPr>
          <w:p w14:paraId="7977EA14"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Calibri"/>
                <w:b/>
                <w:bCs/>
                <w:color w:val="000000"/>
                <w:sz w:val="20"/>
              </w:rPr>
              <w:t>M</w:t>
            </w:r>
          </w:p>
        </w:tc>
        <w:tc>
          <w:tcPr>
            <w:tcW w:w="520" w:type="pct"/>
            <w:tcBorders>
              <w:top w:val="single" w:sz="8" w:space="0" w:color="67B93E"/>
              <w:left w:val="nil"/>
              <w:bottom w:val="single" w:sz="8" w:space="0" w:color="67B93E"/>
              <w:right w:val="single" w:sz="8" w:space="0" w:color="67B93E"/>
            </w:tcBorders>
            <w:shd w:val="clear" w:color="000000" w:fill="C5E0B3"/>
            <w:vAlign w:val="center"/>
            <w:hideMark/>
          </w:tcPr>
          <w:p w14:paraId="085BF4A9"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Calibri"/>
                <w:b/>
                <w:bCs/>
                <w:color w:val="000000"/>
                <w:sz w:val="20"/>
              </w:rPr>
              <w:t>% Part.</w:t>
            </w:r>
            <w:r w:rsidRPr="000712D6">
              <w:rPr>
                <w:rFonts w:ascii="Humanst521 BT" w:hAnsi="Humanst521 BT" w:cs="Calibri"/>
                <w:color w:val="000000"/>
                <w:sz w:val="20"/>
              </w:rPr>
              <w:t xml:space="preserve"> </w:t>
            </w:r>
          </w:p>
        </w:tc>
        <w:tc>
          <w:tcPr>
            <w:tcW w:w="358" w:type="pct"/>
            <w:tcBorders>
              <w:top w:val="single" w:sz="8" w:space="0" w:color="67B93E"/>
              <w:left w:val="nil"/>
              <w:bottom w:val="single" w:sz="8" w:space="0" w:color="67B93E"/>
              <w:right w:val="single" w:sz="8" w:space="0" w:color="67B93E"/>
            </w:tcBorders>
            <w:shd w:val="clear" w:color="000000" w:fill="C5E0B3"/>
            <w:vAlign w:val="center"/>
            <w:hideMark/>
          </w:tcPr>
          <w:p w14:paraId="4AC5A061"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Calibri"/>
                <w:b/>
                <w:bCs/>
                <w:color w:val="000000"/>
                <w:sz w:val="20"/>
              </w:rPr>
              <w:t>Total</w:t>
            </w:r>
          </w:p>
        </w:tc>
        <w:tc>
          <w:tcPr>
            <w:tcW w:w="412" w:type="pct"/>
            <w:tcBorders>
              <w:top w:val="single" w:sz="8" w:space="0" w:color="67B93E"/>
              <w:left w:val="nil"/>
              <w:bottom w:val="single" w:sz="8" w:space="0" w:color="67B93E"/>
              <w:right w:val="single" w:sz="8" w:space="0" w:color="67B93E"/>
            </w:tcBorders>
            <w:shd w:val="clear" w:color="000000" w:fill="C5E0B3"/>
            <w:vAlign w:val="center"/>
            <w:hideMark/>
          </w:tcPr>
          <w:p w14:paraId="1AA690CB"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Calibri"/>
                <w:b/>
                <w:bCs/>
                <w:color w:val="000000"/>
                <w:sz w:val="20"/>
              </w:rPr>
              <w:t>% Part.</w:t>
            </w:r>
            <w:r w:rsidRPr="000712D6">
              <w:rPr>
                <w:rFonts w:ascii="Humanst521 BT" w:hAnsi="Humanst521 BT" w:cs="Calibri"/>
                <w:color w:val="000000"/>
                <w:sz w:val="20"/>
              </w:rPr>
              <w:t xml:space="preserve"> </w:t>
            </w:r>
            <w:r w:rsidRPr="000712D6">
              <w:rPr>
                <w:rFonts w:ascii="Humanst521 BT" w:hAnsi="Humanst521 BT" w:cs="Calibri"/>
                <w:b/>
                <w:bCs/>
                <w:color w:val="000000"/>
                <w:sz w:val="20"/>
              </w:rPr>
              <w:t xml:space="preserve"> </w:t>
            </w:r>
          </w:p>
        </w:tc>
      </w:tr>
      <w:tr w:rsidR="00BD79F6" w:rsidRPr="000712D6" w14:paraId="4F2C41B2" w14:textId="77777777" w:rsidTr="00B71C3E">
        <w:trPr>
          <w:trHeight w:val="270"/>
        </w:trPr>
        <w:tc>
          <w:tcPr>
            <w:tcW w:w="637" w:type="pct"/>
            <w:tcBorders>
              <w:top w:val="nil"/>
              <w:left w:val="single" w:sz="8" w:space="0" w:color="67B93E"/>
              <w:bottom w:val="single" w:sz="8" w:space="0" w:color="67B93E"/>
              <w:right w:val="single" w:sz="8" w:space="0" w:color="67B93E"/>
            </w:tcBorders>
            <w:shd w:val="clear" w:color="000000" w:fill="FFFFFF"/>
            <w:vAlign w:val="center"/>
            <w:hideMark/>
          </w:tcPr>
          <w:p w14:paraId="3598ED92" w14:textId="77777777" w:rsidR="00004AEB" w:rsidRPr="000712D6" w:rsidRDefault="00004AEB" w:rsidP="00561C56">
            <w:pPr>
              <w:autoSpaceDE/>
              <w:autoSpaceDN/>
              <w:rPr>
                <w:rFonts w:ascii="Humanst521 BT" w:hAnsi="Humanst521 BT" w:cs="Arial"/>
                <w:b/>
                <w:bCs/>
                <w:color w:val="000000"/>
                <w:sz w:val="20"/>
              </w:rPr>
            </w:pPr>
            <w:r w:rsidRPr="000712D6">
              <w:rPr>
                <w:rFonts w:ascii="Humanst521 BT" w:hAnsi="Humanst521 BT" w:cs="Calibri"/>
                <w:b/>
                <w:bCs/>
                <w:color w:val="000000"/>
                <w:sz w:val="20"/>
              </w:rPr>
              <w:t>Bogotá</w:t>
            </w:r>
          </w:p>
        </w:tc>
        <w:tc>
          <w:tcPr>
            <w:tcW w:w="1141" w:type="pct"/>
            <w:tcBorders>
              <w:top w:val="nil"/>
              <w:left w:val="nil"/>
              <w:bottom w:val="single" w:sz="8" w:space="0" w:color="67B93E"/>
              <w:right w:val="single" w:sz="8" w:space="0" w:color="67B93E"/>
            </w:tcBorders>
            <w:shd w:val="clear" w:color="000000" w:fill="FFFFFF"/>
            <w:vAlign w:val="center"/>
            <w:hideMark/>
          </w:tcPr>
          <w:p w14:paraId="46DEC019"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Vejez (60 Y Más Años)</w:t>
            </w:r>
          </w:p>
        </w:tc>
        <w:tc>
          <w:tcPr>
            <w:tcW w:w="966" w:type="pct"/>
            <w:tcBorders>
              <w:top w:val="nil"/>
              <w:left w:val="nil"/>
              <w:bottom w:val="single" w:sz="8" w:space="0" w:color="67B93E"/>
              <w:right w:val="single" w:sz="8" w:space="0" w:color="67B93E"/>
            </w:tcBorders>
            <w:shd w:val="clear" w:color="000000" w:fill="FFFFFF"/>
            <w:vAlign w:val="center"/>
            <w:hideMark/>
          </w:tcPr>
          <w:p w14:paraId="6A7C698E"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Psicosocial - Mental</w:t>
            </w:r>
          </w:p>
        </w:tc>
        <w:tc>
          <w:tcPr>
            <w:tcW w:w="297" w:type="pct"/>
            <w:tcBorders>
              <w:top w:val="nil"/>
              <w:left w:val="nil"/>
              <w:bottom w:val="single" w:sz="8" w:space="0" w:color="67B93E"/>
              <w:right w:val="single" w:sz="8" w:space="0" w:color="67B93E"/>
            </w:tcBorders>
            <w:shd w:val="clear" w:color="000000" w:fill="FFFFFF"/>
            <w:vAlign w:val="center"/>
            <w:hideMark/>
          </w:tcPr>
          <w:p w14:paraId="41EA4AB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46" w:type="pct"/>
            <w:tcBorders>
              <w:top w:val="nil"/>
              <w:left w:val="nil"/>
              <w:bottom w:val="single" w:sz="8" w:space="0" w:color="67B93E"/>
              <w:right w:val="single" w:sz="8" w:space="0" w:color="67B93E"/>
            </w:tcBorders>
            <w:shd w:val="clear" w:color="000000" w:fill="FFFFFF"/>
            <w:vAlign w:val="center"/>
            <w:hideMark/>
          </w:tcPr>
          <w:p w14:paraId="54406DE6"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6,67%</w:t>
            </w:r>
          </w:p>
        </w:tc>
        <w:tc>
          <w:tcPr>
            <w:tcW w:w="223" w:type="pct"/>
            <w:tcBorders>
              <w:top w:val="nil"/>
              <w:left w:val="nil"/>
              <w:bottom w:val="single" w:sz="8" w:space="0" w:color="67B93E"/>
              <w:right w:val="single" w:sz="8" w:space="0" w:color="67B93E"/>
            </w:tcBorders>
            <w:shd w:val="clear" w:color="000000" w:fill="FFFFFF"/>
            <w:vAlign w:val="center"/>
            <w:hideMark/>
          </w:tcPr>
          <w:p w14:paraId="46C4E539"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520" w:type="pct"/>
            <w:tcBorders>
              <w:top w:val="nil"/>
              <w:left w:val="nil"/>
              <w:bottom w:val="single" w:sz="8" w:space="0" w:color="67B93E"/>
              <w:right w:val="single" w:sz="8" w:space="0" w:color="67B93E"/>
            </w:tcBorders>
            <w:shd w:val="clear" w:color="000000" w:fill="FFFFFF"/>
            <w:vAlign w:val="center"/>
            <w:hideMark/>
          </w:tcPr>
          <w:p w14:paraId="0A9A9F4A" w14:textId="1EE07BD0" w:rsidR="00004AEB" w:rsidRPr="000712D6" w:rsidRDefault="00004AEB" w:rsidP="00561C56">
            <w:pPr>
              <w:autoSpaceDE/>
              <w:autoSpaceDN/>
              <w:jc w:val="center"/>
              <w:rPr>
                <w:rFonts w:ascii="Humanst521 BT" w:hAnsi="Humanst521 BT" w:cs="Arial"/>
                <w:color w:val="000000"/>
                <w:sz w:val="20"/>
              </w:rPr>
            </w:pPr>
          </w:p>
        </w:tc>
        <w:tc>
          <w:tcPr>
            <w:tcW w:w="358" w:type="pct"/>
            <w:tcBorders>
              <w:top w:val="nil"/>
              <w:left w:val="nil"/>
              <w:bottom w:val="single" w:sz="8" w:space="0" w:color="67B93E"/>
              <w:right w:val="single" w:sz="8" w:space="0" w:color="67B93E"/>
            </w:tcBorders>
            <w:shd w:val="clear" w:color="000000" w:fill="FFFFFF"/>
            <w:vAlign w:val="center"/>
            <w:hideMark/>
          </w:tcPr>
          <w:p w14:paraId="68DD9CB7"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12" w:type="pct"/>
            <w:tcBorders>
              <w:top w:val="nil"/>
              <w:left w:val="nil"/>
              <w:bottom w:val="single" w:sz="8" w:space="0" w:color="67B93E"/>
              <w:right w:val="single" w:sz="8" w:space="0" w:color="67B93E"/>
            </w:tcBorders>
            <w:shd w:val="clear" w:color="000000" w:fill="FFFFFF"/>
            <w:vAlign w:val="center"/>
            <w:hideMark/>
          </w:tcPr>
          <w:p w14:paraId="18D21996"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2,13%</w:t>
            </w:r>
          </w:p>
        </w:tc>
      </w:tr>
      <w:tr w:rsidR="00BD79F6" w:rsidRPr="000712D6" w14:paraId="4A334173" w14:textId="77777777" w:rsidTr="00B71C3E">
        <w:trPr>
          <w:trHeight w:val="270"/>
        </w:trPr>
        <w:tc>
          <w:tcPr>
            <w:tcW w:w="637" w:type="pct"/>
            <w:vMerge w:val="restart"/>
            <w:tcBorders>
              <w:top w:val="nil"/>
              <w:left w:val="single" w:sz="8" w:space="0" w:color="67B93E"/>
              <w:bottom w:val="single" w:sz="8" w:space="0" w:color="67B93E"/>
              <w:right w:val="single" w:sz="8" w:space="0" w:color="67B93E"/>
            </w:tcBorders>
            <w:shd w:val="clear" w:color="000000" w:fill="FFFFFF"/>
            <w:hideMark/>
          </w:tcPr>
          <w:p w14:paraId="6FE117F6" w14:textId="77777777" w:rsidR="00004AEB" w:rsidRPr="000712D6" w:rsidRDefault="00004AEB" w:rsidP="00561C56">
            <w:pPr>
              <w:autoSpaceDE/>
              <w:autoSpaceDN/>
              <w:rPr>
                <w:rFonts w:ascii="Humanst521 BT" w:hAnsi="Humanst521 BT" w:cs="Arial"/>
                <w:b/>
                <w:bCs/>
                <w:color w:val="000000"/>
                <w:sz w:val="20"/>
              </w:rPr>
            </w:pPr>
            <w:r w:rsidRPr="000712D6">
              <w:rPr>
                <w:rFonts w:ascii="Humanst521 BT" w:hAnsi="Humanst521 BT" w:cs="Arial"/>
                <w:b/>
                <w:bCs/>
                <w:color w:val="000000"/>
                <w:sz w:val="20"/>
              </w:rPr>
              <w:t xml:space="preserve">Bucaramanga                                                   </w:t>
            </w:r>
          </w:p>
        </w:tc>
        <w:tc>
          <w:tcPr>
            <w:tcW w:w="1141" w:type="pct"/>
            <w:vMerge w:val="restart"/>
            <w:tcBorders>
              <w:top w:val="nil"/>
              <w:left w:val="single" w:sz="8" w:space="0" w:color="67B93E"/>
              <w:bottom w:val="single" w:sz="8" w:space="0" w:color="67B93E"/>
              <w:right w:val="single" w:sz="8" w:space="0" w:color="67B93E"/>
            </w:tcBorders>
            <w:shd w:val="clear" w:color="000000" w:fill="F2F2F2"/>
            <w:vAlign w:val="center"/>
            <w:hideMark/>
          </w:tcPr>
          <w:p w14:paraId="29613174"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Adulto (29 A 59 Años)</w:t>
            </w:r>
          </w:p>
        </w:tc>
        <w:tc>
          <w:tcPr>
            <w:tcW w:w="966" w:type="pct"/>
            <w:tcBorders>
              <w:top w:val="nil"/>
              <w:left w:val="nil"/>
              <w:bottom w:val="single" w:sz="8" w:space="0" w:color="67B93E"/>
              <w:right w:val="single" w:sz="8" w:space="0" w:color="67B93E"/>
            </w:tcBorders>
            <w:shd w:val="clear" w:color="000000" w:fill="F2F2F2"/>
            <w:vAlign w:val="center"/>
            <w:hideMark/>
          </w:tcPr>
          <w:p w14:paraId="10B2F700"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Física</w:t>
            </w:r>
          </w:p>
        </w:tc>
        <w:tc>
          <w:tcPr>
            <w:tcW w:w="297" w:type="pct"/>
            <w:tcBorders>
              <w:top w:val="nil"/>
              <w:left w:val="nil"/>
              <w:bottom w:val="single" w:sz="8" w:space="0" w:color="67B93E"/>
              <w:right w:val="single" w:sz="8" w:space="0" w:color="67B93E"/>
            </w:tcBorders>
            <w:shd w:val="clear" w:color="000000" w:fill="F2F2F2"/>
            <w:vAlign w:val="center"/>
            <w:hideMark/>
          </w:tcPr>
          <w:p w14:paraId="3CBA75E5"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446" w:type="pct"/>
            <w:tcBorders>
              <w:top w:val="nil"/>
              <w:left w:val="nil"/>
              <w:bottom w:val="single" w:sz="8" w:space="0" w:color="67B93E"/>
              <w:right w:val="single" w:sz="8" w:space="0" w:color="67B93E"/>
            </w:tcBorders>
            <w:shd w:val="clear" w:color="000000" w:fill="F2F2F2"/>
            <w:vAlign w:val="center"/>
            <w:hideMark/>
          </w:tcPr>
          <w:p w14:paraId="5849A330" w14:textId="5B4C8360" w:rsidR="00004AEB" w:rsidRPr="000712D6" w:rsidRDefault="00004AEB" w:rsidP="00561C56">
            <w:pPr>
              <w:autoSpaceDE/>
              <w:autoSpaceDN/>
              <w:jc w:val="center"/>
              <w:rPr>
                <w:rFonts w:ascii="Humanst521 BT" w:hAnsi="Humanst521 BT" w:cs="Arial"/>
                <w:color w:val="000000"/>
                <w:sz w:val="20"/>
              </w:rPr>
            </w:pPr>
          </w:p>
        </w:tc>
        <w:tc>
          <w:tcPr>
            <w:tcW w:w="223" w:type="pct"/>
            <w:tcBorders>
              <w:top w:val="nil"/>
              <w:left w:val="nil"/>
              <w:bottom w:val="single" w:sz="8" w:space="0" w:color="67B93E"/>
              <w:right w:val="single" w:sz="8" w:space="0" w:color="67B93E"/>
            </w:tcBorders>
            <w:shd w:val="clear" w:color="000000" w:fill="F2F2F2"/>
            <w:vAlign w:val="center"/>
            <w:hideMark/>
          </w:tcPr>
          <w:p w14:paraId="1C064FD7"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520" w:type="pct"/>
            <w:tcBorders>
              <w:top w:val="nil"/>
              <w:left w:val="nil"/>
              <w:bottom w:val="single" w:sz="8" w:space="0" w:color="67B93E"/>
              <w:right w:val="single" w:sz="8" w:space="0" w:color="67B93E"/>
            </w:tcBorders>
            <w:shd w:val="clear" w:color="000000" w:fill="F2F2F2"/>
            <w:vAlign w:val="center"/>
            <w:hideMark/>
          </w:tcPr>
          <w:p w14:paraId="3931B80F"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6,25%</w:t>
            </w:r>
          </w:p>
        </w:tc>
        <w:tc>
          <w:tcPr>
            <w:tcW w:w="358" w:type="pct"/>
            <w:tcBorders>
              <w:top w:val="nil"/>
              <w:left w:val="nil"/>
              <w:bottom w:val="single" w:sz="8" w:space="0" w:color="67B93E"/>
              <w:right w:val="single" w:sz="8" w:space="0" w:color="67B93E"/>
            </w:tcBorders>
            <w:shd w:val="clear" w:color="000000" w:fill="F2F2F2"/>
            <w:vAlign w:val="center"/>
            <w:hideMark/>
          </w:tcPr>
          <w:p w14:paraId="436EDFD4"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412" w:type="pct"/>
            <w:tcBorders>
              <w:top w:val="nil"/>
              <w:left w:val="nil"/>
              <w:bottom w:val="single" w:sz="8" w:space="0" w:color="67B93E"/>
              <w:right w:val="single" w:sz="8" w:space="0" w:color="67B93E"/>
            </w:tcBorders>
            <w:shd w:val="clear" w:color="000000" w:fill="F2F2F2"/>
            <w:vAlign w:val="center"/>
            <w:hideMark/>
          </w:tcPr>
          <w:p w14:paraId="0F8DB3B1"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4,26%</w:t>
            </w:r>
          </w:p>
        </w:tc>
      </w:tr>
      <w:tr w:rsidR="00BD79F6" w:rsidRPr="000712D6" w14:paraId="0A1BE284" w14:textId="77777777" w:rsidTr="00B71C3E">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2B62C2CD" w14:textId="77777777" w:rsidR="00004AEB" w:rsidRPr="000712D6" w:rsidRDefault="00004AEB" w:rsidP="00561C56">
            <w:pPr>
              <w:autoSpaceDE/>
              <w:autoSpaceDN/>
              <w:rPr>
                <w:rFonts w:ascii="Humanst521 BT" w:hAnsi="Humanst521 BT" w:cs="Arial"/>
                <w:b/>
                <w:bCs/>
                <w:color w:val="000000"/>
                <w:sz w:val="20"/>
              </w:rPr>
            </w:pPr>
          </w:p>
        </w:tc>
        <w:tc>
          <w:tcPr>
            <w:tcW w:w="1141" w:type="pct"/>
            <w:vMerge/>
            <w:tcBorders>
              <w:top w:val="nil"/>
              <w:left w:val="single" w:sz="8" w:space="0" w:color="67B93E"/>
              <w:bottom w:val="single" w:sz="8" w:space="0" w:color="67B93E"/>
              <w:right w:val="single" w:sz="8" w:space="0" w:color="67B93E"/>
            </w:tcBorders>
            <w:vAlign w:val="center"/>
            <w:hideMark/>
          </w:tcPr>
          <w:p w14:paraId="06D80D24" w14:textId="77777777" w:rsidR="00004AEB" w:rsidRPr="000712D6" w:rsidRDefault="00004AEB" w:rsidP="00B71C3E">
            <w:pPr>
              <w:autoSpaceDE/>
              <w:autoSpaceDN/>
              <w:jc w:val="both"/>
              <w:rPr>
                <w:rFonts w:ascii="Humanst521 BT" w:hAnsi="Humanst521 BT" w:cs="Arial"/>
                <w:color w:val="000000"/>
                <w:sz w:val="20"/>
              </w:rPr>
            </w:pPr>
          </w:p>
        </w:tc>
        <w:tc>
          <w:tcPr>
            <w:tcW w:w="966" w:type="pct"/>
            <w:tcBorders>
              <w:top w:val="nil"/>
              <w:left w:val="nil"/>
              <w:bottom w:val="single" w:sz="8" w:space="0" w:color="67B93E"/>
              <w:right w:val="single" w:sz="8" w:space="0" w:color="67B93E"/>
            </w:tcBorders>
            <w:shd w:val="clear" w:color="000000" w:fill="FFFFFF"/>
            <w:vAlign w:val="center"/>
            <w:hideMark/>
          </w:tcPr>
          <w:p w14:paraId="297CC950"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Psicosocial - Mental</w:t>
            </w:r>
          </w:p>
        </w:tc>
        <w:tc>
          <w:tcPr>
            <w:tcW w:w="297" w:type="pct"/>
            <w:tcBorders>
              <w:top w:val="nil"/>
              <w:left w:val="nil"/>
              <w:bottom w:val="single" w:sz="8" w:space="0" w:color="67B93E"/>
              <w:right w:val="single" w:sz="8" w:space="0" w:color="67B93E"/>
            </w:tcBorders>
            <w:shd w:val="clear" w:color="000000" w:fill="FFFFFF"/>
            <w:vAlign w:val="center"/>
            <w:hideMark/>
          </w:tcPr>
          <w:p w14:paraId="3343D47C"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5</w:t>
            </w:r>
          </w:p>
        </w:tc>
        <w:tc>
          <w:tcPr>
            <w:tcW w:w="446" w:type="pct"/>
            <w:tcBorders>
              <w:top w:val="nil"/>
              <w:left w:val="nil"/>
              <w:bottom w:val="single" w:sz="8" w:space="0" w:color="67B93E"/>
              <w:right w:val="single" w:sz="8" w:space="0" w:color="67B93E"/>
            </w:tcBorders>
            <w:shd w:val="clear" w:color="000000" w:fill="FFFFFF"/>
            <w:vAlign w:val="center"/>
            <w:hideMark/>
          </w:tcPr>
          <w:p w14:paraId="4C3B6B65"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33,33%</w:t>
            </w:r>
          </w:p>
        </w:tc>
        <w:tc>
          <w:tcPr>
            <w:tcW w:w="223" w:type="pct"/>
            <w:tcBorders>
              <w:top w:val="nil"/>
              <w:left w:val="nil"/>
              <w:bottom w:val="single" w:sz="8" w:space="0" w:color="67B93E"/>
              <w:right w:val="single" w:sz="8" w:space="0" w:color="67B93E"/>
            </w:tcBorders>
            <w:shd w:val="clear" w:color="000000" w:fill="FFFFFF"/>
            <w:vAlign w:val="center"/>
            <w:hideMark/>
          </w:tcPr>
          <w:p w14:paraId="1E93CD1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11</w:t>
            </w:r>
          </w:p>
        </w:tc>
        <w:tc>
          <w:tcPr>
            <w:tcW w:w="520" w:type="pct"/>
            <w:tcBorders>
              <w:top w:val="nil"/>
              <w:left w:val="nil"/>
              <w:bottom w:val="single" w:sz="8" w:space="0" w:color="67B93E"/>
              <w:right w:val="single" w:sz="8" w:space="0" w:color="67B93E"/>
            </w:tcBorders>
            <w:shd w:val="clear" w:color="000000" w:fill="FFFFFF"/>
            <w:vAlign w:val="center"/>
            <w:hideMark/>
          </w:tcPr>
          <w:p w14:paraId="272EFB0A"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34,38%</w:t>
            </w:r>
          </w:p>
        </w:tc>
        <w:tc>
          <w:tcPr>
            <w:tcW w:w="358" w:type="pct"/>
            <w:tcBorders>
              <w:top w:val="nil"/>
              <w:left w:val="nil"/>
              <w:bottom w:val="single" w:sz="8" w:space="0" w:color="67B93E"/>
              <w:right w:val="single" w:sz="8" w:space="0" w:color="67B93E"/>
            </w:tcBorders>
            <w:shd w:val="clear" w:color="000000" w:fill="FFFFFF"/>
            <w:vAlign w:val="center"/>
            <w:hideMark/>
          </w:tcPr>
          <w:p w14:paraId="50617DC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16</w:t>
            </w:r>
          </w:p>
        </w:tc>
        <w:tc>
          <w:tcPr>
            <w:tcW w:w="412" w:type="pct"/>
            <w:tcBorders>
              <w:top w:val="nil"/>
              <w:left w:val="nil"/>
              <w:bottom w:val="single" w:sz="8" w:space="0" w:color="67B93E"/>
              <w:right w:val="single" w:sz="8" w:space="0" w:color="67B93E"/>
            </w:tcBorders>
            <w:shd w:val="clear" w:color="000000" w:fill="FFFFFF"/>
            <w:vAlign w:val="center"/>
            <w:hideMark/>
          </w:tcPr>
          <w:p w14:paraId="47224E1F"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34,04%</w:t>
            </w:r>
          </w:p>
        </w:tc>
      </w:tr>
      <w:tr w:rsidR="00BD79F6" w:rsidRPr="000712D6" w14:paraId="37279FA9" w14:textId="77777777" w:rsidTr="00B71C3E">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6ACDA0F7" w14:textId="77777777" w:rsidR="00004AEB" w:rsidRPr="000712D6" w:rsidRDefault="00004AEB" w:rsidP="00561C56">
            <w:pPr>
              <w:autoSpaceDE/>
              <w:autoSpaceDN/>
              <w:rPr>
                <w:rFonts w:ascii="Humanst521 BT" w:hAnsi="Humanst521 BT" w:cs="Arial"/>
                <w:b/>
                <w:bCs/>
                <w:color w:val="000000"/>
                <w:sz w:val="20"/>
              </w:rPr>
            </w:pPr>
          </w:p>
        </w:tc>
        <w:tc>
          <w:tcPr>
            <w:tcW w:w="1141" w:type="pct"/>
            <w:vMerge/>
            <w:tcBorders>
              <w:top w:val="nil"/>
              <w:left w:val="single" w:sz="8" w:space="0" w:color="67B93E"/>
              <w:bottom w:val="single" w:sz="8" w:space="0" w:color="67B93E"/>
              <w:right w:val="single" w:sz="8" w:space="0" w:color="67B93E"/>
            </w:tcBorders>
            <w:vAlign w:val="center"/>
            <w:hideMark/>
          </w:tcPr>
          <w:p w14:paraId="6DA51AB7" w14:textId="77777777" w:rsidR="00004AEB" w:rsidRPr="000712D6" w:rsidRDefault="00004AEB" w:rsidP="00B71C3E">
            <w:pPr>
              <w:autoSpaceDE/>
              <w:autoSpaceDN/>
              <w:jc w:val="both"/>
              <w:rPr>
                <w:rFonts w:ascii="Humanst521 BT" w:hAnsi="Humanst521 BT" w:cs="Arial"/>
                <w:color w:val="000000"/>
                <w:sz w:val="20"/>
              </w:rPr>
            </w:pPr>
          </w:p>
        </w:tc>
        <w:tc>
          <w:tcPr>
            <w:tcW w:w="966" w:type="pct"/>
            <w:tcBorders>
              <w:top w:val="nil"/>
              <w:left w:val="nil"/>
              <w:bottom w:val="single" w:sz="8" w:space="0" w:color="67B93E"/>
              <w:right w:val="single" w:sz="8" w:space="0" w:color="67B93E"/>
            </w:tcBorders>
            <w:shd w:val="clear" w:color="auto" w:fill="F2F2F2" w:themeFill="background1" w:themeFillShade="F2"/>
            <w:vAlign w:val="center"/>
            <w:hideMark/>
          </w:tcPr>
          <w:p w14:paraId="71FEC967"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Sensorial</w:t>
            </w:r>
          </w:p>
        </w:tc>
        <w:tc>
          <w:tcPr>
            <w:tcW w:w="297" w:type="pct"/>
            <w:tcBorders>
              <w:top w:val="nil"/>
              <w:left w:val="nil"/>
              <w:bottom w:val="single" w:sz="8" w:space="0" w:color="67B93E"/>
              <w:right w:val="single" w:sz="8" w:space="0" w:color="67B93E"/>
            </w:tcBorders>
            <w:shd w:val="clear" w:color="auto" w:fill="F2F2F2" w:themeFill="background1" w:themeFillShade="F2"/>
            <w:vAlign w:val="center"/>
            <w:hideMark/>
          </w:tcPr>
          <w:p w14:paraId="5681560C"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46" w:type="pct"/>
            <w:tcBorders>
              <w:top w:val="nil"/>
              <w:left w:val="nil"/>
              <w:bottom w:val="single" w:sz="8" w:space="0" w:color="67B93E"/>
              <w:right w:val="single" w:sz="8" w:space="0" w:color="67B93E"/>
            </w:tcBorders>
            <w:shd w:val="clear" w:color="auto" w:fill="F2F2F2" w:themeFill="background1" w:themeFillShade="F2"/>
            <w:vAlign w:val="center"/>
            <w:hideMark/>
          </w:tcPr>
          <w:p w14:paraId="3ACEFE46"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6,67%</w:t>
            </w:r>
          </w:p>
        </w:tc>
        <w:tc>
          <w:tcPr>
            <w:tcW w:w="223" w:type="pct"/>
            <w:tcBorders>
              <w:top w:val="nil"/>
              <w:left w:val="nil"/>
              <w:bottom w:val="single" w:sz="8" w:space="0" w:color="67B93E"/>
              <w:right w:val="single" w:sz="8" w:space="0" w:color="67B93E"/>
            </w:tcBorders>
            <w:shd w:val="clear" w:color="auto" w:fill="F2F2F2" w:themeFill="background1" w:themeFillShade="F2"/>
            <w:vAlign w:val="center"/>
            <w:hideMark/>
          </w:tcPr>
          <w:p w14:paraId="31FD9D3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5</w:t>
            </w:r>
          </w:p>
        </w:tc>
        <w:tc>
          <w:tcPr>
            <w:tcW w:w="520" w:type="pct"/>
            <w:tcBorders>
              <w:top w:val="nil"/>
              <w:left w:val="nil"/>
              <w:bottom w:val="single" w:sz="8" w:space="0" w:color="67B93E"/>
              <w:right w:val="single" w:sz="8" w:space="0" w:color="67B93E"/>
            </w:tcBorders>
            <w:shd w:val="clear" w:color="auto" w:fill="F2F2F2" w:themeFill="background1" w:themeFillShade="F2"/>
            <w:vAlign w:val="center"/>
            <w:hideMark/>
          </w:tcPr>
          <w:p w14:paraId="698451DE"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15,63%</w:t>
            </w:r>
          </w:p>
        </w:tc>
        <w:tc>
          <w:tcPr>
            <w:tcW w:w="358" w:type="pct"/>
            <w:tcBorders>
              <w:top w:val="nil"/>
              <w:left w:val="nil"/>
              <w:bottom w:val="single" w:sz="8" w:space="0" w:color="67B93E"/>
              <w:right w:val="single" w:sz="8" w:space="0" w:color="67B93E"/>
            </w:tcBorders>
            <w:shd w:val="clear" w:color="auto" w:fill="F2F2F2" w:themeFill="background1" w:themeFillShade="F2"/>
            <w:vAlign w:val="center"/>
            <w:hideMark/>
          </w:tcPr>
          <w:p w14:paraId="14458F29"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w:t>
            </w:r>
          </w:p>
        </w:tc>
        <w:tc>
          <w:tcPr>
            <w:tcW w:w="412" w:type="pct"/>
            <w:tcBorders>
              <w:top w:val="nil"/>
              <w:left w:val="nil"/>
              <w:bottom w:val="single" w:sz="8" w:space="0" w:color="67B93E"/>
              <w:right w:val="single" w:sz="8" w:space="0" w:color="67B93E"/>
            </w:tcBorders>
            <w:shd w:val="clear" w:color="auto" w:fill="F2F2F2" w:themeFill="background1" w:themeFillShade="F2"/>
            <w:vAlign w:val="center"/>
            <w:hideMark/>
          </w:tcPr>
          <w:p w14:paraId="4B91E5BF"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12,77%</w:t>
            </w:r>
          </w:p>
        </w:tc>
      </w:tr>
      <w:tr w:rsidR="00BD79F6" w:rsidRPr="000712D6" w14:paraId="13A524C3" w14:textId="77777777" w:rsidTr="00B71C3E">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0624F6FB" w14:textId="77777777" w:rsidR="00004AEB" w:rsidRPr="000712D6" w:rsidRDefault="00004AEB" w:rsidP="00561C56">
            <w:pPr>
              <w:autoSpaceDE/>
              <w:autoSpaceDN/>
              <w:rPr>
                <w:rFonts w:ascii="Humanst521 BT" w:hAnsi="Humanst521 BT" w:cs="Arial"/>
                <w:b/>
                <w:bCs/>
                <w:color w:val="000000"/>
                <w:sz w:val="20"/>
              </w:rPr>
            </w:pPr>
          </w:p>
        </w:tc>
        <w:tc>
          <w:tcPr>
            <w:tcW w:w="1141" w:type="pct"/>
            <w:tcBorders>
              <w:top w:val="nil"/>
              <w:left w:val="nil"/>
              <w:bottom w:val="single" w:sz="8" w:space="0" w:color="67B93E"/>
              <w:right w:val="single" w:sz="8" w:space="0" w:color="67B93E"/>
            </w:tcBorders>
            <w:shd w:val="clear" w:color="000000" w:fill="F2F2F2"/>
            <w:vAlign w:val="center"/>
            <w:hideMark/>
          </w:tcPr>
          <w:p w14:paraId="5323B3D4"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Infancia (6 A 11 Años)</w:t>
            </w:r>
          </w:p>
        </w:tc>
        <w:tc>
          <w:tcPr>
            <w:tcW w:w="966" w:type="pct"/>
            <w:tcBorders>
              <w:top w:val="nil"/>
              <w:left w:val="nil"/>
              <w:bottom w:val="single" w:sz="8" w:space="0" w:color="67B93E"/>
              <w:right w:val="single" w:sz="8" w:space="0" w:color="67B93E"/>
            </w:tcBorders>
            <w:shd w:val="clear" w:color="000000" w:fill="F2F2F2"/>
            <w:vAlign w:val="center"/>
            <w:hideMark/>
          </w:tcPr>
          <w:p w14:paraId="1BB6B225"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Arial"/>
                <w:color w:val="000000"/>
                <w:sz w:val="20"/>
              </w:rPr>
              <w:t>Auditiva</w:t>
            </w:r>
          </w:p>
        </w:tc>
        <w:tc>
          <w:tcPr>
            <w:tcW w:w="297" w:type="pct"/>
            <w:tcBorders>
              <w:top w:val="nil"/>
              <w:left w:val="nil"/>
              <w:bottom w:val="single" w:sz="8" w:space="0" w:color="67B93E"/>
              <w:right w:val="single" w:sz="8" w:space="0" w:color="67B93E"/>
            </w:tcBorders>
            <w:shd w:val="clear" w:color="000000" w:fill="F2F2F2"/>
            <w:vAlign w:val="center"/>
            <w:hideMark/>
          </w:tcPr>
          <w:p w14:paraId="4ADCFF05"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46" w:type="pct"/>
            <w:tcBorders>
              <w:top w:val="nil"/>
              <w:left w:val="nil"/>
              <w:bottom w:val="single" w:sz="8" w:space="0" w:color="67B93E"/>
              <w:right w:val="single" w:sz="8" w:space="0" w:color="67B93E"/>
            </w:tcBorders>
            <w:shd w:val="clear" w:color="000000" w:fill="F2F2F2"/>
            <w:vAlign w:val="center"/>
            <w:hideMark/>
          </w:tcPr>
          <w:p w14:paraId="1B304AE5"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6,67%</w:t>
            </w:r>
          </w:p>
        </w:tc>
        <w:tc>
          <w:tcPr>
            <w:tcW w:w="223" w:type="pct"/>
            <w:tcBorders>
              <w:top w:val="nil"/>
              <w:left w:val="nil"/>
              <w:bottom w:val="single" w:sz="8" w:space="0" w:color="67B93E"/>
              <w:right w:val="single" w:sz="8" w:space="0" w:color="67B93E"/>
            </w:tcBorders>
            <w:shd w:val="clear" w:color="000000" w:fill="F2F2F2"/>
            <w:vAlign w:val="center"/>
            <w:hideMark/>
          </w:tcPr>
          <w:p w14:paraId="26B5F22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520" w:type="pct"/>
            <w:tcBorders>
              <w:top w:val="nil"/>
              <w:left w:val="nil"/>
              <w:bottom w:val="single" w:sz="8" w:space="0" w:color="67B93E"/>
              <w:right w:val="single" w:sz="8" w:space="0" w:color="67B93E"/>
            </w:tcBorders>
            <w:shd w:val="clear" w:color="000000" w:fill="F2F2F2"/>
            <w:vAlign w:val="center"/>
            <w:hideMark/>
          </w:tcPr>
          <w:p w14:paraId="2D16CC0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0,00%</w:t>
            </w:r>
          </w:p>
        </w:tc>
        <w:tc>
          <w:tcPr>
            <w:tcW w:w="358" w:type="pct"/>
            <w:tcBorders>
              <w:top w:val="nil"/>
              <w:left w:val="nil"/>
              <w:bottom w:val="single" w:sz="8" w:space="0" w:color="67B93E"/>
              <w:right w:val="single" w:sz="8" w:space="0" w:color="67B93E"/>
            </w:tcBorders>
            <w:shd w:val="clear" w:color="000000" w:fill="F2F2F2"/>
            <w:vAlign w:val="center"/>
            <w:hideMark/>
          </w:tcPr>
          <w:p w14:paraId="5E9D3168"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12" w:type="pct"/>
            <w:tcBorders>
              <w:top w:val="nil"/>
              <w:left w:val="nil"/>
              <w:bottom w:val="single" w:sz="8" w:space="0" w:color="67B93E"/>
              <w:right w:val="single" w:sz="8" w:space="0" w:color="67B93E"/>
            </w:tcBorders>
            <w:shd w:val="clear" w:color="000000" w:fill="F2F2F2"/>
            <w:vAlign w:val="center"/>
            <w:hideMark/>
          </w:tcPr>
          <w:p w14:paraId="4F7D43F6"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2,13%</w:t>
            </w:r>
          </w:p>
        </w:tc>
      </w:tr>
      <w:tr w:rsidR="00BD79F6" w:rsidRPr="000712D6" w14:paraId="20E122B5" w14:textId="77777777" w:rsidTr="00B71C3E">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41801200" w14:textId="77777777" w:rsidR="00004AEB" w:rsidRPr="000712D6" w:rsidRDefault="00004AEB" w:rsidP="00561C56">
            <w:pPr>
              <w:autoSpaceDE/>
              <w:autoSpaceDN/>
              <w:rPr>
                <w:rFonts w:ascii="Humanst521 BT" w:hAnsi="Humanst521 BT" w:cs="Arial"/>
                <w:b/>
                <w:bCs/>
                <w:color w:val="000000"/>
                <w:sz w:val="20"/>
              </w:rPr>
            </w:pPr>
          </w:p>
        </w:tc>
        <w:tc>
          <w:tcPr>
            <w:tcW w:w="1141" w:type="pct"/>
            <w:tcBorders>
              <w:top w:val="nil"/>
              <w:left w:val="nil"/>
              <w:bottom w:val="single" w:sz="8" w:space="0" w:color="67B93E"/>
              <w:right w:val="single" w:sz="8" w:space="0" w:color="67B93E"/>
            </w:tcBorders>
            <w:shd w:val="clear" w:color="auto" w:fill="auto"/>
            <w:vAlign w:val="center"/>
            <w:hideMark/>
          </w:tcPr>
          <w:p w14:paraId="693F5693" w14:textId="77777777" w:rsidR="00004AEB" w:rsidRPr="00B71C3E" w:rsidRDefault="00004AEB" w:rsidP="00B71C3E">
            <w:pPr>
              <w:autoSpaceDE/>
              <w:autoSpaceDN/>
              <w:jc w:val="both"/>
              <w:rPr>
                <w:rFonts w:ascii="Humanst521 BT" w:hAnsi="Humanst521 BT" w:cs="Arial"/>
                <w:color w:val="000000"/>
                <w:sz w:val="20"/>
              </w:rPr>
            </w:pPr>
            <w:r w:rsidRPr="00B71C3E">
              <w:rPr>
                <w:rFonts w:ascii="Humanst521 BT" w:hAnsi="Humanst521 BT" w:cs="Arial"/>
                <w:color w:val="000000"/>
                <w:sz w:val="20"/>
              </w:rPr>
              <w:t>Joven (18 A 28 Años)</w:t>
            </w:r>
          </w:p>
        </w:tc>
        <w:tc>
          <w:tcPr>
            <w:tcW w:w="966" w:type="pct"/>
            <w:tcBorders>
              <w:top w:val="nil"/>
              <w:left w:val="nil"/>
              <w:bottom w:val="single" w:sz="8" w:space="0" w:color="67B93E"/>
              <w:right w:val="single" w:sz="8" w:space="0" w:color="67B93E"/>
            </w:tcBorders>
            <w:shd w:val="clear" w:color="000000" w:fill="F2F2F2"/>
            <w:vAlign w:val="center"/>
            <w:hideMark/>
          </w:tcPr>
          <w:p w14:paraId="3DE937AB"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Psicosocial - Mental</w:t>
            </w:r>
          </w:p>
        </w:tc>
        <w:tc>
          <w:tcPr>
            <w:tcW w:w="297" w:type="pct"/>
            <w:tcBorders>
              <w:top w:val="nil"/>
              <w:left w:val="nil"/>
              <w:bottom w:val="single" w:sz="8" w:space="0" w:color="67B93E"/>
              <w:right w:val="single" w:sz="8" w:space="0" w:color="67B93E"/>
            </w:tcBorders>
            <w:shd w:val="clear" w:color="000000" w:fill="F2F2F2"/>
            <w:vAlign w:val="center"/>
            <w:hideMark/>
          </w:tcPr>
          <w:p w14:paraId="37097509"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446" w:type="pct"/>
            <w:tcBorders>
              <w:top w:val="nil"/>
              <w:left w:val="nil"/>
              <w:bottom w:val="single" w:sz="8" w:space="0" w:color="67B93E"/>
              <w:right w:val="single" w:sz="8" w:space="0" w:color="67B93E"/>
            </w:tcBorders>
            <w:shd w:val="clear" w:color="000000" w:fill="F2F2F2"/>
            <w:vAlign w:val="center"/>
            <w:hideMark/>
          </w:tcPr>
          <w:p w14:paraId="00DBB2EA"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13,33%</w:t>
            </w:r>
          </w:p>
        </w:tc>
        <w:tc>
          <w:tcPr>
            <w:tcW w:w="223" w:type="pct"/>
            <w:tcBorders>
              <w:top w:val="nil"/>
              <w:left w:val="nil"/>
              <w:bottom w:val="single" w:sz="8" w:space="0" w:color="67B93E"/>
              <w:right w:val="single" w:sz="8" w:space="0" w:color="67B93E"/>
            </w:tcBorders>
            <w:shd w:val="clear" w:color="000000" w:fill="F2F2F2"/>
            <w:vAlign w:val="center"/>
            <w:hideMark/>
          </w:tcPr>
          <w:p w14:paraId="076B69EB"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w:t>
            </w:r>
          </w:p>
        </w:tc>
        <w:tc>
          <w:tcPr>
            <w:tcW w:w="520" w:type="pct"/>
            <w:tcBorders>
              <w:top w:val="nil"/>
              <w:left w:val="nil"/>
              <w:bottom w:val="single" w:sz="8" w:space="0" w:color="67B93E"/>
              <w:right w:val="single" w:sz="8" w:space="0" w:color="67B93E"/>
            </w:tcBorders>
            <w:shd w:val="clear" w:color="000000" w:fill="F2F2F2"/>
            <w:vAlign w:val="center"/>
            <w:hideMark/>
          </w:tcPr>
          <w:p w14:paraId="3ECB049C"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9,38%</w:t>
            </w:r>
          </w:p>
        </w:tc>
        <w:tc>
          <w:tcPr>
            <w:tcW w:w="358" w:type="pct"/>
            <w:tcBorders>
              <w:top w:val="nil"/>
              <w:left w:val="nil"/>
              <w:bottom w:val="single" w:sz="8" w:space="0" w:color="67B93E"/>
              <w:right w:val="single" w:sz="8" w:space="0" w:color="67B93E"/>
            </w:tcBorders>
            <w:shd w:val="clear" w:color="000000" w:fill="F2F2F2"/>
            <w:vAlign w:val="center"/>
            <w:hideMark/>
          </w:tcPr>
          <w:p w14:paraId="0D7CA868"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5</w:t>
            </w:r>
          </w:p>
        </w:tc>
        <w:tc>
          <w:tcPr>
            <w:tcW w:w="412" w:type="pct"/>
            <w:tcBorders>
              <w:top w:val="nil"/>
              <w:left w:val="nil"/>
              <w:bottom w:val="single" w:sz="8" w:space="0" w:color="67B93E"/>
              <w:right w:val="single" w:sz="8" w:space="0" w:color="67B93E"/>
            </w:tcBorders>
            <w:shd w:val="clear" w:color="000000" w:fill="F2F2F2"/>
            <w:vAlign w:val="center"/>
            <w:hideMark/>
          </w:tcPr>
          <w:p w14:paraId="025563C5"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10,64%</w:t>
            </w:r>
          </w:p>
        </w:tc>
      </w:tr>
      <w:tr w:rsidR="00BD79F6" w:rsidRPr="000712D6" w14:paraId="773BFBED" w14:textId="77777777" w:rsidTr="00531532">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77FD3EB0" w14:textId="77777777" w:rsidR="00004AEB" w:rsidRPr="000712D6" w:rsidRDefault="00004AEB" w:rsidP="00561C56">
            <w:pPr>
              <w:autoSpaceDE/>
              <w:autoSpaceDN/>
              <w:rPr>
                <w:rFonts w:ascii="Humanst521 BT" w:hAnsi="Humanst521 BT" w:cs="Arial"/>
                <w:b/>
                <w:bCs/>
                <w:color w:val="000000"/>
                <w:sz w:val="20"/>
              </w:rPr>
            </w:pPr>
          </w:p>
        </w:tc>
        <w:tc>
          <w:tcPr>
            <w:tcW w:w="1141" w:type="pct"/>
            <w:vMerge w:val="restart"/>
            <w:tcBorders>
              <w:top w:val="nil"/>
              <w:left w:val="single" w:sz="8" w:space="0" w:color="67B93E"/>
              <w:bottom w:val="single" w:sz="8" w:space="0" w:color="67B93E"/>
              <w:right w:val="single" w:sz="8" w:space="0" w:color="67B93E"/>
            </w:tcBorders>
            <w:shd w:val="clear" w:color="000000" w:fill="F2F2F2"/>
            <w:vAlign w:val="center"/>
            <w:hideMark/>
          </w:tcPr>
          <w:p w14:paraId="495ADAFA"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Vejez (60 Y Más Años)</w:t>
            </w:r>
          </w:p>
        </w:tc>
        <w:tc>
          <w:tcPr>
            <w:tcW w:w="966" w:type="pct"/>
            <w:tcBorders>
              <w:top w:val="nil"/>
              <w:left w:val="nil"/>
              <w:bottom w:val="single" w:sz="8" w:space="0" w:color="67B93E"/>
              <w:right w:val="single" w:sz="8" w:space="0" w:color="67B93E"/>
            </w:tcBorders>
            <w:shd w:val="clear" w:color="000000" w:fill="F2F2F2"/>
            <w:vAlign w:val="center"/>
            <w:hideMark/>
          </w:tcPr>
          <w:p w14:paraId="3D8F782B"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Física</w:t>
            </w:r>
          </w:p>
        </w:tc>
        <w:tc>
          <w:tcPr>
            <w:tcW w:w="297" w:type="pct"/>
            <w:tcBorders>
              <w:top w:val="nil"/>
              <w:left w:val="nil"/>
              <w:bottom w:val="single" w:sz="8" w:space="0" w:color="67B93E"/>
              <w:right w:val="single" w:sz="8" w:space="0" w:color="67B93E"/>
            </w:tcBorders>
            <w:shd w:val="clear" w:color="000000" w:fill="F2F2F2"/>
            <w:vAlign w:val="center"/>
            <w:hideMark/>
          </w:tcPr>
          <w:p w14:paraId="4401F12C"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446" w:type="pct"/>
            <w:tcBorders>
              <w:top w:val="nil"/>
              <w:left w:val="nil"/>
              <w:bottom w:val="single" w:sz="8" w:space="0" w:color="67B93E"/>
              <w:right w:val="single" w:sz="8" w:space="0" w:color="67B93E"/>
            </w:tcBorders>
            <w:shd w:val="clear" w:color="000000" w:fill="F2F2F2"/>
            <w:vAlign w:val="center"/>
          </w:tcPr>
          <w:p w14:paraId="198DFFE0" w14:textId="2158E5D9" w:rsidR="00004AEB" w:rsidRPr="000712D6" w:rsidRDefault="00004AEB" w:rsidP="00561C56">
            <w:pPr>
              <w:autoSpaceDE/>
              <w:autoSpaceDN/>
              <w:jc w:val="center"/>
              <w:rPr>
                <w:rFonts w:ascii="Humanst521 BT" w:hAnsi="Humanst521 BT" w:cs="Arial"/>
                <w:color w:val="000000"/>
                <w:sz w:val="20"/>
              </w:rPr>
            </w:pPr>
          </w:p>
        </w:tc>
        <w:tc>
          <w:tcPr>
            <w:tcW w:w="223" w:type="pct"/>
            <w:tcBorders>
              <w:top w:val="nil"/>
              <w:left w:val="nil"/>
              <w:bottom w:val="single" w:sz="8" w:space="0" w:color="67B93E"/>
              <w:right w:val="single" w:sz="8" w:space="0" w:color="67B93E"/>
            </w:tcBorders>
            <w:shd w:val="clear" w:color="000000" w:fill="F2F2F2"/>
            <w:vAlign w:val="center"/>
            <w:hideMark/>
          </w:tcPr>
          <w:p w14:paraId="779DF483"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520" w:type="pct"/>
            <w:tcBorders>
              <w:top w:val="nil"/>
              <w:left w:val="nil"/>
              <w:bottom w:val="single" w:sz="8" w:space="0" w:color="67B93E"/>
              <w:right w:val="single" w:sz="8" w:space="0" w:color="67B93E"/>
            </w:tcBorders>
            <w:shd w:val="clear" w:color="000000" w:fill="F2F2F2"/>
            <w:vAlign w:val="center"/>
            <w:hideMark/>
          </w:tcPr>
          <w:p w14:paraId="01BA3204"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3,13%</w:t>
            </w:r>
          </w:p>
        </w:tc>
        <w:tc>
          <w:tcPr>
            <w:tcW w:w="358" w:type="pct"/>
            <w:tcBorders>
              <w:top w:val="nil"/>
              <w:left w:val="nil"/>
              <w:bottom w:val="single" w:sz="8" w:space="0" w:color="67B93E"/>
              <w:right w:val="single" w:sz="8" w:space="0" w:color="67B93E"/>
            </w:tcBorders>
            <w:shd w:val="clear" w:color="000000" w:fill="F2F2F2"/>
            <w:vAlign w:val="center"/>
            <w:hideMark/>
          </w:tcPr>
          <w:p w14:paraId="5F1D70A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12" w:type="pct"/>
            <w:tcBorders>
              <w:top w:val="nil"/>
              <w:left w:val="nil"/>
              <w:bottom w:val="single" w:sz="8" w:space="0" w:color="67B93E"/>
              <w:right w:val="single" w:sz="8" w:space="0" w:color="67B93E"/>
            </w:tcBorders>
            <w:shd w:val="clear" w:color="000000" w:fill="F2F2F2"/>
            <w:vAlign w:val="center"/>
            <w:hideMark/>
          </w:tcPr>
          <w:p w14:paraId="0776E501"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2,13%</w:t>
            </w:r>
          </w:p>
        </w:tc>
      </w:tr>
      <w:tr w:rsidR="00BD79F6" w:rsidRPr="000712D6" w14:paraId="02AB678C" w14:textId="77777777" w:rsidTr="00531532">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533CA583" w14:textId="77777777" w:rsidR="00004AEB" w:rsidRPr="000712D6" w:rsidRDefault="00004AEB" w:rsidP="00561C56">
            <w:pPr>
              <w:autoSpaceDE/>
              <w:autoSpaceDN/>
              <w:rPr>
                <w:rFonts w:ascii="Humanst521 BT" w:hAnsi="Humanst521 BT" w:cs="Arial"/>
                <w:b/>
                <w:bCs/>
                <w:color w:val="000000"/>
                <w:sz w:val="20"/>
              </w:rPr>
            </w:pPr>
          </w:p>
        </w:tc>
        <w:tc>
          <w:tcPr>
            <w:tcW w:w="1141" w:type="pct"/>
            <w:vMerge/>
            <w:tcBorders>
              <w:top w:val="nil"/>
              <w:left w:val="single" w:sz="8" w:space="0" w:color="67B93E"/>
              <w:bottom w:val="single" w:sz="8" w:space="0" w:color="67B93E"/>
              <w:right w:val="single" w:sz="8" w:space="0" w:color="67B93E"/>
            </w:tcBorders>
            <w:vAlign w:val="center"/>
            <w:hideMark/>
          </w:tcPr>
          <w:p w14:paraId="58A67A84" w14:textId="77777777" w:rsidR="00004AEB" w:rsidRPr="000712D6" w:rsidRDefault="00004AEB" w:rsidP="00B71C3E">
            <w:pPr>
              <w:autoSpaceDE/>
              <w:autoSpaceDN/>
              <w:jc w:val="both"/>
              <w:rPr>
                <w:rFonts w:ascii="Humanst521 BT" w:hAnsi="Humanst521 BT" w:cs="Arial"/>
                <w:color w:val="000000"/>
                <w:sz w:val="20"/>
              </w:rPr>
            </w:pPr>
          </w:p>
        </w:tc>
        <w:tc>
          <w:tcPr>
            <w:tcW w:w="966" w:type="pct"/>
            <w:tcBorders>
              <w:top w:val="nil"/>
              <w:left w:val="nil"/>
              <w:bottom w:val="single" w:sz="8" w:space="0" w:color="67B93E"/>
              <w:right w:val="single" w:sz="8" w:space="0" w:color="67B93E"/>
            </w:tcBorders>
            <w:shd w:val="clear" w:color="000000" w:fill="FFFFFF"/>
            <w:vAlign w:val="center"/>
            <w:hideMark/>
          </w:tcPr>
          <w:p w14:paraId="05B6F153"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Psicosocial - Mental</w:t>
            </w:r>
          </w:p>
        </w:tc>
        <w:tc>
          <w:tcPr>
            <w:tcW w:w="297" w:type="pct"/>
            <w:tcBorders>
              <w:top w:val="nil"/>
              <w:left w:val="nil"/>
              <w:bottom w:val="single" w:sz="8" w:space="0" w:color="67B93E"/>
              <w:right w:val="single" w:sz="8" w:space="0" w:color="67B93E"/>
            </w:tcBorders>
            <w:shd w:val="clear" w:color="000000" w:fill="FFFFFF"/>
            <w:vAlign w:val="center"/>
            <w:hideMark/>
          </w:tcPr>
          <w:p w14:paraId="5654A8AF"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446" w:type="pct"/>
            <w:tcBorders>
              <w:top w:val="nil"/>
              <w:left w:val="nil"/>
              <w:bottom w:val="single" w:sz="8" w:space="0" w:color="67B93E"/>
              <w:right w:val="single" w:sz="8" w:space="0" w:color="67B93E"/>
            </w:tcBorders>
            <w:shd w:val="clear" w:color="000000" w:fill="FFFFFF"/>
            <w:vAlign w:val="center"/>
          </w:tcPr>
          <w:p w14:paraId="08D82FDF" w14:textId="6A7685DA" w:rsidR="00004AEB" w:rsidRPr="000712D6" w:rsidRDefault="00004AEB" w:rsidP="00561C56">
            <w:pPr>
              <w:autoSpaceDE/>
              <w:autoSpaceDN/>
              <w:jc w:val="center"/>
              <w:rPr>
                <w:rFonts w:ascii="Humanst521 BT" w:hAnsi="Humanst521 BT" w:cs="Arial"/>
                <w:color w:val="000000"/>
                <w:sz w:val="20"/>
              </w:rPr>
            </w:pPr>
          </w:p>
        </w:tc>
        <w:tc>
          <w:tcPr>
            <w:tcW w:w="223" w:type="pct"/>
            <w:tcBorders>
              <w:top w:val="nil"/>
              <w:left w:val="nil"/>
              <w:bottom w:val="single" w:sz="8" w:space="0" w:color="67B93E"/>
              <w:right w:val="single" w:sz="8" w:space="0" w:color="67B93E"/>
            </w:tcBorders>
            <w:shd w:val="clear" w:color="000000" w:fill="FFFFFF"/>
            <w:vAlign w:val="center"/>
            <w:hideMark/>
          </w:tcPr>
          <w:p w14:paraId="68B13FDF"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520" w:type="pct"/>
            <w:tcBorders>
              <w:top w:val="nil"/>
              <w:left w:val="nil"/>
              <w:bottom w:val="single" w:sz="8" w:space="0" w:color="67B93E"/>
              <w:right w:val="single" w:sz="8" w:space="0" w:color="67B93E"/>
            </w:tcBorders>
            <w:shd w:val="clear" w:color="000000" w:fill="FFFFFF"/>
            <w:vAlign w:val="center"/>
            <w:hideMark/>
          </w:tcPr>
          <w:p w14:paraId="72EC4140"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6,25%</w:t>
            </w:r>
          </w:p>
        </w:tc>
        <w:tc>
          <w:tcPr>
            <w:tcW w:w="358" w:type="pct"/>
            <w:tcBorders>
              <w:top w:val="nil"/>
              <w:left w:val="nil"/>
              <w:bottom w:val="single" w:sz="8" w:space="0" w:color="67B93E"/>
              <w:right w:val="single" w:sz="8" w:space="0" w:color="67B93E"/>
            </w:tcBorders>
            <w:shd w:val="clear" w:color="000000" w:fill="FFFFFF"/>
            <w:vAlign w:val="center"/>
            <w:hideMark/>
          </w:tcPr>
          <w:p w14:paraId="6C901C06"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412" w:type="pct"/>
            <w:tcBorders>
              <w:top w:val="nil"/>
              <w:left w:val="nil"/>
              <w:bottom w:val="single" w:sz="8" w:space="0" w:color="67B93E"/>
              <w:right w:val="single" w:sz="8" w:space="0" w:color="67B93E"/>
            </w:tcBorders>
            <w:shd w:val="clear" w:color="000000" w:fill="FFFFFF"/>
            <w:vAlign w:val="center"/>
            <w:hideMark/>
          </w:tcPr>
          <w:p w14:paraId="6F90020C"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4,26%</w:t>
            </w:r>
          </w:p>
        </w:tc>
      </w:tr>
      <w:tr w:rsidR="00BD79F6" w:rsidRPr="000712D6" w14:paraId="6FC27A0F" w14:textId="77777777" w:rsidTr="00B71C3E">
        <w:trPr>
          <w:trHeight w:val="270"/>
        </w:trPr>
        <w:tc>
          <w:tcPr>
            <w:tcW w:w="637" w:type="pct"/>
            <w:vMerge w:val="restart"/>
            <w:tcBorders>
              <w:top w:val="nil"/>
              <w:left w:val="single" w:sz="8" w:space="0" w:color="67B93E"/>
              <w:bottom w:val="single" w:sz="8" w:space="0" w:color="67B93E"/>
              <w:right w:val="single" w:sz="8" w:space="0" w:color="67B93E"/>
            </w:tcBorders>
            <w:shd w:val="clear" w:color="000000" w:fill="FFFFFF"/>
            <w:hideMark/>
          </w:tcPr>
          <w:p w14:paraId="04B0099B" w14:textId="77777777" w:rsidR="00004AEB" w:rsidRPr="000712D6" w:rsidRDefault="00004AEB" w:rsidP="00561C56">
            <w:pPr>
              <w:autoSpaceDE/>
              <w:autoSpaceDN/>
              <w:rPr>
                <w:rFonts w:ascii="Humanst521 BT" w:hAnsi="Humanst521 BT" w:cs="Arial"/>
                <w:b/>
                <w:bCs/>
                <w:color w:val="000000"/>
                <w:sz w:val="20"/>
              </w:rPr>
            </w:pPr>
            <w:r w:rsidRPr="000712D6">
              <w:rPr>
                <w:rFonts w:ascii="Humanst521 BT" w:hAnsi="Humanst521 BT" w:cs="Arial"/>
                <w:b/>
                <w:bCs/>
                <w:color w:val="000000"/>
                <w:sz w:val="20"/>
              </w:rPr>
              <w:t xml:space="preserve">Floridablanca                                         </w:t>
            </w:r>
          </w:p>
        </w:tc>
        <w:tc>
          <w:tcPr>
            <w:tcW w:w="1141" w:type="pct"/>
            <w:vMerge w:val="restart"/>
            <w:tcBorders>
              <w:top w:val="nil"/>
              <w:left w:val="single" w:sz="8" w:space="0" w:color="67B93E"/>
              <w:bottom w:val="single" w:sz="8" w:space="0" w:color="67B93E"/>
              <w:right w:val="single" w:sz="8" w:space="0" w:color="67B93E"/>
            </w:tcBorders>
            <w:shd w:val="clear" w:color="000000" w:fill="FFFFFF"/>
            <w:vAlign w:val="center"/>
            <w:hideMark/>
          </w:tcPr>
          <w:p w14:paraId="706D2512"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Adulto (29 A 59 Años)</w:t>
            </w:r>
          </w:p>
        </w:tc>
        <w:tc>
          <w:tcPr>
            <w:tcW w:w="966" w:type="pct"/>
            <w:tcBorders>
              <w:top w:val="nil"/>
              <w:left w:val="nil"/>
              <w:bottom w:val="single" w:sz="8" w:space="0" w:color="67B93E"/>
              <w:right w:val="single" w:sz="8" w:space="0" w:color="67B93E"/>
            </w:tcBorders>
            <w:shd w:val="clear" w:color="auto" w:fill="F2F2F2" w:themeFill="background1" w:themeFillShade="F2"/>
            <w:vAlign w:val="center"/>
            <w:hideMark/>
          </w:tcPr>
          <w:p w14:paraId="2634295B"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Física</w:t>
            </w:r>
          </w:p>
        </w:tc>
        <w:tc>
          <w:tcPr>
            <w:tcW w:w="297" w:type="pct"/>
            <w:tcBorders>
              <w:top w:val="nil"/>
              <w:left w:val="nil"/>
              <w:bottom w:val="single" w:sz="8" w:space="0" w:color="67B93E"/>
              <w:right w:val="single" w:sz="8" w:space="0" w:color="67B93E"/>
            </w:tcBorders>
            <w:shd w:val="clear" w:color="auto" w:fill="F2F2F2" w:themeFill="background1" w:themeFillShade="F2"/>
            <w:vAlign w:val="center"/>
            <w:hideMark/>
          </w:tcPr>
          <w:p w14:paraId="3A233C2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446" w:type="pct"/>
            <w:tcBorders>
              <w:top w:val="nil"/>
              <w:left w:val="nil"/>
              <w:bottom w:val="single" w:sz="8" w:space="0" w:color="67B93E"/>
              <w:right w:val="single" w:sz="8" w:space="0" w:color="67B93E"/>
            </w:tcBorders>
            <w:shd w:val="clear" w:color="auto" w:fill="F2F2F2" w:themeFill="background1" w:themeFillShade="F2"/>
            <w:vAlign w:val="center"/>
            <w:hideMark/>
          </w:tcPr>
          <w:p w14:paraId="74C6C767" w14:textId="5FF9FC19" w:rsidR="00004AEB" w:rsidRPr="000712D6" w:rsidRDefault="00004AEB" w:rsidP="00561C56">
            <w:pPr>
              <w:autoSpaceDE/>
              <w:autoSpaceDN/>
              <w:jc w:val="center"/>
              <w:rPr>
                <w:rFonts w:ascii="Humanst521 BT" w:hAnsi="Humanst521 BT" w:cs="Arial"/>
                <w:color w:val="000000"/>
                <w:sz w:val="20"/>
              </w:rPr>
            </w:pPr>
          </w:p>
        </w:tc>
        <w:tc>
          <w:tcPr>
            <w:tcW w:w="223" w:type="pct"/>
            <w:tcBorders>
              <w:top w:val="nil"/>
              <w:left w:val="nil"/>
              <w:bottom w:val="single" w:sz="8" w:space="0" w:color="67B93E"/>
              <w:right w:val="single" w:sz="8" w:space="0" w:color="67B93E"/>
            </w:tcBorders>
            <w:shd w:val="clear" w:color="auto" w:fill="F2F2F2" w:themeFill="background1" w:themeFillShade="F2"/>
            <w:vAlign w:val="center"/>
            <w:hideMark/>
          </w:tcPr>
          <w:p w14:paraId="08DCBF9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520" w:type="pct"/>
            <w:tcBorders>
              <w:top w:val="nil"/>
              <w:left w:val="nil"/>
              <w:bottom w:val="single" w:sz="8" w:space="0" w:color="67B93E"/>
              <w:right w:val="single" w:sz="8" w:space="0" w:color="67B93E"/>
            </w:tcBorders>
            <w:shd w:val="clear" w:color="auto" w:fill="F2F2F2" w:themeFill="background1" w:themeFillShade="F2"/>
            <w:vAlign w:val="center"/>
            <w:hideMark/>
          </w:tcPr>
          <w:p w14:paraId="17ADEEFA"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6,25%</w:t>
            </w:r>
          </w:p>
        </w:tc>
        <w:tc>
          <w:tcPr>
            <w:tcW w:w="358" w:type="pct"/>
            <w:tcBorders>
              <w:top w:val="nil"/>
              <w:left w:val="nil"/>
              <w:bottom w:val="single" w:sz="8" w:space="0" w:color="67B93E"/>
              <w:right w:val="single" w:sz="8" w:space="0" w:color="67B93E"/>
            </w:tcBorders>
            <w:shd w:val="clear" w:color="auto" w:fill="F2F2F2" w:themeFill="background1" w:themeFillShade="F2"/>
            <w:vAlign w:val="center"/>
            <w:hideMark/>
          </w:tcPr>
          <w:p w14:paraId="06B5A35F"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412" w:type="pct"/>
            <w:tcBorders>
              <w:top w:val="nil"/>
              <w:left w:val="nil"/>
              <w:bottom w:val="single" w:sz="8" w:space="0" w:color="67B93E"/>
              <w:right w:val="single" w:sz="8" w:space="0" w:color="67B93E"/>
            </w:tcBorders>
            <w:shd w:val="clear" w:color="auto" w:fill="F2F2F2" w:themeFill="background1" w:themeFillShade="F2"/>
            <w:vAlign w:val="center"/>
            <w:hideMark/>
          </w:tcPr>
          <w:p w14:paraId="01492FFC"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4,26%</w:t>
            </w:r>
          </w:p>
        </w:tc>
      </w:tr>
      <w:tr w:rsidR="00BD79F6" w:rsidRPr="000712D6" w14:paraId="3C87ADA7" w14:textId="77777777" w:rsidTr="00B71C3E">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12D19567" w14:textId="77777777" w:rsidR="00004AEB" w:rsidRPr="000712D6" w:rsidRDefault="00004AEB" w:rsidP="00561C56">
            <w:pPr>
              <w:autoSpaceDE/>
              <w:autoSpaceDN/>
              <w:rPr>
                <w:rFonts w:ascii="Humanst521 BT" w:hAnsi="Humanst521 BT" w:cs="Arial"/>
                <w:b/>
                <w:bCs/>
                <w:color w:val="000000"/>
                <w:sz w:val="20"/>
              </w:rPr>
            </w:pPr>
          </w:p>
        </w:tc>
        <w:tc>
          <w:tcPr>
            <w:tcW w:w="1141" w:type="pct"/>
            <w:vMerge/>
            <w:tcBorders>
              <w:top w:val="nil"/>
              <w:left w:val="single" w:sz="8" w:space="0" w:color="67B93E"/>
              <w:bottom w:val="single" w:sz="8" w:space="0" w:color="67B93E"/>
              <w:right w:val="single" w:sz="8" w:space="0" w:color="67B93E"/>
            </w:tcBorders>
            <w:vAlign w:val="center"/>
            <w:hideMark/>
          </w:tcPr>
          <w:p w14:paraId="0D5D4A7E" w14:textId="77777777" w:rsidR="00004AEB" w:rsidRPr="000712D6" w:rsidRDefault="00004AEB" w:rsidP="00B71C3E">
            <w:pPr>
              <w:autoSpaceDE/>
              <w:autoSpaceDN/>
              <w:jc w:val="both"/>
              <w:rPr>
                <w:rFonts w:ascii="Humanst521 BT" w:hAnsi="Humanst521 BT" w:cs="Arial"/>
                <w:color w:val="000000"/>
                <w:sz w:val="20"/>
              </w:rPr>
            </w:pPr>
          </w:p>
        </w:tc>
        <w:tc>
          <w:tcPr>
            <w:tcW w:w="966" w:type="pct"/>
            <w:tcBorders>
              <w:top w:val="nil"/>
              <w:left w:val="nil"/>
              <w:bottom w:val="single" w:sz="8" w:space="0" w:color="67B93E"/>
              <w:right w:val="single" w:sz="8" w:space="0" w:color="67B93E"/>
            </w:tcBorders>
            <w:shd w:val="clear" w:color="auto" w:fill="auto"/>
            <w:vAlign w:val="center"/>
            <w:hideMark/>
          </w:tcPr>
          <w:p w14:paraId="4EFF6E7B"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Psicosocial - Mental</w:t>
            </w:r>
          </w:p>
        </w:tc>
        <w:tc>
          <w:tcPr>
            <w:tcW w:w="297" w:type="pct"/>
            <w:tcBorders>
              <w:top w:val="nil"/>
              <w:left w:val="nil"/>
              <w:bottom w:val="single" w:sz="8" w:space="0" w:color="67B93E"/>
              <w:right w:val="single" w:sz="8" w:space="0" w:color="67B93E"/>
            </w:tcBorders>
            <w:shd w:val="clear" w:color="auto" w:fill="auto"/>
            <w:vAlign w:val="center"/>
            <w:hideMark/>
          </w:tcPr>
          <w:p w14:paraId="383E530E"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446" w:type="pct"/>
            <w:tcBorders>
              <w:top w:val="nil"/>
              <w:left w:val="nil"/>
              <w:bottom w:val="single" w:sz="8" w:space="0" w:color="67B93E"/>
              <w:right w:val="single" w:sz="8" w:space="0" w:color="67B93E"/>
            </w:tcBorders>
            <w:shd w:val="clear" w:color="auto" w:fill="auto"/>
            <w:vAlign w:val="center"/>
            <w:hideMark/>
          </w:tcPr>
          <w:p w14:paraId="4A0508EA"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13,33%</w:t>
            </w:r>
          </w:p>
        </w:tc>
        <w:tc>
          <w:tcPr>
            <w:tcW w:w="223" w:type="pct"/>
            <w:tcBorders>
              <w:top w:val="nil"/>
              <w:left w:val="nil"/>
              <w:bottom w:val="single" w:sz="8" w:space="0" w:color="67B93E"/>
              <w:right w:val="single" w:sz="8" w:space="0" w:color="67B93E"/>
            </w:tcBorders>
            <w:shd w:val="clear" w:color="auto" w:fill="auto"/>
            <w:vAlign w:val="center"/>
            <w:hideMark/>
          </w:tcPr>
          <w:p w14:paraId="3E33E820"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w:t>
            </w:r>
          </w:p>
        </w:tc>
        <w:tc>
          <w:tcPr>
            <w:tcW w:w="520" w:type="pct"/>
            <w:tcBorders>
              <w:top w:val="nil"/>
              <w:left w:val="nil"/>
              <w:bottom w:val="single" w:sz="8" w:space="0" w:color="67B93E"/>
              <w:right w:val="single" w:sz="8" w:space="0" w:color="67B93E"/>
            </w:tcBorders>
            <w:shd w:val="clear" w:color="auto" w:fill="auto"/>
            <w:vAlign w:val="center"/>
            <w:hideMark/>
          </w:tcPr>
          <w:p w14:paraId="685CFBC6"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9,38%</w:t>
            </w:r>
          </w:p>
        </w:tc>
        <w:tc>
          <w:tcPr>
            <w:tcW w:w="358" w:type="pct"/>
            <w:tcBorders>
              <w:top w:val="nil"/>
              <w:left w:val="nil"/>
              <w:bottom w:val="single" w:sz="8" w:space="0" w:color="67B93E"/>
              <w:right w:val="single" w:sz="8" w:space="0" w:color="67B93E"/>
            </w:tcBorders>
            <w:shd w:val="clear" w:color="auto" w:fill="auto"/>
            <w:vAlign w:val="center"/>
            <w:hideMark/>
          </w:tcPr>
          <w:p w14:paraId="5233C733"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5</w:t>
            </w:r>
          </w:p>
        </w:tc>
        <w:tc>
          <w:tcPr>
            <w:tcW w:w="412" w:type="pct"/>
            <w:tcBorders>
              <w:top w:val="nil"/>
              <w:left w:val="nil"/>
              <w:bottom w:val="single" w:sz="8" w:space="0" w:color="67B93E"/>
              <w:right w:val="single" w:sz="8" w:space="0" w:color="67B93E"/>
            </w:tcBorders>
            <w:shd w:val="clear" w:color="auto" w:fill="auto"/>
            <w:vAlign w:val="center"/>
            <w:hideMark/>
          </w:tcPr>
          <w:p w14:paraId="276DDB6D"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10,64%</w:t>
            </w:r>
          </w:p>
        </w:tc>
      </w:tr>
      <w:tr w:rsidR="00BD79F6" w:rsidRPr="000712D6" w14:paraId="5FA6D58C" w14:textId="77777777" w:rsidTr="00531532">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3C1DBD54" w14:textId="77777777" w:rsidR="00004AEB" w:rsidRPr="000712D6" w:rsidRDefault="00004AEB" w:rsidP="00561C56">
            <w:pPr>
              <w:autoSpaceDE/>
              <w:autoSpaceDN/>
              <w:rPr>
                <w:rFonts w:ascii="Humanst521 BT" w:hAnsi="Humanst521 BT" w:cs="Arial"/>
                <w:b/>
                <w:bCs/>
                <w:color w:val="000000"/>
                <w:sz w:val="20"/>
              </w:rPr>
            </w:pPr>
          </w:p>
        </w:tc>
        <w:tc>
          <w:tcPr>
            <w:tcW w:w="1141" w:type="pct"/>
            <w:vMerge/>
            <w:tcBorders>
              <w:top w:val="nil"/>
              <w:left w:val="single" w:sz="8" w:space="0" w:color="67B93E"/>
              <w:bottom w:val="single" w:sz="8" w:space="0" w:color="67B93E"/>
              <w:right w:val="single" w:sz="8" w:space="0" w:color="67B93E"/>
            </w:tcBorders>
            <w:vAlign w:val="center"/>
            <w:hideMark/>
          </w:tcPr>
          <w:p w14:paraId="5BF51B4D" w14:textId="77777777" w:rsidR="00004AEB" w:rsidRPr="000712D6" w:rsidRDefault="00004AEB" w:rsidP="00B71C3E">
            <w:pPr>
              <w:autoSpaceDE/>
              <w:autoSpaceDN/>
              <w:jc w:val="both"/>
              <w:rPr>
                <w:rFonts w:ascii="Humanst521 BT" w:hAnsi="Humanst521 BT" w:cs="Arial"/>
                <w:color w:val="000000"/>
                <w:sz w:val="20"/>
              </w:rPr>
            </w:pPr>
          </w:p>
        </w:tc>
        <w:tc>
          <w:tcPr>
            <w:tcW w:w="966" w:type="pct"/>
            <w:tcBorders>
              <w:top w:val="nil"/>
              <w:left w:val="nil"/>
              <w:bottom w:val="single" w:sz="8" w:space="0" w:color="67B93E"/>
              <w:right w:val="single" w:sz="8" w:space="0" w:color="67B93E"/>
            </w:tcBorders>
            <w:shd w:val="clear" w:color="000000" w:fill="F2F2F2"/>
            <w:vAlign w:val="center"/>
            <w:hideMark/>
          </w:tcPr>
          <w:p w14:paraId="6525465E"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Sensorial</w:t>
            </w:r>
          </w:p>
        </w:tc>
        <w:tc>
          <w:tcPr>
            <w:tcW w:w="297" w:type="pct"/>
            <w:tcBorders>
              <w:top w:val="nil"/>
              <w:left w:val="nil"/>
              <w:bottom w:val="single" w:sz="8" w:space="0" w:color="67B93E"/>
              <w:right w:val="single" w:sz="8" w:space="0" w:color="67B93E"/>
            </w:tcBorders>
            <w:shd w:val="clear" w:color="000000" w:fill="F2F2F2"/>
            <w:vAlign w:val="center"/>
            <w:hideMark/>
          </w:tcPr>
          <w:p w14:paraId="6209657B"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446" w:type="pct"/>
            <w:tcBorders>
              <w:top w:val="nil"/>
              <w:left w:val="nil"/>
              <w:bottom w:val="single" w:sz="8" w:space="0" w:color="67B93E"/>
              <w:right w:val="single" w:sz="8" w:space="0" w:color="67B93E"/>
            </w:tcBorders>
            <w:shd w:val="clear" w:color="000000" w:fill="F2F2F2"/>
            <w:vAlign w:val="center"/>
          </w:tcPr>
          <w:p w14:paraId="1D86F7A7" w14:textId="1449273F" w:rsidR="00004AEB" w:rsidRPr="000712D6" w:rsidRDefault="00004AEB" w:rsidP="00561C56">
            <w:pPr>
              <w:autoSpaceDE/>
              <w:autoSpaceDN/>
              <w:jc w:val="center"/>
              <w:rPr>
                <w:rFonts w:ascii="Humanst521 BT" w:hAnsi="Humanst521 BT" w:cs="Arial"/>
                <w:color w:val="000000"/>
                <w:sz w:val="20"/>
              </w:rPr>
            </w:pPr>
          </w:p>
        </w:tc>
        <w:tc>
          <w:tcPr>
            <w:tcW w:w="223" w:type="pct"/>
            <w:tcBorders>
              <w:top w:val="nil"/>
              <w:left w:val="nil"/>
              <w:bottom w:val="single" w:sz="8" w:space="0" w:color="67B93E"/>
              <w:right w:val="single" w:sz="8" w:space="0" w:color="67B93E"/>
            </w:tcBorders>
            <w:shd w:val="clear" w:color="000000" w:fill="F2F2F2"/>
            <w:vAlign w:val="center"/>
            <w:hideMark/>
          </w:tcPr>
          <w:p w14:paraId="5DD77E95"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520" w:type="pct"/>
            <w:tcBorders>
              <w:top w:val="nil"/>
              <w:left w:val="nil"/>
              <w:bottom w:val="single" w:sz="8" w:space="0" w:color="67B93E"/>
              <w:right w:val="single" w:sz="8" w:space="0" w:color="67B93E"/>
            </w:tcBorders>
            <w:shd w:val="clear" w:color="000000" w:fill="F2F2F2"/>
            <w:vAlign w:val="center"/>
            <w:hideMark/>
          </w:tcPr>
          <w:p w14:paraId="2F200DD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3,13%</w:t>
            </w:r>
          </w:p>
        </w:tc>
        <w:tc>
          <w:tcPr>
            <w:tcW w:w="358" w:type="pct"/>
            <w:tcBorders>
              <w:top w:val="nil"/>
              <w:left w:val="nil"/>
              <w:bottom w:val="single" w:sz="8" w:space="0" w:color="67B93E"/>
              <w:right w:val="single" w:sz="8" w:space="0" w:color="67B93E"/>
            </w:tcBorders>
            <w:shd w:val="clear" w:color="000000" w:fill="F2F2F2"/>
            <w:vAlign w:val="center"/>
            <w:hideMark/>
          </w:tcPr>
          <w:p w14:paraId="7BBEF625"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12" w:type="pct"/>
            <w:tcBorders>
              <w:top w:val="nil"/>
              <w:left w:val="nil"/>
              <w:bottom w:val="single" w:sz="8" w:space="0" w:color="67B93E"/>
              <w:right w:val="single" w:sz="8" w:space="0" w:color="67B93E"/>
            </w:tcBorders>
            <w:shd w:val="clear" w:color="000000" w:fill="F2F2F2"/>
            <w:vAlign w:val="center"/>
            <w:hideMark/>
          </w:tcPr>
          <w:p w14:paraId="67F5E6DF"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2,13%</w:t>
            </w:r>
          </w:p>
        </w:tc>
      </w:tr>
      <w:tr w:rsidR="00B71C3E" w:rsidRPr="000712D6" w14:paraId="799EC74B" w14:textId="77777777" w:rsidTr="00531532">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1E5B4237" w14:textId="77777777" w:rsidR="00004AEB" w:rsidRPr="000712D6" w:rsidRDefault="00004AEB" w:rsidP="00561C56">
            <w:pPr>
              <w:autoSpaceDE/>
              <w:autoSpaceDN/>
              <w:rPr>
                <w:rFonts w:ascii="Humanst521 BT" w:hAnsi="Humanst521 BT" w:cs="Arial"/>
                <w:b/>
                <w:bCs/>
                <w:color w:val="000000"/>
                <w:sz w:val="20"/>
              </w:rPr>
            </w:pPr>
          </w:p>
        </w:tc>
        <w:tc>
          <w:tcPr>
            <w:tcW w:w="1141" w:type="pct"/>
            <w:tcBorders>
              <w:top w:val="nil"/>
              <w:left w:val="nil"/>
              <w:bottom w:val="single" w:sz="8" w:space="0" w:color="67B93E"/>
              <w:right w:val="single" w:sz="8" w:space="0" w:color="67B93E"/>
            </w:tcBorders>
            <w:shd w:val="clear" w:color="auto" w:fill="F2F2F2" w:themeFill="background1" w:themeFillShade="F2"/>
            <w:vAlign w:val="center"/>
            <w:hideMark/>
          </w:tcPr>
          <w:p w14:paraId="2E07F01A"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Infancia (6 A 11 Años)</w:t>
            </w:r>
          </w:p>
        </w:tc>
        <w:tc>
          <w:tcPr>
            <w:tcW w:w="966" w:type="pct"/>
            <w:tcBorders>
              <w:top w:val="nil"/>
              <w:left w:val="nil"/>
              <w:bottom w:val="single" w:sz="8" w:space="0" w:color="67B93E"/>
              <w:right w:val="single" w:sz="8" w:space="0" w:color="67B93E"/>
            </w:tcBorders>
            <w:shd w:val="clear" w:color="auto" w:fill="FFFFFF" w:themeFill="background1"/>
            <w:vAlign w:val="center"/>
            <w:hideMark/>
          </w:tcPr>
          <w:p w14:paraId="0192F129"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Calibri"/>
                <w:color w:val="000000"/>
                <w:sz w:val="20"/>
              </w:rPr>
              <w:t>Psicosocial - Mental</w:t>
            </w:r>
          </w:p>
        </w:tc>
        <w:tc>
          <w:tcPr>
            <w:tcW w:w="297" w:type="pct"/>
            <w:tcBorders>
              <w:top w:val="nil"/>
              <w:left w:val="nil"/>
              <w:bottom w:val="single" w:sz="8" w:space="0" w:color="67B93E"/>
              <w:right w:val="single" w:sz="8" w:space="0" w:color="67B93E"/>
            </w:tcBorders>
            <w:shd w:val="clear" w:color="auto" w:fill="FFFFFF" w:themeFill="background1"/>
            <w:vAlign w:val="center"/>
            <w:hideMark/>
          </w:tcPr>
          <w:p w14:paraId="7D3A71F4"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446" w:type="pct"/>
            <w:tcBorders>
              <w:top w:val="nil"/>
              <w:left w:val="nil"/>
              <w:bottom w:val="single" w:sz="8" w:space="0" w:color="67B93E"/>
              <w:right w:val="single" w:sz="8" w:space="0" w:color="67B93E"/>
            </w:tcBorders>
            <w:shd w:val="clear" w:color="auto" w:fill="FFFFFF" w:themeFill="background1"/>
            <w:vAlign w:val="center"/>
          </w:tcPr>
          <w:p w14:paraId="4632A975" w14:textId="55735F65" w:rsidR="00004AEB" w:rsidRPr="000712D6" w:rsidRDefault="00004AEB" w:rsidP="00561C56">
            <w:pPr>
              <w:autoSpaceDE/>
              <w:autoSpaceDN/>
              <w:jc w:val="center"/>
              <w:rPr>
                <w:rFonts w:ascii="Humanst521 BT" w:hAnsi="Humanst521 BT" w:cs="Arial"/>
                <w:color w:val="000000"/>
                <w:sz w:val="20"/>
              </w:rPr>
            </w:pPr>
          </w:p>
        </w:tc>
        <w:tc>
          <w:tcPr>
            <w:tcW w:w="223" w:type="pct"/>
            <w:tcBorders>
              <w:top w:val="nil"/>
              <w:left w:val="nil"/>
              <w:bottom w:val="single" w:sz="8" w:space="0" w:color="67B93E"/>
              <w:right w:val="single" w:sz="8" w:space="0" w:color="67B93E"/>
            </w:tcBorders>
            <w:shd w:val="clear" w:color="auto" w:fill="FFFFFF" w:themeFill="background1"/>
            <w:vAlign w:val="center"/>
            <w:hideMark/>
          </w:tcPr>
          <w:p w14:paraId="209BD0A3"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520" w:type="pct"/>
            <w:tcBorders>
              <w:top w:val="nil"/>
              <w:left w:val="nil"/>
              <w:bottom w:val="single" w:sz="8" w:space="0" w:color="67B93E"/>
              <w:right w:val="single" w:sz="8" w:space="0" w:color="67B93E"/>
            </w:tcBorders>
            <w:shd w:val="clear" w:color="auto" w:fill="FFFFFF" w:themeFill="background1"/>
            <w:vAlign w:val="center"/>
            <w:hideMark/>
          </w:tcPr>
          <w:p w14:paraId="149FBC9B"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3,13%</w:t>
            </w:r>
          </w:p>
        </w:tc>
        <w:tc>
          <w:tcPr>
            <w:tcW w:w="358" w:type="pct"/>
            <w:tcBorders>
              <w:top w:val="nil"/>
              <w:left w:val="nil"/>
              <w:bottom w:val="single" w:sz="8" w:space="0" w:color="67B93E"/>
              <w:right w:val="single" w:sz="8" w:space="0" w:color="67B93E"/>
            </w:tcBorders>
            <w:shd w:val="clear" w:color="auto" w:fill="FFFFFF" w:themeFill="background1"/>
            <w:vAlign w:val="center"/>
            <w:hideMark/>
          </w:tcPr>
          <w:p w14:paraId="4F135369"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12" w:type="pct"/>
            <w:tcBorders>
              <w:top w:val="nil"/>
              <w:left w:val="nil"/>
              <w:bottom w:val="single" w:sz="8" w:space="0" w:color="67B93E"/>
              <w:right w:val="single" w:sz="8" w:space="0" w:color="67B93E"/>
            </w:tcBorders>
            <w:shd w:val="clear" w:color="auto" w:fill="FFFFFF" w:themeFill="background1"/>
            <w:vAlign w:val="center"/>
            <w:hideMark/>
          </w:tcPr>
          <w:p w14:paraId="3373B977"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2,13%</w:t>
            </w:r>
          </w:p>
        </w:tc>
      </w:tr>
      <w:tr w:rsidR="00BD79F6" w:rsidRPr="000712D6" w14:paraId="3DB03575" w14:textId="77777777" w:rsidTr="00531532">
        <w:trPr>
          <w:trHeight w:val="270"/>
        </w:trPr>
        <w:tc>
          <w:tcPr>
            <w:tcW w:w="637" w:type="pct"/>
            <w:tcBorders>
              <w:top w:val="nil"/>
              <w:left w:val="single" w:sz="8" w:space="0" w:color="67B93E"/>
              <w:bottom w:val="single" w:sz="8" w:space="0" w:color="67B93E"/>
              <w:right w:val="single" w:sz="8" w:space="0" w:color="67B93E"/>
            </w:tcBorders>
            <w:shd w:val="clear" w:color="000000" w:fill="FFFFFF"/>
            <w:vAlign w:val="center"/>
            <w:hideMark/>
          </w:tcPr>
          <w:p w14:paraId="5B5089DF" w14:textId="77777777" w:rsidR="00004AEB" w:rsidRPr="000712D6" w:rsidRDefault="00004AEB" w:rsidP="00561C56">
            <w:pPr>
              <w:autoSpaceDE/>
              <w:autoSpaceDN/>
              <w:rPr>
                <w:rFonts w:ascii="Humanst521 BT" w:hAnsi="Humanst521 BT" w:cs="Arial"/>
                <w:b/>
                <w:bCs/>
                <w:color w:val="000000"/>
                <w:sz w:val="20"/>
              </w:rPr>
            </w:pPr>
            <w:r w:rsidRPr="000712D6">
              <w:rPr>
                <w:rFonts w:ascii="Humanst521 BT" w:hAnsi="Humanst521 BT" w:cs="Arial"/>
                <w:b/>
                <w:bCs/>
                <w:color w:val="000000"/>
                <w:sz w:val="20"/>
              </w:rPr>
              <w:t>Girón</w:t>
            </w:r>
          </w:p>
        </w:tc>
        <w:tc>
          <w:tcPr>
            <w:tcW w:w="1141" w:type="pct"/>
            <w:tcBorders>
              <w:top w:val="nil"/>
              <w:left w:val="nil"/>
              <w:bottom w:val="single" w:sz="8" w:space="0" w:color="67B93E"/>
              <w:right w:val="single" w:sz="8" w:space="0" w:color="67B93E"/>
            </w:tcBorders>
            <w:shd w:val="clear" w:color="000000" w:fill="F2F2F2"/>
            <w:vAlign w:val="center"/>
            <w:hideMark/>
          </w:tcPr>
          <w:p w14:paraId="3BC61324"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Vejez (60 Y Más Años)</w:t>
            </w:r>
          </w:p>
        </w:tc>
        <w:tc>
          <w:tcPr>
            <w:tcW w:w="966" w:type="pct"/>
            <w:tcBorders>
              <w:top w:val="nil"/>
              <w:left w:val="nil"/>
              <w:bottom w:val="single" w:sz="8" w:space="0" w:color="67B93E"/>
              <w:right w:val="single" w:sz="8" w:space="0" w:color="67B93E"/>
            </w:tcBorders>
            <w:shd w:val="clear" w:color="000000" w:fill="F2F2F2"/>
            <w:vAlign w:val="center"/>
            <w:hideMark/>
          </w:tcPr>
          <w:p w14:paraId="38D931D5"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Arial"/>
                <w:color w:val="000000"/>
                <w:sz w:val="20"/>
              </w:rPr>
              <w:t>Psicosocial - Mental</w:t>
            </w:r>
          </w:p>
        </w:tc>
        <w:tc>
          <w:tcPr>
            <w:tcW w:w="297" w:type="pct"/>
            <w:tcBorders>
              <w:top w:val="nil"/>
              <w:left w:val="nil"/>
              <w:bottom w:val="single" w:sz="8" w:space="0" w:color="67B93E"/>
              <w:right w:val="single" w:sz="8" w:space="0" w:color="67B93E"/>
            </w:tcBorders>
            <w:shd w:val="clear" w:color="000000" w:fill="F2F2F2"/>
            <w:vAlign w:val="center"/>
            <w:hideMark/>
          </w:tcPr>
          <w:p w14:paraId="7F59857A"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46" w:type="pct"/>
            <w:tcBorders>
              <w:top w:val="nil"/>
              <w:left w:val="nil"/>
              <w:bottom w:val="single" w:sz="8" w:space="0" w:color="67B93E"/>
              <w:right w:val="single" w:sz="8" w:space="0" w:color="67B93E"/>
            </w:tcBorders>
            <w:shd w:val="clear" w:color="000000" w:fill="F2F2F2"/>
            <w:vAlign w:val="center"/>
            <w:hideMark/>
          </w:tcPr>
          <w:p w14:paraId="28629601"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6,67%</w:t>
            </w:r>
          </w:p>
        </w:tc>
        <w:tc>
          <w:tcPr>
            <w:tcW w:w="223" w:type="pct"/>
            <w:tcBorders>
              <w:top w:val="nil"/>
              <w:left w:val="nil"/>
              <w:bottom w:val="single" w:sz="8" w:space="0" w:color="67B93E"/>
              <w:right w:val="single" w:sz="8" w:space="0" w:color="67B93E"/>
            </w:tcBorders>
            <w:shd w:val="clear" w:color="000000" w:fill="F2F2F2"/>
            <w:vAlign w:val="center"/>
            <w:hideMark/>
          </w:tcPr>
          <w:p w14:paraId="6921616D"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520" w:type="pct"/>
            <w:tcBorders>
              <w:top w:val="nil"/>
              <w:left w:val="nil"/>
              <w:bottom w:val="single" w:sz="8" w:space="0" w:color="67B93E"/>
              <w:right w:val="single" w:sz="8" w:space="0" w:color="67B93E"/>
            </w:tcBorders>
            <w:shd w:val="clear" w:color="000000" w:fill="F2F2F2"/>
            <w:vAlign w:val="center"/>
          </w:tcPr>
          <w:p w14:paraId="40A39439" w14:textId="461F98C8" w:rsidR="00004AEB" w:rsidRPr="000712D6" w:rsidRDefault="00004AEB" w:rsidP="00561C56">
            <w:pPr>
              <w:autoSpaceDE/>
              <w:autoSpaceDN/>
              <w:jc w:val="center"/>
              <w:rPr>
                <w:rFonts w:ascii="Humanst521 BT" w:hAnsi="Humanst521 BT" w:cs="Arial"/>
                <w:color w:val="000000"/>
                <w:sz w:val="20"/>
              </w:rPr>
            </w:pPr>
          </w:p>
        </w:tc>
        <w:tc>
          <w:tcPr>
            <w:tcW w:w="358" w:type="pct"/>
            <w:tcBorders>
              <w:top w:val="nil"/>
              <w:left w:val="nil"/>
              <w:bottom w:val="single" w:sz="8" w:space="0" w:color="67B93E"/>
              <w:right w:val="single" w:sz="8" w:space="0" w:color="67B93E"/>
            </w:tcBorders>
            <w:shd w:val="clear" w:color="000000" w:fill="F2F2F2"/>
            <w:vAlign w:val="center"/>
            <w:hideMark/>
          </w:tcPr>
          <w:p w14:paraId="5E7A31B0"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12" w:type="pct"/>
            <w:tcBorders>
              <w:top w:val="nil"/>
              <w:left w:val="nil"/>
              <w:bottom w:val="single" w:sz="8" w:space="0" w:color="67B93E"/>
              <w:right w:val="single" w:sz="8" w:space="0" w:color="67B93E"/>
            </w:tcBorders>
            <w:shd w:val="clear" w:color="000000" w:fill="F2F2F2"/>
            <w:vAlign w:val="center"/>
            <w:hideMark/>
          </w:tcPr>
          <w:p w14:paraId="10D104C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2,13%</w:t>
            </w:r>
          </w:p>
        </w:tc>
      </w:tr>
      <w:tr w:rsidR="00BD79F6" w:rsidRPr="000712D6" w14:paraId="23067E49" w14:textId="77777777" w:rsidTr="00531532">
        <w:trPr>
          <w:trHeight w:val="270"/>
        </w:trPr>
        <w:tc>
          <w:tcPr>
            <w:tcW w:w="637" w:type="pct"/>
            <w:vMerge w:val="restart"/>
            <w:tcBorders>
              <w:top w:val="nil"/>
              <w:left w:val="single" w:sz="8" w:space="0" w:color="67B93E"/>
              <w:bottom w:val="single" w:sz="8" w:space="0" w:color="67B93E"/>
              <w:right w:val="single" w:sz="8" w:space="0" w:color="67B93E"/>
            </w:tcBorders>
            <w:shd w:val="clear" w:color="000000" w:fill="FFFFFF"/>
            <w:hideMark/>
          </w:tcPr>
          <w:p w14:paraId="2BFF9F13" w14:textId="77777777" w:rsidR="00004AEB" w:rsidRPr="000712D6" w:rsidRDefault="00004AEB" w:rsidP="00561C56">
            <w:pPr>
              <w:autoSpaceDE/>
              <w:autoSpaceDN/>
              <w:rPr>
                <w:rFonts w:ascii="Humanst521 BT" w:hAnsi="Humanst521 BT" w:cs="Arial"/>
                <w:b/>
                <w:bCs/>
                <w:color w:val="000000"/>
                <w:sz w:val="20"/>
              </w:rPr>
            </w:pPr>
            <w:r w:rsidRPr="000712D6">
              <w:rPr>
                <w:rFonts w:ascii="Humanst521 BT" w:hAnsi="Humanst521 BT" w:cs="Calibri"/>
                <w:b/>
                <w:bCs/>
                <w:color w:val="000000"/>
                <w:sz w:val="20"/>
              </w:rPr>
              <w:t>Piedecuesta</w:t>
            </w:r>
          </w:p>
        </w:tc>
        <w:tc>
          <w:tcPr>
            <w:tcW w:w="1141" w:type="pct"/>
            <w:tcBorders>
              <w:top w:val="nil"/>
              <w:left w:val="nil"/>
              <w:bottom w:val="single" w:sz="8" w:space="0" w:color="67B93E"/>
              <w:right w:val="single" w:sz="8" w:space="0" w:color="67B93E"/>
            </w:tcBorders>
            <w:shd w:val="clear" w:color="000000" w:fill="FFFFFF"/>
            <w:vAlign w:val="center"/>
            <w:hideMark/>
          </w:tcPr>
          <w:p w14:paraId="08866004"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Adulto (29 A 59 Años)</w:t>
            </w:r>
          </w:p>
        </w:tc>
        <w:tc>
          <w:tcPr>
            <w:tcW w:w="966" w:type="pct"/>
            <w:tcBorders>
              <w:top w:val="nil"/>
              <w:left w:val="nil"/>
              <w:bottom w:val="single" w:sz="8" w:space="0" w:color="67B93E"/>
              <w:right w:val="single" w:sz="8" w:space="0" w:color="67B93E"/>
            </w:tcBorders>
            <w:shd w:val="clear" w:color="000000" w:fill="FFFFFF"/>
            <w:vAlign w:val="center"/>
            <w:hideMark/>
          </w:tcPr>
          <w:p w14:paraId="261E3134"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Arial"/>
                <w:color w:val="000000"/>
                <w:sz w:val="20"/>
              </w:rPr>
              <w:t>Psicosocial - Mental</w:t>
            </w:r>
          </w:p>
        </w:tc>
        <w:tc>
          <w:tcPr>
            <w:tcW w:w="297" w:type="pct"/>
            <w:tcBorders>
              <w:top w:val="nil"/>
              <w:left w:val="nil"/>
              <w:bottom w:val="single" w:sz="8" w:space="0" w:color="67B93E"/>
              <w:right w:val="single" w:sz="8" w:space="0" w:color="67B93E"/>
            </w:tcBorders>
            <w:shd w:val="clear" w:color="000000" w:fill="FFFFFF"/>
            <w:vAlign w:val="center"/>
            <w:hideMark/>
          </w:tcPr>
          <w:p w14:paraId="6F5250C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46" w:type="pct"/>
            <w:tcBorders>
              <w:top w:val="nil"/>
              <w:left w:val="nil"/>
              <w:bottom w:val="single" w:sz="8" w:space="0" w:color="67B93E"/>
              <w:right w:val="single" w:sz="8" w:space="0" w:color="67B93E"/>
            </w:tcBorders>
            <w:shd w:val="clear" w:color="000000" w:fill="FFFFFF"/>
            <w:vAlign w:val="center"/>
            <w:hideMark/>
          </w:tcPr>
          <w:p w14:paraId="43F11D8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6,67%</w:t>
            </w:r>
          </w:p>
        </w:tc>
        <w:tc>
          <w:tcPr>
            <w:tcW w:w="223" w:type="pct"/>
            <w:tcBorders>
              <w:top w:val="nil"/>
              <w:left w:val="nil"/>
              <w:bottom w:val="single" w:sz="8" w:space="0" w:color="67B93E"/>
              <w:right w:val="single" w:sz="8" w:space="0" w:color="67B93E"/>
            </w:tcBorders>
            <w:shd w:val="clear" w:color="000000" w:fill="FFFFFF"/>
            <w:vAlign w:val="center"/>
            <w:hideMark/>
          </w:tcPr>
          <w:p w14:paraId="1405E7F6"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 </w:t>
            </w:r>
          </w:p>
        </w:tc>
        <w:tc>
          <w:tcPr>
            <w:tcW w:w="520" w:type="pct"/>
            <w:tcBorders>
              <w:top w:val="nil"/>
              <w:left w:val="nil"/>
              <w:bottom w:val="single" w:sz="8" w:space="0" w:color="67B93E"/>
              <w:right w:val="single" w:sz="8" w:space="0" w:color="67B93E"/>
            </w:tcBorders>
            <w:shd w:val="clear" w:color="000000" w:fill="FFFFFF"/>
            <w:vAlign w:val="center"/>
          </w:tcPr>
          <w:p w14:paraId="41A072C7" w14:textId="45350A7F" w:rsidR="00004AEB" w:rsidRPr="000712D6" w:rsidRDefault="00004AEB" w:rsidP="00561C56">
            <w:pPr>
              <w:autoSpaceDE/>
              <w:autoSpaceDN/>
              <w:jc w:val="center"/>
              <w:rPr>
                <w:rFonts w:ascii="Humanst521 BT" w:hAnsi="Humanst521 BT" w:cs="Arial"/>
                <w:color w:val="000000"/>
                <w:sz w:val="20"/>
              </w:rPr>
            </w:pPr>
          </w:p>
        </w:tc>
        <w:tc>
          <w:tcPr>
            <w:tcW w:w="358" w:type="pct"/>
            <w:tcBorders>
              <w:top w:val="nil"/>
              <w:left w:val="nil"/>
              <w:bottom w:val="single" w:sz="8" w:space="0" w:color="67B93E"/>
              <w:right w:val="single" w:sz="8" w:space="0" w:color="67B93E"/>
            </w:tcBorders>
            <w:shd w:val="clear" w:color="000000" w:fill="FFFFFF"/>
            <w:vAlign w:val="center"/>
            <w:hideMark/>
          </w:tcPr>
          <w:p w14:paraId="43600ECA"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12" w:type="pct"/>
            <w:tcBorders>
              <w:top w:val="nil"/>
              <w:left w:val="nil"/>
              <w:bottom w:val="single" w:sz="8" w:space="0" w:color="67B93E"/>
              <w:right w:val="single" w:sz="8" w:space="0" w:color="67B93E"/>
            </w:tcBorders>
            <w:shd w:val="clear" w:color="000000" w:fill="FFFFFF"/>
            <w:vAlign w:val="center"/>
            <w:hideMark/>
          </w:tcPr>
          <w:p w14:paraId="572434B2"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2,13%</w:t>
            </w:r>
          </w:p>
        </w:tc>
      </w:tr>
      <w:tr w:rsidR="00BD79F6" w:rsidRPr="000712D6" w14:paraId="31E9365F" w14:textId="77777777" w:rsidTr="00B71C3E">
        <w:trPr>
          <w:trHeight w:val="270"/>
        </w:trPr>
        <w:tc>
          <w:tcPr>
            <w:tcW w:w="637" w:type="pct"/>
            <w:vMerge/>
            <w:tcBorders>
              <w:top w:val="nil"/>
              <w:left w:val="single" w:sz="8" w:space="0" w:color="67B93E"/>
              <w:bottom w:val="single" w:sz="8" w:space="0" w:color="67B93E"/>
              <w:right w:val="single" w:sz="8" w:space="0" w:color="67B93E"/>
            </w:tcBorders>
            <w:vAlign w:val="center"/>
            <w:hideMark/>
          </w:tcPr>
          <w:p w14:paraId="4B278665" w14:textId="77777777" w:rsidR="00004AEB" w:rsidRPr="000712D6" w:rsidRDefault="00004AEB" w:rsidP="00561C56">
            <w:pPr>
              <w:autoSpaceDE/>
              <w:autoSpaceDN/>
              <w:rPr>
                <w:rFonts w:ascii="Humanst521 BT" w:hAnsi="Humanst521 BT" w:cs="Arial"/>
                <w:b/>
                <w:bCs/>
                <w:color w:val="000000"/>
                <w:sz w:val="20"/>
              </w:rPr>
            </w:pPr>
          </w:p>
        </w:tc>
        <w:tc>
          <w:tcPr>
            <w:tcW w:w="1141" w:type="pct"/>
            <w:tcBorders>
              <w:top w:val="nil"/>
              <w:left w:val="nil"/>
              <w:bottom w:val="single" w:sz="8" w:space="0" w:color="67B93E"/>
              <w:right w:val="single" w:sz="8" w:space="0" w:color="67B93E"/>
            </w:tcBorders>
            <w:shd w:val="clear" w:color="000000" w:fill="F2F2F2"/>
            <w:vAlign w:val="center"/>
            <w:hideMark/>
          </w:tcPr>
          <w:p w14:paraId="465B9C4B" w14:textId="77777777" w:rsidR="00004AEB" w:rsidRPr="000712D6" w:rsidRDefault="00004AEB" w:rsidP="00B71C3E">
            <w:pPr>
              <w:autoSpaceDE/>
              <w:autoSpaceDN/>
              <w:jc w:val="both"/>
              <w:rPr>
                <w:rFonts w:ascii="Humanst521 BT" w:hAnsi="Humanst521 BT" w:cs="Arial"/>
                <w:color w:val="000000"/>
                <w:sz w:val="20"/>
              </w:rPr>
            </w:pPr>
            <w:r w:rsidRPr="000712D6">
              <w:rPr>
                <w:rFonts w:ascii="Humanst521 BT" w:hAnsi="Humanst521 BT" w:cs="Arial"/>
                <w:color w:val="000000"/>
                <w:sz w:val="20"/>
              </w:rPr>
              <w:t>Joven (18 A 28 Años)</w:t>
            </w:r>
          </w:p>
        </w:tc>
        <w:tc>
          <w:tcPr>
            <w:tcW w:w="966" w:type="pct"/>
            <w:tcBorders>
              <w:top w:val="nil"/>
              <w:left w:val="nil"/>
              <w:bottom w:val="single" w:sz="8" w:space="0" w:color="67B93E"/>
              <w:right w:val="single" w:sz="8" w:space="0" w:color="67B93E"/>
            </w:tcBorders>
            <w:shd w:val="clear" w:color="000000" w:fill="F2F2F2"/>
            <w:vAlign w:val="center"/>
            <w:hideMark/>
          </w:tcPr>
          <w:p w14:paraId="4387CDA6" w14:textId="77777777" w:rsidR="00004AEB" w:rsidRPr="000712D6" w:rsidRDefault="00004AEB" w:rsidP="00561C56">
            <w:pPr>
              <w:autoSpaceDE/>
              <w:autoSpaceDN/>
              <w:rPr>
                <w:rFonts w:ascii="Humanst521 BT" w:hAnsi="Humanst521 BT" w:cs="Arial"/>
                <w:color w:val="000000"/>
                <w:sz w:val="20"/>
              </w:rPr>
            </w:pPr>
            <w:r w:rsidRPr="000712D6">
              <w:rPr>
                <w:rFonts w:ascii="Humanst521 BT" w:hAnsi="Humanst521 BT" w:cs="Arial"/>
                <w:color w:val="000000"/>
                <w:sz w:val="20"/>
              </w:rPr>
              <w:t>Psicosocial - Mental</w:t>
            </w:r>
          </w:p>
        </w:tc>
        <w:tc>
          <w:tcPr>
            <w:tcW w:w="297" w:type="pct"/>
            <w:tcBorders>
              <w:top w:val="nil"/>
              <w:left w:val="nil"/>
              <w:bottom w:val="single" w:sz="8" w:space="0" w:color="67B93E"/>
              <w:right w:val="single" w:sz="8" w:space="0" w:color="67B93E"/>
            </w:tcBorders>
            <w:shd w:val="clear" w:color="000000" w:fill="F2F2F2"/>
            <w:vAlign w:val="center"/>
            <w:hideMark/>
          </w:tcPr>
          <w:p w14:paraId="4BE9426E"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446" w:type="pct"/>
            <w:tcBorders>
              <w:top w:val="nil"/>
              <w:left w:val="nil"/>
              <w:bottom w:val="single" w:sz="8" w:space="0" w:color="67B93E"/>
              <w:right w:val="single" w:sz="8" w:space="0" w:color="67B93E"/>
            </w:tcBorders>
            <w:shd w:val="clear" w:color="000000" w:fill="F2F2F2"/>
            <w:vAlign w:val="center"/>
            <w:hideMark/>
          </w:tcPr>
          <w:p w14:paraId="4EA649BB"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6,67%</w:t>
            </w:r>
          </w:p>
        </w:tc>
        <w:tc>
          <w:tcPr>
            <w:tcW w:w="223" w:type="pct"/>
            <w:tcBorders>
              <w:top w:val="nil"/>
              <w:left w:val="nil"/>
              <w:bottom w:val="single" w:sz="8" w:space="0" w:color="67B93E"/>
              <w:right w:val="single" w:sz="8" w:space="0" w:color="67B93E"/>
            </w:tcBorders>
            <w:shd w:val="clear" w:color="000000" w:fill="F2F2F2"/>
            <w:vAlign w:val="center"/>
            <w:hideMark/>
          </w:tcPr>
          <w:p w14:paraId="5C67679E"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w:t>
            </w:r>
          </w:p>
        </w:tc>
        <w:tc>
          <w:tcPr>
            <w:tcW w:w="520" w:type="pct"/>
            <w:tcBorders>
              <w:top w:val="nil"/>
              <w:left w:val="nil"/>
              <w:bottom w:val="single" w:sz="8" w:space="0" w:color="67B93E"/>
              <w:right w:val="single" w:sz="8" w:space="0" w:color="67B93E"/>
            </w:tcBorders>
            <w:shd w:val="clear" w:color="000000" w:fill="F2F2F2"/>
            <w:vAlign w:val="center"/>
            <w:hideMark/>
          </w:tcPr>
          <w:p w14:paraId="05FF0CB1"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3,13%</w:t>
            </w:r>
          </w:p>
        </w:tc>
        <w:tc>
          <w:tcPr>
            <w:tcW w:w="358" w:type="pct"/>
            <w:tcBorders>
              <w:top w:val="nil"/>
              <w:left w:val="nil"/>
              <w:bottom w:val="single" w:sz="8" w:space="0" w:color="67B93E"/>
              <w:right w:val="single" w:sz="8" w:space="0" w:color="67B93E"/>
            </w:tcBorders>
            <w:shd w:val="clear" w:color="000000" w:fill="F2F2F2"/>
            <w:vAlign w:val="center"/>
            <w:hideMark/>
          </w:tcPr>
          <w:p w14:paraId="2496922F"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w:t>
            </w:r>
          </w:p>
        </w:tc>
        <w:tc>
          <w:tcPr>
            <w:tcW w:w="412" w:type="pct"/>
            <w:tcBorders>
              <w:top w:val="nil"/>
              <w:left w:val="nil"/>
              <w:bottom w:val="single" w:sz="8" w:space="0" w:color="67B93E"/>
              <w:right w:val="single" w:sz="8" w:space="0" w:color="67B93E"/>
            </w:tcBorders>
            <w:shd w:val="clear" w:color="000000" w:fill="F2F2F2"/>
            <w:vAlign w:val="center"/>
            <w:hideMark/>
          </w:tcPr>
          <w:p w14:paraId="3F72CB2C" w14:textId="77777777" w:rsidR="00004AEB" w:rsidRPr="000712D6" w:rsidRDefault="00004AEB"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4,26%</w:t>
            </w:r>
          </w:p>
        </w:tc>
      </w:tr>
      <w:tr w:rsidR="00BD79F6" w:rsidRPr="000712D6" w14:paraId="241A052B" w14:textId="77777777" w:rsidTr="00BD79F6">
        <w:trPr>
          <w:trHeight w:val="270"/>
        </w:trPr>
        <w:tc>
          <w:tcPr>
            <w:tcW w:w="2744" w:type="pct"/>
            <w:gridSpan w:val="3"/>
            <w:tcBorders>
              <w:top w:val="single" w:sz="8" w:space="0" w:color="67B93E"/>
              <w:left w:val="single" w:sz="8" w:space="0" w:color="67B93E"/>
              <w:bottom w:val="single" w:sz="8" w:space="0" w:color="67B93E"/>
              <w:right w:val="single" w:sz="8" w:space="0" w:color="67B93E"/>
            </w:tcBorders>
            <w:shd w:val="clear" w:color="000000" w:fill="C6E0B4"/>
            <w:vAlign w:val="center"/>
            <w:hideMark/>
          </w:tcPr>
          <w:p w14:paraId="5AD796C1" w14:textId="77777777" w:rsidR="00004AEB" w:rsidRPr="000712D6" w:rsidRDefault="00004AEB" w:rsidP="00561C56">
            <w:pPr>
              <w:autoSpaceDE/>
              <w:autoSpaceDN/>
              <w:rPr>
                <w:rFonts w:ascii="Humanst521 BT" w:hAnsi="Humanst521 BT" w:cs="Arial"/>
                <w:b/>
                <w:bCs/>
                <w:color w:val="000000"/>
                <w:sz w:val="20"/>
              </w:rPr>
            </w:pPr>
            <w:proofErr w:type="gramStart"/>
            <w:r w:rsidRPr="000712D6">
              <w:rPr>
                <w:rFonts w:ascii="Humanst521 BT" w:hAnsi="Humanst521 BT" w:cs="Arial"/>
                <w:b/>
                <w:bCs/>
                <w:color w:val="000000"/>
                <w:sz w:val="20"/>
              </w:rPr>
              <w:t>Total</w:t>
            </w:r>
            <w:proofErr w:type="gramEnd"/>
            <w:r w:rsidRPr="000712D6">
              <w:rPr>
                <w:rFonts w:ascii="Humanst521 BT" w:hAnsi="Humanst521 BT" w:cs="Arial"/>
                <w:b/>
                <w:bCs/>
                <w:color w:val="000000"/>
                <w:sz w:val="20"/>
              </w:rPr>
              <w:t xml:space="preserve"> general</w:t>
            </w:r>
          </w:p>
        </w:tc>
        <w:tc>
          <w:tcPr>
            <w:tcW w:w="297" w:type="pct"/>
            <w:tcBorders>
              <w:top w:val="nil"/>
              <w:left w:val="nil"/>
              <w:bottom w:val="single" w:sz="8" w:space="0" w:color="67B93E"/>
              <w:right w:val="single" w:sz="8" w:space="0" w:color="67B93E"/>
            </w:tcBorders>
            <w:shd w:val="clear" w:color="000000" w:fill="C5E0B3"/>
            <w:vAlign w:val="center"/>
            <w:hideMark/>
          </w:tcPr>
          <w:p w14:paraId="1BBF4574"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15</w:t>
            </w:r>
          </w:p>
        </w:tc>
        <w:tc>
          <w:tcPr>
            <w:tcW w:w="446" w:type="pct"/>
            <w:tcBorders>
              <w:top w:val="nil"/>
              <w:left w:val="nil"/>
              <w:bottom w:val="single" w:sz="8" w:space="0" w:color="67B93E"/>
              <w:right w:val="single" w:sz="8" w:space="0" w:color="67B93E"/>
            </w:tcBorders>
            <w:shd w:val="clear" w:color="000000" w:fill="C5E0B3"/>
            <w:vAlign w:val="center"/>
            <w:hideMark/>
          </w:tcPr>
          <w:p w14:paraId="13D836BB"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100%</w:t>
            </w:r>
          </w:p>
        </w:tc>
        <w:tc>
          <w:tcPr>
            <w:tcW w:w="223" w:type="pct"/>
            <w:tcBorders>
              <w:top w:val="nil"/>
              <w:left w:val="nil"/>
              <w:bottom w:val="single" w:sz="8" w:space="0" w:color="67B93E"/>
              <w:right w:val="single" w:sz="8" w:space="0" w:color="67B93E"/>
            </w:tcBorders>
            <w:shd w:val="clear" w:color="000000" w:fill="C5E0B3"/>
            <w:vAlign w:val="center"/>
            <w:hideMark/>
          </w:tcPr>
          <w:p w14:paraId="68B85143"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32</w:t>
            </w:r>
          </w:p>
        </w:tc>
        <w:tc>
          <w:tcPr>
            <w:tcW w:w="520" w:type="pct"/>
            <w:tcBorders>
              <w:top w:val="nil"/>
              <w:left w:val="nil"/>
              <w:bottom w:val="single" w:sz="8" w:space="0" w:color="67B93E"/>
              <w:right w:val="single" w:sz="8" w:space="0" w:color="67B93E"/>
            </w:tcBorders>
            <w:shd w:val="clear" w:color="000000" w:fill="C5E0B3"/>
            <w:vAlign w:val="center"/>
            <w:hideMark/>
          </w:tcPr>
          <w:p w14:paraId="0212736D"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100%</w:t>
            </w:r>
          </w:p>
        </w:tc>
        <w:tc>
          <w:tcPr>
            <w:tcW w:w="358" w:type="pct"/>
            <w:tcBorders>
              <w:top w:val="nil"/>
              <w:left w:val="nil"/>
              <w:bottom w:val="single" w:sz="8" w:space="0" w:color="67B93E"/>
              <w:right w:val="single" w:sz="8" w:space="0" w:color="67B93E"/>
            </w:tcBorders>
            <w:shd w:val="clear" w:color="000000" w:fill="C5E0B3"/>
            <w:vAlign w:val="center"/>
            <w:hideMark/>
          </w:tcPr>
          <w:p w14:paraId="18E2C849"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47</w:t>
            </w:r>
          </w:p>
        </w:tc>
        <w:tc>
          <w:tcPr>
            <w:tcW w:w="412" w:type="pct"/>
            <w:tcBorders>
              <w:top w:val="nil"/>
              <w:left w:val="nil"/>
              <w:bottom w:val="single" w:sz="8" w:space="0" w:color="67B93E"/>
              <w:right w:val="single" w:sz="8" w:space="0" w:color="67B93E"/>
            </w:tcBorders>
            <w:shd w:val="clear" w:color="000000" w:fill="C5E0B3"/>
            <w:vAlign w:val="center"/>
            <w:hideMark/>
          </w:tcPr>
          <w:p w14:paraId="4F2A4807" w14:textId="77777777" w:rsidR="00004AEB" w:rsidRPr="000712D6" w:rsidRDefault="00004AEB"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100%</w:t>
            </w:r>
          </w:p>
        </w:tc>
      </w:tr>
    </w:tbl>
    <w:p w14:paraId="7775C68B" w14:textId="77777777" w:rsidR="00AD4B8F" w:rsidRPr="007F0FA7" w:rsidRDefault="00AD4B8F" w:rsidP="00AD4B8F">
      <w:pPr>
        <w:rPr>
          <w:rFonts w:ascii="Humanst521 BT" w:hAnsi="Humanst521 BT"/>
          <w:i/>
          <w:iCs/>
        </w:rPr>
      </w:pPr>
      <w:r w:rsidRPr="007F0FA7">
        <w:rPr>
          <w:rFonts w:ascii="Humanst521 BT" w:hAnsi="Humanst521 BT"/>
          <w:i/>
          <w:iCs/>
        </w:rPr>
        <w:t>Fuente: Elaboración propia. Base de datos afiliados: fecha de corte: 3</w:t>
      </w:r>
      <w:r>
        <w:rPr>
          <w:rFonts w:ascii="Humanst521 BT" w:hAnsi="Humanst521 BT"/>
          <w:i/>
          <w:iCs/>
        </w:rPr>
        <w:t>1</w:t>
      </w:r>
      <w:r w:rsidRPr="007F0FA7">
        <w:rPr>
          <w:rFonts w:ascii="Humanst521 BT" w:hAnsi="Humanst521 BT"/>
          <w:i/>
          <w:iCs/>
        </w:rPr>
        <w:t xml:space="preserve"> de </w:t>
      </w:r>
      <w:r>
        <w:rPr>
          <w:rFonts w:ascii="Humanst521 BT" w:hAnsi="Humanst521 BT"/>
          <w:i/>
          <w:iCs/>
        </w:rPr>
        <w:t>diciembre de 2025</w:t>
      </w:r>
    </w:p>
    <w:p w14:paraId="67A20212" w14:textId="77777777" w:rsidR="00004AEB" w:rsidRDefault="00004AEB" w:rsidP="00004AEB"/>
    <w:p w14:paraId="1F06152E" w14:textId="77777777" w:rsidR="00004AEB" w:rsidRDefault="00004AEB" w:rsidP="00004AEB"/>
    <w:p w14:paraId="61B23DF4" w14:textId="0439CA0B" w:rsidR="00FB1F4E" w:rsidRDefault="00FB1F4E" w:rsidP="00FB1F4E">
      <w:pPr>
        <w:pStyle w:val="Descripcin"/>
        <w:keepNext/>
        <w:spacing w:line="240" w:lineRule="auto"/>
        <w:rPr>
          <w:rFonts w:ascii="Humanst521 BT" w:eastAsia="Verdana" w:hAnsi="Humanst521 BT" w:cs="Verdana"/>
          <w:b w:val="0"/>
          <w:bCs w:val="0"/>
          <w:color w:val="auto"/>
          <w:sz w:val="22"/>
          <w:szCs w:val="22"/>
          <w:lang w:val="es-ES"/>
        </w:rPr>
      </w:pPr>
      <w:bookmarkStart w:id="37" w:name="_Toc231286252"/>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E6B4A">
        <w:rPr>
          <w:rFonts w:ascii="Humanst521 BT" w:eastAsia="Verdana" w:hAnsi="Humanst521 BT" w:cs="Verdana"/>
          <w:b w:val="0"/>
          <w:bCs w:val="0"/>
          <w:noProof/>
          <w:color w:val="auto"/>
          <w:sz w:val="22"/>
          <w:szCs w:val="22"/>
          <w:lang w:val="es-ES"/>
        </w:rPr>
        <w:t>7</w:t>
      </w:r>
      <w:r w:rsidRPr="007F0FA7">
        <w:rPr>
          <w:rFonts w:ascii="Humanst521 BT" w:eastAsia="Verdana" w:hAnsi="Humanst521 BT" w:cs="Verdana"/>
          <w:b w:val="0"/>
          <w:bCs w:val="0"/>
          <w:color w:val="auto"/>
          <w:sz w:val="22"/>
          <w:szCs w:val="22"/>
          <w:lang w:val="es-ES"/>
        </w:rPr>
        <w:fldChar w:fldCharType="end"/>
      </w:r>
      <w:r w:rsidR="002E6B4A">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Afiliados en condición de discapacidad por </w:t>
      </w:r>
      <w:r>
        <w:rPr>
          <w:rFonts w:ascii="Humanst521 BT" w:eastAsia="Verdana" w:hAnsi="Humanst521 BT" w:cs="Verdana"/>
          <w:b w:val="0"/>
          <w:bCs w:val="0"/>
          <w:color w:val="auto"/>
          <w:sz w:val="22"/>
          <w:szCs w:val="22"/>
          <w:lang w:val="es-ES"/>
        </w:rPr>
        <w:t xml:space="preserve">ciclo </w:t>
      </w:r>
      <w:proofErr w:type="gramStart"/>
      <w:r>
        <w:rPr>
          <w:rFonts w:ascii="Humanst521 BT" w:eastAsia="Verdana" w:hAnsi="Humanst521 BT" w:cs="Verdana"/>
          <w:b w:val="0"/>
          <w:bCs w:val="0"/>
          <w:color w:val="auto"/>
          <w:sz w:val="22"/>
          <w:szCs w:val="22"/>
          <w:lang w:val="es-ES"/>
        </w:rPr>
        <w:t xml:space="preserve">vital </w:t>
      </w:r>
      <w:r w:rsidRPr="007F0FA7">
        <w:rPr>
          <w:rFonts w:ascii="Humanst521 BT" w:eastAsia="Verdana" w:hAnsi="Humanst521 BT" w:cs="Verdana"/>
          <w:b w:val="0"/>
          <w:bCs w:val="0"/>
          <w:color w:val="auto"/>
          <w:sz w:val="22"/>
          <w:szCs w:val="22"/>
          <w:lang w:val="es-ES"/>
        </w:rPr>
        <w:t xml:space="preserve"> y</w:t>
      </w:r>
      <w:proofErr w:type="gramEnd"/>
      <w:r w:rsidRPr="007F0FA7">
        <w:rPr>
          <w:rFonts w:ascii="Humanst521 BT" w:eastAsia="Verdana" w:hAnsi="Humanst521 BT" w:cs="Verdana"/>
          <w:b w:val="0"/>
          <w:bCs w:val="0"/>
          <w:color w:val="auto"/>
          <w:sz w:val="22"/>
          <w:szCs w:val="22"/>
          <w:lang w:val="es-ES"/>
        </w:rPr>
        <w:t xml:space="preserve"> sexo UISALUD</w:t>
      </w:r>
      <w:bookmarkEnd w:id="37"/>
    </w:p>
    <w:p w14:paraId="3ADF8FE6" w14:textId="77777777" w:rsidR="00004AEB" w:rsidRDefault="00004AEB" w:rsidP="00004AEB"/>
    <w:tbl>
      <w:tblPr>
        <w:tblW w:w="4898" w:type="pct"/>
        <w:tblCellMar>
          <w:left w:w="70" w:type="dxa"/>
          <w:right w:w="70" w:type="dxa"/>
        </w:tblCellMar>
        <w:tblLook w:val="04A0" w:firstRow="1" w:lastRow="0" w:firstColumn="1" w:lastColumn="0" w:noHBand="0" w:noVBand="1"/>
      </w:tblPr>
      <w:tblGrid>
        <w:gridCol w:w="2133"/>
        <w:gridCol w:w="2065"/>
        <w:gridCol w:w="2882"/>
        <w:gridCol w:w="2265"/>
      </w:tblGrid>
      <w:tr w:rsidR="00727677" w:rsidRPr="00727677" w14:paraId="11B2EA5D" w14:textId="77777777" w:rsidTr="00531532">
        <w:trPr>
          <w:trHeight w:val="141"/>
        </w:trPr>
        <w:tc>
          <w:tcPr>
            <w:tcW w:w="1141" w:type="pc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6D20C2AD" w14:textId="77777777" w:rsidR="00727677" w:rsidRPr="00727677" w:rsidRDefault="00727677" w:rsidP="00727677">
            <w:pPr>
              <w:widowControl/>
              <w:autoSpaceDE/>
              <w:autoSpaceDN/>
              <w:jc w:val="center"/>
              <w:rPr>
                <w:rFonts w:ascii="Humanst521 BT" w:eastAsia="Times New Roman" w:hAnsi="Humanst521 BT" w:cs="Arial"/>
                <w:b/>
                <w:bCs/>
                <w:color w:val="000000"/>
                <w:sz w:val="20"/>
                <w:szCs w:val="20"/>
                <w:lang w:val="es-CO" w:eastAsia="es-CO"/>
              </w:rPr>
            </w:pPr>
            <w:r w:rsidRPr="00727677">
              <w:rPr>
                <w:rFonts w:ascii="Humanst521 BT" w:eastAsia="Times New Roman" w:hAnsi="Humanst521 BT" w:cs="Arial"/>
                <w:b/>
                <w:bCs/>
                <w:color w:val="000000"/>
                <w:sz w:val="20"/>
                <w:szCs w:val="20"/>
                <w:lang w:val="es-CO" w:eastAsia="es-CO"/>
              </w:rPr>
              <w:t>Grupos quinquenales de edad</w:t>
            </w:r>
          </w:p>
        </w:tc>
        <w:tc>
          <w:tcPr>
            <w:tcW w:w="1105" w:type="pct"/>
            <w:tcBorders>
              <w:top w:val="single" w:sz="8" w:space="0" w:color="67B93E"/>
              <w:left w:val="nil"/>
              <w:bottom w:val="single" w:sz="8" w:space="0" w:color="67B93E"/>
              <w:right w:val="single" w:sz="8" w:space="0" w:color="67B93E"/>
            </w:tcBorders>
            <w:shd w:val="clear" w:color="000000" w:fill="C5E0B3"/>
            <w:vAlign w:val="center"/>
            <w:hideMark/>
          </w:tcPr>
          <w:p w14:paraId="1CD94F4D" w14:textId="77777777" w:rsidR="00727677" w:rsidRPr="00727677" w:rsidRDefault="00727677" w:rsidP="00727677">
            <w:pPr>
              <w:widowControl/>
              <w:autoSpaceDE/>
              <w:autoSpaceDN/>
              <w:jc w:val="center"/>
              <w:rPr>
                <w:rFonts w:ascii="Humanst521 BT" w:eastAsia="Times New Roman" w:hAnsi="Humanst521 BT" w:cs="Arial"/>
                <w:b/>
                <w:bCs/>
                <w:color w:val="000000"/>
                <w:sz w:val="20"/>
                <w:szCs w:val="20"/>
                <w:lang w:val="es-CO" w:eastAsia="es-CO"/>
              </w:rPr>
            </w:pPr>
            <w:r w:rsidRPr="00727677">
              <w:rPr>
                <w:rFonts w:ascii="Humanst521 BT" w:eastAsia="Times New Roman" w:hAnsi="Humanst521 BT" w:cs="Arial"/>
                <w:b/>
                <w:bCs/>
                <w:color w:val="000000"/>
                <w:sz w:val="20"/>
                <w:szCs w:val="20"/>
                <w:lang w:val="es-CO" w:eastAsia="es-CO"/>
              </w:rPr>
              <w:t xml:space="preserve">Proporción de mujeres afiliadas </w:t>
            </w:r>
            <w:r w:rsidRPr="00727677">
              <w:rPr>
                <w:rFonts w:ascii="Humanst521 BT" w:eastAsia="Times New Roman" w:hAnsi="Humanst521 BT" w:cs="Arial"/>
                <w:b/>
                <w:bCs/>
                <w:color w:val="000000"/>
                <w:sz w:val="20"/>
                <w:szCs w:val="20"/>
                <w:shd w:val="clear" w:color="auto" w:fill="B3CC82"/>
                <w:lang w:val="es-CO" w:eastAsia="es-CO"/>
              </w:rPr>
              <w:t>en condició</w:t>
            </w:r>
            <w:r w:rsidRPr="00727677">
              <w:rPr>
                <w:rFonts w:ascii="Humanst521 BT" w:eastAsia="Times New Roman" w:hAnsi="Humanst521 BT" w:cs="Arial"/>
                <w:b/>
                <w:bCs/>
                <w:color w:val="000000"/>
                <w:sz w:val="20"/>
                <w:szCs w:val="20"/>
                <w:lang w:val="es-CO" w:eastAsia="es-CO"/>
              </w:rPr>
              <w:t>n de discapacidad</w:t>
            </w:r>
          </w:p>
        </w:tc>
        <w:tc>
          <w:tcPr>
            <w:tcW w:w="1542" w:type="pct"/>
            <w:tcBorders>
              <w:top w:val="single" w:sz="8" w:space="0" w:color="67B93E"/>
              <w:left w:val="nil"/>
              <w:bottom w:val="single" w:sz="8" w:space="0" w:color="67B93E"/>
              <w:right w:val="single" w:sz="8" w:space="0" w:color="67B93E"/>
            </w:tcBorders>
            <w:shd w:val="clear" w:color="000000" w:fill="C5E0B3"/>
            <w:vAlign w:val="center"/>
            <w:hideMark/>
          </w:tcPr>
          <w:p w14:paraId="57C3F88A" w14:textId="77777777" w:rsidR="00727677" w:rsidRPr="00727677" w:rsidRDefault="00727677" w:rsidP="00727677">
            <w:pPr>
              <w:widowControl/>
              <w:autoSpaceDE/>
              <w:autoSpaceDN/>
              <w:jc w:val="center"/>
              <w:rPr>
                <w:rFonts w:ascii="Humanst521 BT" w:eastAsia="Times New Roman" w:hAnsi="Humanst521 BT" w:cs="Arial"/>
                <w:b/>
                <w:bCs/>
                <w:color w:val="000000"/>
                <w:sz w:val="20"/>
                <w:szCs w:val="20"/>
                <w:lang w:val="es-CO" w:eastAsia="es-CO"/>
              </w:rPr>
            </w:pPr>
            <w:r w:rsidRPr="00727677">
              <w:rPr>
                <w:rFonts w:ascii="Humanst521 BT" w:eastAsia="Times New Roman" w:hAnsi="Humanst521 BT" w:cs="Arial"/>
                <w:b/>
                <w:bCs/>
                <w:color w:val="000000"/>
                <w:sz w:val="20"/>
                <w:szCs w:val="20"/>
                <w:lang w:val="es-CO" w:eastAsia="es-CO"/>
              </w:rPr>
              <w:t>Proporción de hombres afiliados en condición de discapacidad</w:t>
            </w:r>
          </w:p>
        </w:tc>
        <w:tc>
          <w:tcPr>
            <w:tcW w:w="1213" w:type="pct"/>
            <w:tcBorders>
              <w:top w:val="single" w:sz="8" w:space="0" w:color="67B93E"/>
              <w:left w:val="nil"/>
              <w:bottom w:val="single" w:sz="8" w:space="0" w:color="67B93E"/>
              <w:right w:val="single" w:sz="8" w:space="0" w:color="67B93E"/>
            </w:tcBorders>
            <w:shd w:val="clear" w:color="000000" w:fill="C5E0B3"/>
            <w:vAlign w:val="center"/>
            <w:hideMark/>
          </w:tcPr>
          <w:p w14:paraId="1422AF7C" w14:textId="77777777" w:rsidR="00727677" w:rsidRPr="00727677" w:rsidRDefault="00727677" w:rsidP="00727677">
            <w:pPr>
              <w:widowControl/>
              <w:autoSpaceDE/>
              <w:autoSpaceDN/>
              <w:jc w:val="center"/>
              <w:rPr>
                <w:rFonts w:ascii="Humanst521 BT" w:eastAsia="Times New Roman" w:hAnsi="Humanst521 BT" w:cs="Arial"/>
                <w:b/>
                <w:bCs/>
                <w:color w:val="000000"/>
                <w:sz w:val="20"/>
                <w:szCs w:val="20"/>
                <w:lang w:val="es-CO" w:eastAsia="es-CO"/>
              </w:rPr>
            </w:pPr>
            <w:r w:rsidRPr="00727677">
              <w:rPr>
                <w:rFonts w:ascii="Humanst521 BT" w:eastAsia="Times New Roman" w:hAnsi="Humanst521 BT" w:cs="Arial"/>
                <w:b/>
                <w:bCs/>
                <w:color w:val="000000"/>
                <w:sz w:val="20"/>
                <w:szCs w:val="20"/>
                <w:lang w:val="es-CO" w:eastAsia="es-CO"/>
              </w:rPr>
              <w:t>Proporción de afiliados total en condición de discapacidad</w:t>
            </w:r>
          </w:p>
        </w:tc>
      </w:tr>
      <w:tr w:rsidR="00727677" w:rsidRPr="00727677" w14:paraId="53591746" w14:textId="77777777" w:rsidTr="00531532">
        <w:trPr>
          <w:trHeight w:val="274"/>
        </w:trPr>
        <w:tc>
          <w:tcPr>
            <w:tcW w:w="1141" w:type="pct"/>
            <w:tcBorders>
              <w:top w:val="nil"/>
              <w:left w:val="single" w:sz="8" w:space="0" w:color="67B93E"/>
              <w:bottom w:val="single" w:sz="8" w:space="0" w:color="67B93E"/>
              <w:right w:val="single" w:sz="8" w:space="0" w:color="67B93E"/>
            </w:tcBorders>
            <w:shd w:val="clear" w:color="000000" w:fill="FFFFFF"/>
            <w:vAlign w:val="center"/>
            <w:hideMark/>
          </w:tcPr>
          <w:p w14:paraId="17D59BBF"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05 a 14 años</w:t>
            </w:r>
          </w:p>
        </w:tc>
        <w:tc>
          <w:tcPr>
            <w:tcW w:w="1105" w:type="pct"/>
            <w:tcBorders>
              <w:top w:val="nil"/>
              <w:left w:val="nil"/>
              <w:bottom w:val="single" w:sz="8" w:space="0" w:color="67B93E"/>
              <w:right w:val="single" w:sz="8" w:space="0" w:color="67B93E"/>
            </w:tcBorders>
            <w:shd w:val="clear" w:color="000000" w:fill="FFFFFF"/>
            <w:vAlign w:val="center"/>
            <w:hideMark/>
          </w:tcPr>
          <w:p w14:paraId="78C4BD6F"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1,09</w:t>
            </w:r>
          </w:p>
        </w:tc>
        <w:tc>
          <w:tcPr>
            <w:tcW w:w="1542" w:type="pct"/>
            <w:tcBorders>
              <w:top w:val="nil"/>
              <w:left w:val="nil"/>
              <w:bottom w:val="single" w:sz="8" w:space="0" w:color="67B93E"/>
              <w:right w:val="single" w:sz="8" w:space="0" w:color="67B93E"/>
            </w:tcBorders>
            <w:shd w:val="clear" w:color="000000" w:fill="FFFFFF"/>
            <w:vAlign w:val="center"/>
            <w:hideMark/>
          </w:tcPr>
          <w:p w14:paraId="2EA43D5E"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0,91</w:t>
            </w:r>
          </w:p>
        </w:tc>
        <w:tc>
          <w:tcPr>
            <w:tcW w:w="1213" w:type="pct"/>
            <w:tcBorders>
              <w:top w:val="nil"/>
              <w:left w:val="nil"/>
              <w:bottom w:val="single" w:sz="8" w:space="0" w:color="67B93E"/>
              <w:right w:val="single" w:sz="8" w:space="0" w:color="67B93E"/>
            </w:tcBorders>
            <w:shd w:val="clear" w:color="000000" w:fill="FFFFFF"/>
            <w:vAlign w:val="center"/>
            <w:hideMark/>
          </w:tcPr>
          <w:p w14:paraId="6DD3044E"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0,99</w:t>
            </w:r>
          </w:p>
        </w:tc>
      </w:tr>
      <w:tr w:rsidR="00727677" w:rsidRPr="00727677" w14:paraId="5C118D0F" w14:textId="77777777" w:rsidTr="00531532">
        <w:trPr>
          <w:trHeight w:val="274"/>
        </w:trPr>
        <w:tc>
          <w:tcPr>
            <w:tcW w:w="1141" w:type="pct"/>
            <w:tcBorders>
              <w:top w:val="nil"/>
              <w:left w:val="single" w:sz="8" w:space="0" w:color="67B93E"/>
              <w:bottom w:val="single" w:sz="8" w:space="0" w:color="67B93E"/>
              <w:right w:val="single" w:sz="8" w:space="0" w:color="67B93E"/>
            </w:tcBorders>
            <w:shd w:val="clear" w:color="000000" w:fill="F2F2F2"/>
            <w:vAlign w:val="center"/>
            <w:hideMark/>
          </w:tcPr>
          <w:p w14:paraId="1BDECAD9"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 xml:space="preserve">19 a 44 años </w:t>
            </w:r>
          </w:p>
        </w:tc>
        <w:tc>
          <w:tcPr>
            <w:tcW w:w="1105" w:type="pct"/>
            <w:tcBorders>
              <w:top w:val="nil"/>
              <w:left w:val="nil"/>
              <w:bottom w:val="single" w:sz="8" w:space="0" w:color="67B93E"/>
              <w:right w:val="single" w:sz="8" w:space="0" w:color="67B93E"/>
            </w:tcBorders>
            <w:shd w:val="clear" w:color="000000" w:fill="F2F2F2"/>
            <w:vAlign w:val="center"/>
            <w:hideMark/>
          </w:tcPr>
          <w:p w14:paraId="4D18A852"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4,02</w:t>
            </w:r>
          </w:p>
        </w:tc>
        <w:tc>
          <w:tcPr>
            <w:tcW w:w="1542" w:type="pct"/>
            <w:tcBorders>
              <w:top w:val="nil"/>
              <w:left w:val="nil"/>
              <w:bottom w:val="single" w:sz="8" w:space="0" w:color="67B93E"/>
              <w:right w:val="single" w:sz="8" w:space="0" w:color="67B93E"/>
            </w:tcBorders>
            <w:shd w:val="clear" w:color="000000" w:fill="F2F2F2"/>
            <w:vAlign w:val="center"/>
            <w:hideMark/>
          </w:tcPr>
          <w:p w14:paraId="45FE2230"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6,33</w:t>
            </w:r>
          </w:p>
        </w:tc>
        <w:tc>
          <w:tcPr>
            <w:tcW w:w="1213" w:type="pct"/>
            <w:tcBorders>
              <w:top w:val="nil"/>
              <w:left w:val="nil"/>
              <w:bottom w:val="single" w:sz="8" w:space="0" w:color="67B93E"/>
              <w:right w:val="single" w:sz="8" w:space="0" w:color="67B93E"/>
            </w:tcBorders>
            <w:shd w:val="clear" w:color="000000" w:fill="F2F2F2"/>
            <w:vAlign w:val="center"/>
            <w:hideMark/>
          </w:tcPr>
          <w:p w14:paraId="41726175"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5,17</w:t>
            </w:r>
          </w:p>
        </w:tc>
      </w:tr>
      <w:tr w:rsidR="00727677" w:rsidRPr="00727677" w14:paraId="2F09544E" w14:textId="77777777" w:rsidTr="00531532">
        <w:trPr>
          <w:trHeight w:val="274"/>
        </w:trPr>
        <w:tc>
          <w:tcPr>
            <w:tcW w:w="1141" w:type="pct"/>
            <w:tcBorders>
              <w:top w:val="nil"/>
              <w:left w:val="single" w:sz="8" w:space="0" w:color="67B93E"/>
              <w:bottom w:val="single" w:sz="8" w:space="0" w:color="67B93E"/>
              <w:right w:val="single" w:sz="8" w:space="0" w:color="67B93E"/>
            </w:tcBorders>
            <w:shd w:val="clear" w:color="000000" w:fill="FFFFFF"/>
            <w:vAlign w:val="center"/>
            <w:hideMark/>
          </w:tcPr>
          <w:p w14:paraId="285D6433"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45 a 49 años</w:t>
            </w:r>
          </w:p>
        </w:tc>
        <w:tc>
          <w:tcPr>
            <w:tcW w:w="1105" w:type="pct"/>
            <w:tcBorders>
              <w:top w:val="nil"/>
              <w:left w:val="nil"/>
              <w:bottom w:val="single" w:sz="8" w:space="0" w:color="67B93E"/>
              <w:right w:val="single" w:sz="8" w:space="0" w:color="67B93E"/>
            </w:tcBorders>
            <w:shd w:val="clear" w:color="000000" w:fill="FFFFFF"/>
            <w:vAlign w:val="center"/>
            <w:hideMark/>
          </w:tcPr>
          <w:p w14:paraId="21D9B3A6"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1,15</w:t>
            </w:r>
          </w:p>
        </w:tc>
        <w:tc>
          <w:tcPr>
            <w:tcW w:w="1542" w:type="pct"/>
            <w:tcBorders>
              <w:top w:val="nil"/>
              <w:left w:val="nil"/>
              <w:bottom w:val="single" w:sz="8" w:space="0" w:color="67B93E"/>
              <w:right w:val="single" w:sz="8" w:space="0" w:color="67B93E"/>
            </w:tcBorders>
            <w:shd w:val="clear" w:color="000000" w:fill="FFFFFF"/>
            <w:vAlign w:val="center"/>
            <w:hideMark/>
          </w:tcPr>
          <w:p w14:paraId="37CDA6D8"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6,86</w:t>
            </w:r>
          </w:p>
        </w:tc>
        <w:tc>
          <w:tcPr>
            <w:tcW w:w="1213" w:type="pct"/>
            <w:tcBorders>
              <w:top w:val="nil"/>
              <w:left w:val="nil"/>
              <w:bottom w:val="single" w:sz="8" w:space="0" w:color="67B93E"/>
              <w:right w:val="single" w:sz="8" w:space="0" w:color="67B93E"/>
            </w:tcBorders>
            <w:shd w:val="clear" w:color="000000" w:fill="FFFFFF"/>
            <w:vAlign w:val="center"/>
            <w:hideMark/>
          </w:tcPr>
          <w:p w14:paraId="67868781"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4,23</w:t>
            </w:r>
          </w:p>
        </w:tc>
      </w:tr>
      <w:tr w:rsidR="00727677" w:rsidRPr="00727677" w14:paraId="016D5870" w14:textId="77777777" w:rsidTr="00531532">
        <w:trPr>
          <w:trHeight w:val="274"/>
        </w:trPr>
        <w:tc>
          <w:tcPr>
            <w:tcW w:w="1141" w:type="pct"/>
            <w:tcBorders>
              <w:top w:val="nil"/>
              <w:left w:val="single" w:sz="8" w:space="0" w:color="67B93E"/>
              <w:bottom w:val="single" w:sz="8" w:space="0" w:color="67B93E"/>
              <w:right w:val="single" w:sz="8" w:space="0" w:color="67B93E"/>
            </w:tcBorders>
            <w:shd w:val="clear" w:color="000000" w:fill="F2F2F2"/>
            <w:vAlign w:val="center"/>
            <w:hideMark/>
          </w:tcPr>
          <w:p w14:paraId="13F3F228"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50 a 54 años</w:t>
            </w:r>
          </w:p>
        </w:tc>
        <w:tc>
          <w:tcPr>
            <w:tcW w:w="1105" w:type="pct"/>
            <w:tcBorders>
              <w:top w:val="nil"/>
              <w:left w:val="nil"/>
              <w:bottom w:val="single" w:sz="8" w:space="0" w:color="67B93E"/>
              <w:right w:val="single" w:sz="8" w:space="0" w:color="67B93E"/>
            </w:tcBorders>
            <w:shd w:val="clear" w:color="000000" w:fill="F2F2F2"/>
            <w:vAlign w:val="center"/>
            <w:hideMark/>
          </w:tcPr>
          <w:p w14:paraId="109D9664"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1,04</w:t>
            </w:r>
          </w:p>
        </w:tc>
        <w:tc>
          <w:tcPr>
            <w:tcW w:w="1542" w:type="pct"/>
            <w:tcBorders>
              <w:top w:val="nil"/>
              <w:left w:val="nil"/>
              <w:bottom w:val="single" w:sz="8" w:space="0" w:color="67B93E"/>
              <w:right w:val="single" w:sz="8" w:space="0" w:color="67B93E"/>
            </w:tcBorders>
            <w:shd w:val="clear" w:color="000000" w:fill="F2F2F2"/>
            <w:vAlign w:val="center"/>
            <w:hideMark/>
          </w:tcPr>
          <w:p w14:paraId="089F341A"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6,41</w:t>
            </w:r>
          </w:p>
        </w:tc>
        <w:tc>
          <w:tcPr>
            <w:tcW w:w="1213" w:type="pct"/>
            <w:tcBorders>
              <w:top w:val="nil"/>
              <w:left w:val="nil"/>
              <w:bottom w:val="single" w:sz="8" w:space="0" w:color="67B93E"/>
              <w:right w:val="single" w:sz="8" w:space="0" w:color="67B93E"/>
            </w:tcBorders>
            <w:shd w:val="clear" w:color="000000" w:fill="F2F2F2"/>
            <w:vAlign w:val="center"/>
            <w:hideMark/>
          </w:tcPr>
          <w:p w14:paraId="5E9E7EA5"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3,45</w:t>
            </w:r>
          </w:p>
        </w:tc>
      </w:tr>
      <w:tr w:rsidR="00727677" w:rsidRPr="00727677" w14:paraId="1C5B8845" w14:textId="77777777" w:rsidTr="00531532">
        <w:trPr>
          <w:trHeight w:val="274"/>
        </w:trPr>
        <w:tc>
          <w:tcPr>
            <w:tcW w:w="1141" w:type="pct"/>
            <w:tcBorders>
              <w:top w:val="nil"/>
              <w:left w:val="single" w:sz="8" w:space="0" w:color="67B93E"/>
              <w:bottom w:val="single" w:sz="8" w:space="0" w:color="67B93E"/>
              <w:right w:val="single" w:sz="8" w:space="0" w:color="67B93E"/>
            </w:tcBorders>
            <w:shd w:val="clear" w:color="000000" w:fill="FFFFFF"/>
            <w:vAlign w:val="center"/>
            <w:hideMark/>
          </w:tcPr>
          <w:p w14:paraId="5AE661A8"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55 a 59 años</w:t>
            </w:r>
          </w:p>
        </w:tc>
        <w:tc>
          <w:tcPr>
            <w:tcW w:w="1105" w:type="pct"/>
            <w:tcBorders>
              <w:top w:val="nil"/>
              <w:left w:val="nil"/>
              <w:bottom w:val="single" w:sz="8" w:space="0" w:color="67B93E"/>
              <w:right w:val="single" w:sz="8" w:space="0" w:color="67B93E"/>
            </w:tcBorders>
            <w:shd w:val="clear" w:color="000000" w:fill="FFFFFF"/>
            <w:vAlign w:val="center"/>
            <w:hideMark/>
          </w:tcPr>
          <w:p w14:paraId="533D40E0"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1,08</w:t>
            </w:r>
          </w:p>
        </w:tc>
        <w:tc>
          <w:tcPr>
            <w:tcW w:w="1542" w:type="pct"/>
            <w:tcBorders>
              <w:top w:val="nil"/>
              <w:left w:val="nil"/>
              <w:bottom w:val="single" w:sz="8" w:space="0" w:color="67B93E"/>
              <w:right w:val="single" w:sz="8" w:space="0" w:color="67B93E"/>
            </w:tcBorders>
            <w:shd w:val="clear" w:color="000000" w:fill="FFFFFF"/>
            <w:vAlign w:val="center"/>
            <w:hideMark/>
          </w:tcPr>
          <w:p w14:paraId="6FEEA451"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2,20</w:t>
            </w:r>
          </w:p>
        </w:tc>
        <w:tc>
          <w:tcPr>
            <w:tcW w:w="1213" w:type="pct"/>
            <w:tcBorders>
              <w:top w:val="nil"/>
              <w:left w:val="nil"/>
              <w:bottom w:val="single" w:sz="8" w:space="0" w:color="67B93E"/>
              <w:right w:val="single" w:sz="8" w:space="0" w:color="67B93E"/>
            </w:tcBorders>
            <w:shd w:val="clear" w:color="000000" w:fill="FFFFFF"/>
            <w:vAlign w:val="center"/>
            <w:hideMark/>
          </w:tcPr>
          <w:p w14:paraId="3122BA8D"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1,63</w:t>
            </w:r>
          </w:p>
        </w:tc>
      </w:tr>
      <w:tr w:rsidR="00727677" w:rsidRPr="00727677" w14:paraId="1F4AFCB3" w14:textId="77777777" w:rsidTr="00531532">
        <w:trPr>
          <w:trHeight w:val="274"/>
        </w:trPr>
        <w:tc>
          <w:tcPr>
            <w:tcW w:w="1141" w:type="pct"/>
            <w:tcBorders>
              <w:top w:val="nil"/>
              <w:left w:val="single" w:sz="8" w:space="0" w:color="67B93E"/>
              <w:bottom w:val="single" w:sz="8" w:space="0" w:color="67B93E"/>
              <w:right w:val="single" w:sz="8" w:space="0" w:color="67B93E"/>
            </w:tcBorders>
            <w:shd w:val="clear" w:color="000000" w:fill="F2F2F2"/>
            <w:vAlign w:val="center"/>
            <w:hideMark/>
          </w:tcPr>
          <w:p w14:paraId="7E8778C2"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60 a 64 años</w:t>
            </w:r>
          </w:p>
        </w:tc>
        <w:tc>
          <w:tcPr>
            <w:tcW w:w="1105" w:type="pct"/>
            <w:tcBorders>
              <w:top w:val="nil"/>
              <w:left w:val="nil"/>
              <w:bottom w:val="single" w:sz="8" w:space="0" w:color="67B93E"/>
              <w:right w:val="single" w:sz="8" w:space="0" w:color="67B93E"/>
            </w:tcBorders>
            <w:shd w:val="clear" w:color="000000" w:fill="F2F2F2"/>
            <w:vAlign w:val="center"/>
            <w:hideMark/>
          </w:tcPr>
          <w:p w14:paraId="2E30A56F"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0,72</w:t>
            </w:r>
          </w:p>
        </w:tc>
        <w:tc>
          <w:tcPr>
            <w:tcW w:w="1542" w:type="pct"/>
            <w:tcBorders>
              <w:top w:val="nil"/>
              <w:left w:val="nil"/>
              <w:bottom w:val="single" w:sz="8" w:space="0" w:color="67B93E"/>
              <w:right w:val="single" w:sz="8" w:space="0" w:color="67B93E"/>
            </w:tcBorders>
            <w:shd w:val="clear" w:color="000000" w:fill="F2F2F2"/>
            <w:vAlign w:val="center"/>
            <w:hideMark/>
          </w:tcPr>
          <w:p w14:paraId="1B477003"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1,01</w:t>
            </w:r>
          </w:p>
        </w:tc>
        <w:tc>
          <w:tcPr>
            <w:tcW w:w="1213" w:type="pct"/>
            <w:tcBorders>
              <w:top w:val="nil"/>
              <w:left w:val="nil"/>
              <w:bottom w:val="single" w:sz="8" w:space="0" w:color="67B93E"/>
              <w:right w:val="single" w:sz="8" w:space="0" w:color="67B93E"/>
            </w:tcBorders>
            <w:shd w:val="clear" w:color="000000" w:fill="F2F2F2"/>
            <w:vAlign w:val="center"/>
            <w:hideMark/>
          </w:tcPr>
          <w:p w14:paraId="1EA0F105"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0,84</w:t>
            </w:r>
          </w:p>
        </w:tc>
      </w:tr>
      <w:tr w:rsidR="00727677" w:rsidRPr="00727677" w14:paraId="14CFC2EF" w14:textId="77777777" w:rsidTr="00531532">
        <w:trPr>
          <w:trHeight w:val="274"/>
        </w:trPr>
        <w:tc>
          <w:tcPr>
            <w:tcW w:w="1141" w:type="pct"/>
            <w:tcBorders>
              <w:top w:val="nil"/>
              <w:left w:val="single" w:sz="8" w:space="0" w:color="67B93E"/>
              <w:bottom w:val="single" w:sz="8" w:space="0" w:color="67B93E"/>
              <w:right w:val="single" w:sz="8" w:space="0" w:color="67B93E"/>
            </w:tcBorders>
            <w:shd w:val="clear" w:color="000000" w:fill="FFFFFF"/>
            <w:vAlign w:val="center"/>
            <w:hideMark/>
          </w:tcPr>
          <w:p w14:paraId="1ACD1521"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65 a 69 años</w:t>
            </w:r>
          </w:p>
        </w:tc>
        <w:tc>
          <w:tcPr>
            <w:tcW w:w="1105" w:type="pct"/>
            <w:tcBorders>
              <w:top w:val="nil"/>
              <w:left w:val="nil"/>
              <w:bottom w:val="single" w:sz="8" w:space="0" w:color="67B93E"/>
              <w:right w:val="single" w:sz="8" w:space="0" w:color="67B93E"/>
            </w:tcBorders>
            <w:shd w:val="clear" w:color="000000" w:fill="FFFFFF"/>
            <w:vAlign w:val="center"/>
            <w:hideMark/>
          </w:tcPr>
          <w:p w14:paraId="48B04C02"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0,00</w:t>
            </w:r>
          </w:p>
        </w:tc>
        <w:tc>
          <w:tcPr>
            <w:tcW w:w="1542" w:type="pct"/>
            <w:tcBorders>
              <w:top w:val="nil"/>
              <w:left w:val="nil"/>
              <w:bottom w:val="single" w:sz="8" w:space="0" w:color="67B93E"/>
              <w:right w:val="single" w:sz="8" w:space="0" w:color="67B93E"/>
            </w:tcBorders>
            <w:shd w:val="clear" w:color="000000" w:fill="FFFFFF"/>
            <w:vAlign w:val="center"/>
            <w:hideMark/>
          </w:tcPr>
          <w:p w14:paraId="2E60CB55"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0,68</w:t>
            </w:r>
          </w:p>
        </w:tc>
        <w:tc>
          <w:tcPr>
            <w:tcW w:w="1213" w:type="pct"/>
            <w:tcBorders>
              <w:top w:val="nil"/>
              <w:left w:val="nil"/>
              <w:bottom w:val="single" w:sz="8" w:space="0" w:color="67B93E"/>
              <w:right w:val="single" w:sz="8" w:space="0" w:color="67B93E"/>
            </w:tcBorders>
            <w:shd w:val="clear" w:color="000000" w:fill="FFFFFF"/>
            <w:vAlign w:val="center"/>
            <w:hideMark/>
          </w:tcPr>
          <w:p w14:paraId="52655737"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0,34</w:t>
            </w:r>
          </w:p>
        </w:tc>
      </w:tr>
      <w:tr w:rsidR="00727677" w:rsidRPr="00727677" w14:paraId="554E2674" w14:textId="77777777" w:rsidTr="00531532">
        <w:trPr>
          <w:trHeight w:val="141"/>
        </w:trPr>
        <w:tc>
          <w:tcPr>
            <w:tcW w:w="1141" w:type="pct"/>
            <w:tcBorders>
              <w:top w:val="nil"/>
              <w:left w:val="single" w:sz="8" w:space="0" w:color="67B93E"/>
              <w:bottom w:val="single" w:sz="8" w:space="0" w:color="67B93E"/>
              <w:right w:val="single" w:sz="8" w:space="0" w:color="67B93E"/>
            </w:tcBorders>
            <w:shd w:val="clear" w:color="000000" w:fill="F2F2F2"/>
            <w:vAlign w:val="center"/>
            <w:hideMark/>
          </w:tcPr>
          <w:p w14:paraId="0175F829"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70 a 74 años</w:t>
            </w:r>
          </w:p>
        </w:tc>
        <w:tc>
          <w:tcPr>
            <w:tcW w:w="1105" w:type="pct"/>
            <w:tcBorders>
              <w:top w:val="nil"/>
              <w:left w:val="nil"/>
              <w:bottom w:val="single" w:sz="8" w:space="0" w:color="67B93E"/>
              <w:right w:val="single" w:sz="8" w:space="0" w:color="67B93E"/>
            </w:tcBorders>
            <w:shd w:val="clear" w:color="000000" w:fill="F2F2F2"/>
            <w:vAlign w:val="center"/>
            <w:hideMark/>
          </w:tcPr>
          <w:p w14:paraId="25BDEC40"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0,68</w:t>
            </w:r>
          </w:p>
        </w:tc>
        <w:tc>
          <w:tcPr>
            <w:tcW w:w="1542" w:type="pct"/>
            <w:tcBorders>
              <w:top w:val="nil"/>
              <w:left w:val="nil"/>
              <w:bottom w:val="single" w:sz="8" w:space="0" w:color="67B93E"/>
              <w:right w:val="single" w:sz="8" w:space="0" w:color="67B93E"/>
            </w:tcBorders>
            <w:shd w:val="clear" w:color="000000" w:fill="F2F2F2"/>
            <w:vAlign w:val="center"/>
            <w:hideMark/>
          </w:tcPr>
          <w:p w14:paraId="021D254D"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0,00</w:t>
            </w:r>
          </w:p>
        </w:tc>
        <w:tc>
          <w:tcPr>
            <w:tcW w:w="1213" w:type="pct"/>
            <w:tcBorders>
              <w:top w:val="nil"/>
              <w:left w:val="nil"/>
              <w:bottom w:val="single" w:sz="8" w:space="0" w:color="67B93E"/>
              <w:right w:val="single" w:sz="8" w:space="0" w:color="67B93E"/>
            </w:tcBorders>
            <w:shd w:val="clear" w:color="000000" w:fill="F2F2F2"/>
            <w:vAlign w:val="center"/>
            <w:hideMark/>
          </w:tcPr>
          <w:p w14:paraId="332CB5FB"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0,36</w:t>
            </w:r>
          </w:p>
        </w:tc>
      </w:tr>
      <w:tr w:rsidR="00727677" w:rsidRPr="00727677" w14:paraId="44DD3F41" w14:textId="77777777" w:rsidTr="00531532">
        <w:trPr>
          <w:trHeight w:val="274"/>
        </w:trPr>
        <w:tc>
          <w:tcPr>
            <w:tcW w:w="1141" w:type="pct"/>
            <w:tcBorders>
              <w:top w:val="nil"/>
              <w:left w:val="single" w:sz="8" w:space="0" w:color="67B93E"/>
              <w:bottom w:val="single" w:sz="8" w:space="0" w:color="67B93E"/>
              <w:right w:val="single" w:sz="8" w:space="0" w:color="67B93E"/>
            </w:tcBorders>
            <w:shd w:val="clear" w:color="000000" w:fill="FFFFFF"/>
            <w:vAlign w:val="center"/>
            <w:hideMark/>
          </w:tcPr>
          <w:p w14:paraId="3226152F" w14:textId="77777777" w:rsidR="00727677" w:rsidRPr="00727677" w:rsidRDefault="00727677" w:rsidP="00727677">
            <w:pPr>
              <w:widowControl/>
              <w:autoSpaceDE/>
              <w:autoSpaceDN/>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75 años y mayores</w:t>
            </w:r>
          </w:p>
        </w:tc>
        <w:tc>
          <w:tcPr>
            <w:tcW w:w="1105" w:type="pct"/>
            <w:tcBorders>
              <w:top w:val="nil"/>
              <w:left w:val="nil"/>
              <w:bottom w:val="single" w:sz="8" w:space="0" w:color="67B93E"/>
              <w:right w:val="single" w:sz="8" w:space="0" w:color="67B93E"/>
            </w:tcBorders>
            <w:shd w:val="clear" w:color="000000" w:fill="FFFFFF"/>
            <w:vAlign w:val="center"/>
            <w:hideMark/>
          </w:tcPr>
          <w:p w14:paraId="7A07708E"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0,00</w:t>
            </w:r>
          </w:p>
        </w:tc>
        <w:tc>
          <w:tcPr>
            <w:tcW w:w="1542" w:type="pct"/>
            <w:tcBorders>
              <w:top w:val="nil"/>
              <w:left w:val="nil"/>
              <w:bottom w:val="single" w:sz="8" w:space="0" w:color="67B93E"/>
              <w:right w:val="single" w:sz="8" w:space="0" w:color="67B93E"/>
            </w:tcBorders>
            <w:shd w:val="clear" w:color="000000" w:fill="FFFFFF"/>
            <w:vAlign w:val="center"/>
            <w:hideMark/>
          </w:tcPr>
          <w:p w14:paraId="0A75F88B"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0,36</w:t>
            </w:r>
          </w:p>
        </w:tc>
        <w:tc>
          <w:tcPr>
            <w:tcW w:w="1213" w:type="pct"/>
            <w:tcBorders>
              <w:top w:val="nil"/>
              <w:left w:val="nil"/>
              <w:bottom w:val="single" w:sz="8" w:space="0" w:color="67B93E"/>
              <w:right w:val="single" w:sz="8" w:space="0" w:color="67B93E"/>
            </w:tcBorders>
            <w:shd w:val="clear" w:color="000000" w:fill="FFFFFF"/>
            <w:vAlign w:val="center"/>
            <w:hideMark/>
          </w:tcPr>
          <w:p w14:paraId="6ACC90D6" w14:textId="77777777" w:rsidR="00727677" w:rsidRPr="00727677" w:rsidRDefault="00727677" w:rsidP="00727677">
            <w:pPr>
              <w:widowControl/>
              <w:autoSpaceDE/>
              <w:autoSpaceDN/>
              <w:jc w:val="center"/>
              <w:rPr>
                <w:rFonts w:ascii="Humanst521 BT" w:eastAsia="Times New Roman" w:hAnsi="Humanst521 BT" w:cs="Arial"/>
                <w:color w:val="000000"/>
                <w:sz w:val="20"/>
                <w:szCs w:val="20"/>
                <w:lang w:val="es-CO" w:eastAsia="es-CO"/>
              </w:rPr>
            </w:pPr>
            <w:r w:rsidRPr="00727677">
              <w:rPr>
                <w:rFonts w:ascii="Humanst521 BT" w:eastAsia="Times New Roman" w:hAnsi="Humanst521 BT" w:cs="Arial"/>
                <w:color w:val="000000"/>
                <w:sz w:val="20"/>
                <w:szCs w:val="20"/>
                <w:lang w:val="es-CO" w:eastAsia="es-CO"/>
              </w:rPr>
              <w:t>0,17</w:t>
            </w:r>
          </w:p>
        </w:tc>
      </w:tr>
      <w:tr w:rsidR="00727677" w:rsidRPr="00727677" w14:paraId="22532C25" w14:textId="77777777" w:rsidTr="00531532">
        <w:trPr>
          <w:trHeight w:val="141"/>
        </w:trPr>
        <w:tc>
          <w:tcPr>
            <w:tcW w:w="1141" w:type="pct"/>
            <w:tcBorders>
              <w:top w:val="nil"/>
              <w:left w:val="single" w:sz="8" w:space="0" w:color="67B93E"/>
              <w:bottom w:val="single" w:sz="8" w:space="0" w:color="67B93E"/>
              <w:right w:val="single" w:sz="8" w:space="0" w:color="67B93E"/>
            </w:tcBorders>
            <w:shd w:val="clear" w:color="000000" w:fill="C5E0B3"/>
            <w:vAlign w:val="center"/>
            <w:hideMark/>
          </w:tcPr>
          <w:p w14:paraId="76D06E76" w14:textId="77777777" w:rsidR="00727677" w:rsidRPr="00727677" w:rsidRDefault="00727677" w:rsidP="00727677">
            <w:pPr>
              <w:widowControl/>
              <w:autoSpaceDE/>
              <w:autoSpaceDN/>
              <w:jc w:val="center"/>
              <w:rPr>
                <w:rFonts w:ascii="Humanst521 BT" w:eastAsia="Times New Roman" w:hAnsi="Humanst521 BT" w:cs="Arial"/>
                <w:b/>
                <w:bCs/>
                <w:color w:val="000000"/>
                <w:sz w:val="20"/>
                <w:szCs w:val="20"/>
                <w:lang w:val="es-CO" w:eastAsia="es-CO"/>
              </w:rPr>
            </w:pPr>
            <w:r w:rsidRPr="00727677">
              <w:rPr>
                <w:rFonts w:ascii="Humanst521 BT" w:eastAsia="Times New Roman" w:hAnsi="Humanst521 BT" w:cs="Arial"/>
                <w:b/>
                <w:bCs/>
                <w:color w:val="000000"/>
                <w:sz w:val="20"/>
                <w:szCs w:val="20"/>
                <w:lang w:val="es-CO" w:eastAsia="es-CO"/>
              </w:rPr>
              <w:t>total</w:t>
            </w:r>
          </w:p>
        </w:tc>
        <w:tc>
          <w:tcPr>
            <w:tcW w:w="1105" w:type="pct"/>
            <w:tcBorders>
              <w:top w:val="nil"/>
              <w:left w:val="nil"/>
              <w:bottom w:val="single" w:sz="8" w:space="0" w:color="67B93E"/>
              <w:right w:val="single" w:sz="8" w:space="0" w:color="67B93E"/>
            </w:tcBorders>
            <w:shd w:val="clear" w:color="000000" w:fill="C5E0B3"/>
            <w:vAlign w:val="center"/>
            <w:hideMark/>
          </w:tcPr>
          <w:p w14:paraId="352A9A81" w14:textId="77777777" w:rsidR="00727677" w:rsidRPr="00727677" w:rsidRDefault="00727677" w:rsidP="00727677">
            <w:pPr>
              <w:widowControl/>
              <w:autoSpaceDE/>
              <w:autoSpaceDN/>
              <w:jc w:val="center"/>
              <w:rPr>
                <w:rFonts w:ascii="Humanst521 BT" w:eastAsia="Times New Roman" w:hAnsi="Humanst521 BT" w:cs="Arial"/>
                <w:b/>
                <w:bCs/>
                <w:color w:val="000000"/>
                <w:sz w:val="20"/>
                <w:szCs w:val="20"/>
                <w:lang w:val="es-CO" w:eastAsia="es-CO"/>
              </w:rPr>
            </w:pPr>
            <w:r w:rsidRPr="00727677">
              <w:rPr>
                <w:rFonts w:ascii="Humanst521 BT" w:eastAsia="Times New Roman" w:hAnsi="Humanst521 BT" w:cs="Arial"/>
                <w:b/>
                <w:bCs/>
                <w:color w:val="000000"/>
                <w:sz w:val="20"/>
                <w:szCs w:val="20"/>
                <w:lang w:val="es-CO" w:eastAsia="es-CO"/>
              </w:rPr>
              <w:t>1,12</w:t>
            </w:r>
          </w:p>
        </w:tc>
        <w:tc>
          <w:tcPr>
            <w:tcW w:w="1542" w:type="pct"/>
            <w:tcBorders>
              <w:top w:val="nil"/>
              <w:left w:val="nil"/>
              <w:bottom w:val="single" w:sz="8" w:space="0" w:color="67B93E"/>
              <w:right w:val="single" w:sz="8" w:space="0" w:color="67B93E"/>
            </w:tcBorders>
            <w:shd w:val="clear" w:color="000000" w:fill="C5E0B3"/>
            <w:vAlign w:val="center"/>
            <w:hideMark/>
          </w:tcPr>
          <w:p w14:paraId="3E762799" w14:textId="77777777" w:rsidR="00727677" w:rsidRPr="00727677" w:rsidRDefault="00727677" w:rsidP="00727677">
            <w:pPr>
              <w:widowControl/>
              <w:autoSpaceDE/>
              <w:autoSpaceDN/>
              <w:jc w:val="center"/>
              <w:rPr>
                <w:rFonts w:ascii="Humanst521 BT" w:eastAsia="Times New Roman" w:hAnsi="Humanst521 BT" w:cs="Arial"/>
                <w:b/>
                <w:bCs/>
                <w:color w:val="000000"/>
                <w:sz w:val="20"/>
                <w:szCs w:val="20"/>
                <w:lang w:val="es-CO" w:eastAsia="es-CO"/>
              </w:rPr>
            </w:pPr>
            <w:r w:rsidRPr="00727677">
              <w:rPr>
                <w:rFonts w:ascii="Humanst521 BT" w:eastAsia="Times New Roman" w:hAnsi="Humanst521 BT" w:cs="Arial"/>
                <w:b/>
                <w:bCs/>
                <w:color w:val="000000"/>
                <w:sz w:val="20"/>
                <w:szCs w:val="20"/>
                <w:lang w:val="es-CO" w:eastAsia="es-CO"/>
              </w:rPr>
              <w:t>2,56</w:t>
            </w:r>
          </w:p>
        </w:tc>
        <w:tc>
          <w:tcPr>
            <w:tcW w:w="1213" w:type="pct"/>
            <w:tcBorders>
              <w:top w:val="nil"/>
              <w:left w:val="nil"/>
              <w:bottom w:val="single" w:sz="8" w:space="0" w:color="67B93E"/>
              <w:right w:val="single" w:sz="8" w:space="0" w:color="67B93E"/>
            </w:tcBorders>
            <w:shd w:val="clear" w:color="000000" w:fill="C5E0B3"/>
            <w:vAlign w:val="center"/>
            <w:hideMark/>
          </w:tcPr>
          <w:p w14:paraId="55D9DF2A" w14:textId="77777777" w:rsidR="00727677" w:rsidRPr="00727677" w:rsidRDefault="00727677" w:rsidP="00727677">
            <w:pPr>
              <w:widowControl/>
              <w:autoSpaceDE/>
              <w:autoSpaceDN/>
              <w:jc w:val="center"/>
              <w:rPr>
                <w:rFonts w:ascii="Humanst521 BT" w:eastAsia="Times New Roman" w:hAnsi="Humanst521 BT" w:cs="Arial"/>
                <w:b/>
                <w:bCs/>
                <w:color w:val="000000"/>
                <w:sz w:val="20"/>
                <w:szCs w:val="20"/>
                <w:lang w:val="es-CO" w:eastAsia="es-CO"/>
              </w:rPr>
            </w:pPr>
            <w:r w:rsidRPr="00727677">
              <w:rPr>
                <w:rFonts w:ascii="Humanst521 BT" w:eastAsia="Times New Roman" w:hAnsi="Humanst521 BT" w:cs="Arial"/>
                <w:b/>
                <w:bCs/>
                <w:color w:val="000000"/>
                <w:sz w:val="20"/>
                <w:szCs w:val="20"/>
                <w:lang w:val="es-CO" w:eastAsia="es-CO"/>
              </w:rPr>
              <w:t>1,81</w:t>
            </w:r>
          </w:p>
        </w:tc>
      </w:tr>
    </w:tbl>
    <w:p w14:paraId="10C9ECFC" w14:textId="5B1D1914" w:rsidR="00422F8C" w:rsidRPr="007F0FA7" w:rsidRDefault="00422F8C" w:rsidP="00093B44">
      <w:pPr>
        <w:rPr>
          <w:rFonts w:ascii="Humanst521 BT" w:hAnsi="Humanst521 BT"/>
          <w:i/>
          <w:iCs/>
        </w:rPr>
      </w:pPr>
      <w:r w:rsidRPr="007F0FA7">
        <w:rPr>
          <w:rFonts w:ascii="Humanst521 BT" w:hAnsi="Humanst521 BT"/>
          <w:i/>
          <w:iCs/>
        </w:rPr>
        <w:t>Fuente: Elaboración propia. Base de datos afiliados: fecha de corte: 3</w:t>
      </w:r>
      <w:r w:rsidR="00AD4B8F">
        <w:rPr>
          <w:rFonts w:ascii="Humanst521 BT" w:hAnsi="Humanst521 BT"/>
          <w:i/>
          <w:iCs/>
        </w:rPr>
        <w:t>1</w:t>
      </w:r>
      <w:r w:rsidRPr="007F0FA7">
        <w:rPr>
          <w:rFonts w:ascii="Humanst521 BT" w:hAnsi="Humanst521 BT"/>
          <w:i/>
          <w:iCs/>
        </w:rPr>
        <w:t xml:space="preserve"> de </w:t>
      </w:r>
      <w:r w:rsidR="00AD4B8F">
        <w:rPr>
          <w:rFonts w:ascii="Humanst521 BT" w:hAnsi="Humanst521 BT"/>
          <w:i/>
          <w:iCs/>
        </w:rPr>
        <w:t>diciembre de 2025</w:t>
      </w:r>
    </w:p>
    <w:p w14:paraId="6EF9AE42" w14:textId="77777777" w:rsidR="004D2B2D" w:rsidRPr="007F0FA7" w:rsidRDefault="004D2B2D" w:rsidP="00093B44">
      <w:pPr>
        <w:rPr>
          <w:rFonts w:ascii="Humanst521 BT" w:hAnsi="Humanst521 BT"/>
        </w:rPr>
      </w:pPr>
    </w:p>
    <w:p w14:paraId="02CABDA6" w14:textId="77777777" w:rsidR="00B00599" w:rsidRDefault="00B00599" w:rsidP="00093B44">
      <w:pPr>
        <w:pStyle w:val="Descripcin"/>
        <w:keepNext/>
        <w:spacing w:line="240" w:lineRule="auto"/>
        <w:rPr>
          <w:rFonts w:ascii="Humanst521 BT" w:eastAsia="Verdana" w:hAnsi="Humanst521 BT" w:cs="Verdana"/>
          <w:b w:val="0"/>
          <w:bCs w:val="0"/>
          <w:color w:val="auto"/>
          <w:sz w:val="22"/>
          <w:szCs w:val="22"/>
          <w:lang w:val="es-ES"/>
        </w:rPr>
      </w:pPr>
    </w:p>
    <w:p w14:paraId="512F91F8" w14:textId="1C72D852" w:rsidR="004D2B2D" w:rsidRPr="007F0FA7" w:rsidRDefault="004D2B2D" w:rsidP="00093B44">
      <w:pPr>
        <w:pStyle w:val="Descripcin"/>
        <w:keepNext/>
        <w:spacing w:line="240" w:lineRule="auto"/>
        <w:rPr>
          <w:rFonts w:ascii="Humanst521 BT" w:eastAsia="Verdana" w:hAnsi="Humanst521 BT" w:cs="Verdana"/>
          <w:b w:val="0"/>
          <w:bCs w:val="0"/>
          <w:color w:val="auto"/>
          <w:sz w:val="22"/>
          <w:szCs w:val="22"/>
          <w:lang w:val="es-ES"/>
        </w:rPr>
      </w:pPr>
      <w:bookmarkStart w:id="38" w:name="_Toc231286253"/>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B00599">
        <w:rPr>
          <w:rFonts w:ascii="Humanst521 BT" w:eastAsia="Verdana" w:hAnsi="Humanst521 BT" w:cs="Verdana"/>
          <w:b w:val="0"/>
          <w:bCs w:val="0"/>
          <w:noProof/>
          <w:color w:val="auto"/>
          <w:sz w:val="22"/>
          <w:szCs w:val="22"/>
          <w:lang w:val="es-ES"/>
        </w:rPr>
        <w:t>8</w:t>
      </w:r>
      <w:r w:rsidRPr="007F0FA7">
        <w:rPr>
          <w:rFonts w:ascii="Humanst521 BT" w:eastAsia="Verdana" w:hAnsi="Humanst521 BT" w:cs="Verdana"/>
          <w:b w:val="0"/>
          <w:bCs w:val="0"/>
          <w:color w:val="auto"/>
          <w:sz w:val="22"/>
          <w:szCs w:val="22"/>
          <w:lang w:val="es-ES"/>
        </w:rPr>
        <w:fldChar w:fldCharType="end"/>
      </w:r>
      <w:r w:rsidR="00A561E9">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Afiliados en condición de discapacidad por </w:t>
      </w:r>
      <w:r w:rsidR="00071E8F" w:rsidRPr="007F0FA7">
        <w:rPr>
          <w:rFonts w:ascii="Humanst521 BT" w:eastAsia="Verdana" w:hAnsi="Humanst521 BT" w:cs="Verdana"/>
          <w:b w:val="0"/>
          <w:bCs w:val="0"/>
          <w:color w:val="auto"/>
          <w:sz w:val="22"/>
          <w:szCs w:val="22"/>
          <w:lang w:val="es-ES"/>
        </w:rPr>
        <w:t>zona de residencia</w:t>
      </w:r>
      <w:r w:rsidRPr="007F0FA7">
        <w:rPr>
          <w:rFonts w:ascii="Humanst521 BT" w:eastAsia="Verdana" w:hAnsi="Humanst521 BT" w:cs="Verdana"/>
          <w:b w:val="0"/>
          <w:bCs w:val="0"/>
          <w:color w:val="auto"/>
          <w:sz w:val="22"/>
          <w:szCs w:val="22"/>
          <w:lang w:val="es-ES"/>
        </w:rPr>
        <w:t xml:space="preserve"> UISALUD</w:t>
      </w:r>
      <w:bookmarkEnd w:id="38"/>
    </w:p>
    <w:tbl>
      <w:tblPr>
        <w:tblW w:w="8980" w:type="dxa"/>
        <w:tblCellMar>
          <w:left w:w="70" w:type="dxa"/>
          <w:right w:w="70" w:type="dxa"/>
        </w:tblCellMar>
        <w:tblLook w:val="04A0" w:firstRow="1" w:lastRow="0" w:firstColumn="1" w:lastColumn="0" w:noHBand="0" w:noVBand="1"/>
      </w:tblPr>
      <w:tblGrid>
        <w:gridCol w:w="1232"/>
        <w:gridCol w:w="1198"/>
        <w:gridCol w:w="1758"/>
        <w:gridCol w:w="1198"/>
        <w:gridCol w:w="1198"/>
        <w:gridCol w:w="1198"/>
        <w:gridCol w:w="1198"/>
      </w:tblGrid>
      <w:tr w:rsidR="00287C2C" w:rsidRPr="00287C2C" w14:paraId="5E08C1ED" w14:textId="77777777" w:rsidTr="00287C2C">
        <w:trPr>
          <w:trHeight w:val="2055"/>
        </w:trPr>
        <w:tc>
          <w:tcPr>
            <w:tcW w:w="1200" w:type="dxa"/>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626F27E4" w14:textId="77777777" w:rsidR="00287C2C" w:rsidRPr="00287C2C" w:rsidRDefault="00287C2C" w:rsidP="00287C2C">
            <w:pPr>
              <w:widowControl/>
              <w:autoSpaceDE/>
              <w:autoSpaceDN/>
              <w:jc w:val="center"/>
              <w:rPr>
                <w:rFonts w:ascii="Humanst521 BT" w:eastAsia="Times New Roman" w:hAnsi="Humanst521 BT" w:cs="Calibri"/>
                <w:b/>
                <w:bCs/>
                <w:color w:val="000000"/>
                <w:sz w:val="20"/>
                <w:szCs w:val="20"/>
                <w:lang w:val="es-CO" w:eastAsia="es-CO"/>
              </w:rPr>
            </w:pPr>
            <w:r w:rsidRPr="00287C2C">
              <w:rPr>
                <w:rFonts w:ascii="Humanst521 BT" w:eastAsia="Times New Roman" w:hAnsi="Humanst521 BT" w:cs="Calibri"/>
                <w:b/>
                <w:bCs/>
                <w:color w:val="000000"/>
                <w:sz w:val="20"/>
                <w:szCs w:val="20"/>
                <w:lang w:val="es-CO" w:eastAsia="es-CO"/>
              </w:rPr>
              <w:t>RESIDENCIA</w:t>
            </w:r>
          </w:p>
        </w:tc>
        <w:tc>
          <w:tcPr>
            <w:tcW w:w="1200" w:type="dxa"/>
            <w:tcBorders>
              <w:top w:val="single" w:sz="8" w:space="0" w:color="67B93E"/>
              <w:left w:val="nil"/>
              <w:bottom w:val="single" w:sz="8" w:space="0" w:color="67B93E"/>
              <w:right w:val="single" w:sz="8" w:space="0" w:color="67B93E"/>
            </w:tcBorders>
            <w:shd w:val="clear" w:color="000000" w:fill="C5E0B3"/>
            <w:vAlign w:val="center"/>
            <w:hideMark/>
          </w:tcPr>
          <w:p w14:paraId="5D5A4026" w14:textId="77777777" w:rsidR="00287C2C" w:rsidRPr="00287C2C" w:rsidRDefault="00287C2C" w:rsidP="00287C2C">
            <w:pPr>
              <w:widowControl/>
              <w:autoSpaceDE/>
              <w:autoSpaceDN/>
              <w:jc w:val="center"/>
              <w:rPr>
                <w:rFonts w:ascii="Humanst521 BT" w:eastAsia="Times New Roman" w:hAnsi="Humanst521 BT" w:cs="Calibri"/>
                <w:b/>
                <w:bCs/>
                <w:color w:val="000000"/>
                <w:sz w:val="20"/>
                <w:szCs w:val="20"/>
                <w:lang w:val="es-CO" w:eastAsia="es-CO"/>
              </w:rPr>
            </w:pPr>
            <w:r w:rsidRPr="00287C2C">
              <w:rPr>
                <w:rFonts w:ascii="Humanst521 BT" w:eastAsia="Times New Roman" w:hAnsi="Humanst521 BT" w:cs="Calibri"/>
                <w:b/>
                <w:bCs/>
                <w:color w:val="000000"/>
                <w:sz w:val="20"/>
                <w:szCs w:val="20"/>
                <w:lang w:val="es-CO" w:eastAsia="es-CO"/>
              </w:rPr>
              <w:t>mujeres afiliadas, declaradas en condición de discapacidad</w:t>
            </w:r>
          </w:p>
        </w:tc>
        <w:tc>
          <w:tcPr>
            <w:tcW w:w="1780" w:type="dxa"/>
            <w:tcBorders>
              <w:top w:val="single" w:sz="8" w:space="0" w:color="67B93E"/>
              <w:left w:val="nil"/>
              <w:bottom w:val="single" w:sz="8" w:space="0" w:color="67B93E"/>
              <w:right w:val="single" w:sz="8" w:space="0" w:color="67B93E"/>
            </w:tcBorders>
            <w:shd w:val="clear" w:color="000000" w:fill="C5E0B3"/>
            <w:vAlign w:val="center"/>
            <w:hideMark/>
          </w:tcPr>
          <w:p w14:paraId="6A5BE857" w14:textId="77777777" w:rsidR="00287C2C" w:rsidRPr="00287C2C" w:rsidRDefault="00287C2C" w:rsidP="00287C2C">
            <w:pPr>
              <w:widowControl/>
              <w:autoSpaceDE/>
              <w:autoSpaceDN/>
              <w:jc w:val="center"/>
              <w:rPr>
                <w:rFonts w:ascii="Humanst521 BT" w:eastAsia="Times New Roman" w:hAnsi="Humanst521 BT" w:cs="Calibri"/>
                <w:b/>
                <w:bCs/>
                <w:color w:val="000000"/>
                <w:sz w:val="20"/>
                <w:szCs w:val="20"/>
                <w:lang w:val="es-CO" w:eastAsia="es-CO"/>
              </w:rPr>
            </w:pPr>
            <w:r w:rsidRPr="00287C2C">
              <w:rPr>
                <w:rFonts w:ascii="Humanst521 BT" w:eastAsia="Times New Roman" w:hAnsi="Humanst521 BT" w:cs="Calibri"/>
                <w:b/>
                <w:bCs/>
                <w:color w:val="000000"/>
                <w:sz w:val="20"/>
                <w:szCs w:val="20"/>
                <w:lang w:val="es-CO" w:eastAsia="es-CO"/>
              </w:rPr>
              <w:t>Proporción de mujeres afiliadas en condición de discapacidad</w:t>
            </w:r>
          </w:p>
        </w:tc>
        <w:tc>
          <w:tcPr>
            <w:tcW w:w="1200" w:type="dxa"/>
            <w:tcBorders>
              <w:top w:val="single" w:sz="8" w:space="0" w:color="67B93E"/>
              <w:left w:val="nil"/>
              <w:bottom w:val="single" w:sz="8" w:space="0" w:color="67B93E"/>
              <w:right w:val="single" w:sz="8" w:space="0" w:color="67B93E"/>
            </w:tcBorders>
            <w:shd w:val="clear" w:color="000000" w:fill="C5E0B3"/>
            <w:vAlign w:val="center"/>
            <w:hideMark/>
          </w:tcPr>
          <w:p w14:paraId="62ED3914" w14:textId="77777777" w:rsidR="00287C2C" w:rsidRPr="00287C2C" w:rsidRDefault="00287C2C" w:rsidP="00287C2C">
            <w:pPr>
              <w:widowControl/>
              <w:autoSpaceDE/>
              <w:autoSpaceDN/>
              <w:jc w:val="center"/>
              <w:rPr>
                <w:rFonts w:ascii="Humanst521 BT" w:eastAsia="Times New Roman" w:hAnsi="Humanst521 BT" w:cs="Calibri"/>
                <w:b/>
                <w:bCs/>
                <w:color w:val="000000"/>
                <w:sz w:val="20"/>
                <w:szCs w:val="20"/>
                <w:lang w:val="es-CO" w:eastAsia="es-CO"/>
              </w:rPr>
            </w:pPr>
            <w:r w:rsidRPr="00287C2C">
              <w:rPr>
                <w:rFonts w:ascii="Humanst521 BT" w:eastAsia="Times New Roman" w:hAnsi="Humanst521 BT" w:cs="Calibri"/>
                <w:b/>
                <w:bCs/>
                <w:color w:val="000000"/>
                <w:sz w:val="20"/>
                <w:szCs w:val="20"/>
                <w:lang w:val="es-CO" w:eastAsia="es-CO"/>
              </w:rPr>
              <w:t>hombres afiliados, declarados en condición de discapacidad</w:t>
            </w:r>
          </w:p>
        </w:tc>
        <w:tc>
          <w:tcPr>
            <w:tcW w:w="1200" w:type="dxa"/>
            <w:tcBorders>
              <w:top w:val="single" w:sz="8" w:space="0" w:color="67B93E"/>
              <w:left w:val="nil"/>
              <w:bottom w:val="single" w:sz="8" w:space="0" w:color="67B93E"/>
              <w:right w:val="single" w:sz="8" w:space="0" w:color="67B93E"/>
            </w:tcBorders>
            <w:shd w:val="clear" w:color="000000" w:fill="C5E0B3"/>
            <w:vAlign w:val="center"/>
            <w:hideMark/>
          </w:tcPr>
          <w:p w14:paraId="41B3AE8C" w14:textId="77777777" w:rsidR="00287C2C" w:rsidRPr="00287C2C" w:rsidRDefault="00287C2C" w:rsidP="00287C2C">
            <w:pPr>
              <w:widowControl/>
              <w:autoSpaceDE/>
              <w:autoSpaceDN/>
              <w:jc w:val="center"/>
              <w:rPr>
                <w:rFonts w:ascii="Humanst521 BT" w:eastAsia="Times New Roman" w:hAnsi="Humanst521 BT" w:cs="Calibri"/>
                <w:b/>
                <w:bCs/>
                <w:color w:val="000000"/>
                <w:sz w:val="20"/>
                <w:szCs w:val="20"/>
                <w:lang w:val="es-CO" w:eastAsia="es-CO"/>
              </w:rPr>
            </w:pPr>
            <w:r w:rsidRPr="00287C2C">
              <w:rPr>
                <w:rFonts w:ascii="Humanst521 BT" w:eastAsia="Times New Roman" w:hAnsi="Humanst521 BT" w:cs="Calibri"/>
                <w:b/>
                <w:bCs/>
                <w:color w:val="000000"/>
                <w:sz w:val="20"/>
                <w:szCs w:val="20"/>
                <w:lang w:val="es-CO" w:eastAsia="es-CO"/>
              </w:rPr>
              <w:t>Proporción de hombres afiliados en condición de discapacidad</w:t>
            </w:r>
          </w:p>
        </w:tc>
        <w:tc>
          <w:tcPr>
            <w:tcW w:w="1200" w:type="dxa"/>
            <w:tcBorders>
              <w:top w:val="single" w:sz="8" w:space="0" w:color="67B93E"/>
              <w:left w:val="nil"/>
              <w:bottom w:val="single" w:sz="8" w:space="0" w:color="67B93E"/>
              <w:right w:val="single" w:sz="8" w:space="0" w:color="67B93E"/>
            </w:tcBorders>
            <w:shd w:val="clear" w:color="000000" w:fill="C5E0B3"/>
            <w:vAlign w:val="center"/>
            <w:hideMark/>
          </w:tcPr>
          <w:p w14:paraId="253C1B7C" w14:textId="77777777" w:rsidR="00287C2C" w:rsidRPr="00287C2C" w:rsidRDefault="00287C2C" w:rsidP="00287C2C">
            <w:pPr>
              <w:widowControl/>
              <w:autoSpaceDE/>
              <w:autoSpaceDN/>
              <w:jc w:val="center"/>
              <w:rPr>
                <w:rFonts w:ascii="Humanst521 BT" w:eastAsia="Times New Roman" w:hAnsi="Humanst521 BT" w:cs="Calibri"/>
                <w:b/>
                <w:bCs/>
                <w:color w:val="000000"/>
                <w:sz w:val="20"/>
                <w:szCs w:val="20"/>
                <w:lang w:val="es-CO" w:eastAsia="es-CO"/>
              </w:rPr>
            </w:pPr>
            <w:r w:rsidRPr="00287C2C">
              <w:rPr>
                <w:rFonts w:ascii="Humanst521 BT" w:eastAsia="Times New Roman" w:hAnsi="Humanst521 BT" w:cs="Calibri"/>
                <w:b/>
                <w:bCs/>
                <w:color w:val="000000"/>
                <w:sz w:val="20"/>
                <w:szCs w:val="20"/>
                <w:lang w:val="es-CO" w:eastAsia="es-CO"/>
              </w:rPr>
              <w:t>afiliados totales, declarados en condición de discapacidad</w:t>
            </w:r>
          </w:p>
        </w:tc>
        <w:tc>
          <w:tcPr>
            <w:tcW w:w="1200" w:type="dxa"/>
            <w:tcBorders>
              <w:top w:val="single" w:sz="8" w:space="0" w:color="67B93E"/>
              <w:left w:val="nil"/>
              <w:bottom w:val="single" w:sz="8" w:space="0" w:color="67B93E"/>
              <w:right w:val="single" w:sz="8" w:space="0" w:color="67B93E"/>
            </w:tcBorders>
            <w:shd w:val="clear" w:color="000000" w:fill="C5E0B3"/>
            <w:vAlign w:val="center"/>
            <w:hideMark/>
          </w:tcPr>
          <w:p w14:paraId="0DF729BC" w14:textId="77777777" w:rsidR="00287C2C" w:rsidRPr="00287C2C" w:rsidRDefault="00287C2C" w:rsidP="00287C2C">
            <w:pPr>
              <w:widowControl/>
              <w:autoSpaceDE/>
              <w:autoSpaceDN/>
              <w:jc w:val="center"/>
              <w:rPr>
                <w:rFonts w:ascii="Humanst521 BT" w:eastAsia="Times New Roman" w:hAnsi="Humanst521 BT" w:cs="Calibri"/>
                <w:b/>
                <w:bCs/>
                <w:color w:val="000000"/>
                <w:sz w:val="20"/>
                <w:szCs w:val="20"/>
                <w:lang w:val="es-CO" w:eastAsia="es-CO"/>
              </w:rPr>
            </w:pPr>
            <w:r w:rsidRPr="00287C2C">
              <w:rPr>
                <w:rFonts w:ascii="Humanst521 BT" w:eastAsia="Times New Roman" w:hAnsi="Humanst521 BT" w:cs="Calibri"/>
                <w:b/>
                <w:bCs/>
                <w:color w:val="000000"/>
                <w:sz w:val="20"/>
                <w:szCs w:val="20"/>
                <w:lang w:val="es-CO" w:eastAsia="es-CO"/>
              </w:rPr>
              <w:t>Proporción de afiliados total en condición de discapacidad</w:t>
            </w:r>
          </w:p>
        </w:tc>
      </w:tr>
      <w:tr w:rsidR="00287C2C" w:rsidRPr="00287C2C" w14:paraId="3B75E176" w14:textId="77777777" w:rsidTr="00287C2C">
        <w:trPr>
          <w:trHeight w:val="525"/>
        </w:trPr>
        <w:tc>
          <w:tcPr>
            <w:tcW w:w="1200" w:type="dxa"/>
            <w:tcBorders>
              <w:top w:val="nil"/>
              <w:left w:val="single" w:sz="8" w:space="0" w:color="67B93E"/>
              <w:bottom w:val="single" w:sz="8" w:space="0" w:color="67B93E"/>
              <w:right w:val="single" w:sz="8" w:space="0" w:color="67B93E"/>
            </w:tcBorders>
            <w:shd w:val="clear" w:color="000000" w:fill="F2F2F2"/>
            <w:vAlign w:val="center"/>
            <w:hideMark/>
          </w:tcPr>
          <w:p w14:paraId="11047685" w14:textId="77777777" w:rsidR="00287C2C" w:rsidRPr="00287C2C" w:rsidRDefault="00287C2C" w:rsidP="00287C2C">
            <w:pPr>
              <w:widowControl/>
              <w:autoSpaceDE/>
              <w:autoSpaceDN/>
              <w:jc w:val="both"/>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eastAsia="es-CO"/>
              </w:rPr>
              <w:t xml:space="preserve">68001 – Bucaramanga </w:t>
            </w:r>
          </w:p>
        </w:tc>
        <w:tc>
          <w:tcPr>
            <w:tcW w:w="1200" w:type="dxa"/>
            <w:tcBorders>
              <w:top w:val="nil"/>
              <w:left w:val="nil"/>
              <w:bottom w:val="single" w:sz="8" w:space="0" w:color="67B93E"/>
              <w:right w:val="single" w:sz="8" w:space="0" w:color="67B93E"/>
            </w:tcBorders>
            <w:shd w:val="clear" w:color="000000" w:fill="F2F2F2"/>
            <w:vAlign w:val="center"/>
            <w:hideMark/>
          </w:tcPr>
          <w:p w14:paraId="7343827D"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8</w:t>
            </w:r>
          </w:p>
        </w:tc>
        <w:tc>
          <w:tcPr>
            <w:tcW w:w="1780" w:type="dxa"/>
            <w:tcBorders>
              <w:top w:val="nil"/>
              <w:left w:val="nil"/>
              <w:bottom w:val="single" w:sz="8" w:space="0" w:color="67B93E"/>
              <w:right w:val="single" w:sz="8" w:space="0" w:color="67B93E"/>
            </w:tcBorders>
            <w:shd w:val="clear" w:color="000000" w:fill="F2F2F2"/>
            <w:vAlign w:val="center"/>
            <w:hideMark/>
          </w:tcPr>
          <w:p w14:paraId="7FF1DBC2"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0,78</w:t>
            </w:r>
          </w:p>
        </w:tc>
        <w:tc>
          <w:tcPr>
            <w:tcW w:w="1200" w:type="dxa"/>
            <w:tcBorders>
              <w:top w:val="nil"/>
              <w:left w:val="nil"/>
              <w:bottom w:val="single" w:sz="8" w:space="0" w:color="67B93E"/>
              <w:right w:val="single" w:sz="8" w:space="0" w:color="67B93E"/>
            </w:tcBorders>
            <w:shd w:val="clear" w:color="000000" w:fill="F2F2F2"/>
            <w:vAlign w:val="center"/>
            <w:hideMark/>
          </w:tcPr>
          <w:p w14:paraId="7C88A679"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24</w:t>
            </w:r>
          </w:p>
        </w:tc>
        <w:tc>
          <w:tcPr>
            <w:tcW w:w="1200" w:type="dxa"/>
            <w:tcBorders>
              <w:top w:val="nil"/>
              <w:left w:val="nil"/>
              <w:bottom w:val="single" w:sz="8" w:space="0" w:color="67B93E"/>
              <w:right w:val="single" w:sz="8" w:space="0" w:color="67B93E"/>
            </w:tcBorders>
            <w:shd w:val="clear" w:color="000000" w:fill="F2F2F2"/>
            <w:vAlign w:val="center"/>
            <w:hideMark/>
          </w:tcPr>
          <w:p w14:paraId="216759AF"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2,6</w:t>
            </w:r>
          </w:p>
        </w:tc>
        <w:tc>
          <w:tcPr>
            <w:tcW w:w="1200" w:type="dxa"/>
            <w:tcBorders>
              <w:top w:val="nil"/>
              <w:left w:val="nil"/>
              <w:bottom w:val="single" w:sz="8" w:space="0" w:color="67B93E"/>
              <w:right w:val="single" w:sz="8" w:space="0" w:color="67B93E"/>
            </w:tcBorders>
            <w:shd w:val="clear" w:color="000000" w:fill="F2F2F2"/>
            <w:vAlign w:val="center"/>
            <w:hideMark/>
          </w:tcPr>
          <w:p w14:paraId="14E84D71"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32</w:t>
            </w:r>
          </w:p>
        </w:tc>
        <w:tc>
          <w:tcPr>
            <w:tcW w:w="1200" w:type="dxa"/>
            <w:tcBorders>
              <w:top w:val="nil"/>
              <w:left w:val="nil"/>
              <w:bottom w:val="single" w:sz="8" w:space="0" w:color="67B93E"/>
              <w:right w:val="single" w:sz="8" w:space="0" w:color="67B93E"/>
            </w:tcBorders>
            <w:shd w:val="clear" w:color="000000" w:fill="F2F2F2"/>
            <w:vAlign w:val="center"/>
            <w:hideMark/>
          </w:tcPr>
          <w:p w14:paraId="2EEFAABD"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1,6</w:t>
            </w:r>
          </w:p>
        </w:tc>
      </w:tr>
      <w:tr w:rsidR="00287C2C" w:rsidRPr="00287C2C" w14:paraId="3319E24E" w14:textId="77777777" w:rsidTr="00287C2C">
        <w:trPr>
          <w:trHeight w:val="525"/>
        </w:trPr>
        <w:tc>
          <w:tcPr>
            <w:tcW w:w="1200" w:type="dxa"/>
            <w:tcBorders>
              <w:top w:val="nil"/>
              <w:left w:val="single" w:sz="8" w:space="0" w:color="67B93E"/>
              <w:bottom w:val="single" w:sz="8" w:space="0" w:color="67B93E"/>
              <w:right w:val="single" w:sz="8" w:space="0" w:color="67B93E"/>
            </w:tcBorders>
            <w:shd w:val="clear" w:color="000000" w:fill="FFFFFF"/>
            <w:vAlign w:val="center"/>
            <w:hideMark/>
          </w:tcPr>
          <w:p w14:paraId="34574CAD" w14:textId="77777777" w:rsidR="00287C2C" w:rsidRPr="00287C2C" w:rsidRDefault="00287C2C" w:rsidP="00287C2C">
            <w:pPr>
              <w:widowControl/>
              <w:autoSpaceDE/>
              <w:autoSpaceDN/>
              <w:jc w:val="both"/>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eastAsia="es-CO"/>
              </w:rPr>
              <w:t xml:space="preserve">68276 – Floridablanca </w:t>
            </w:r>
          </w:p>
        </w:tc>
        <w:tc>
          <w:tcPr>
            <w:tcW w:w="1200" w:type="dxa"/>
            <w:tcBorders>
              <w:top w:val="nil"/>
              <w:left w:val="nil"/>
              <w:bottom w:val="single" w:sz="8" w:space="0" w:color="67B93E"/>
              <w:right w:val="single" w:sz="8" w:space="0" w:color="67B93E"/>
            </w:tcBorders>
            <w:shd w:val="clear" w:color="000000" w:fill="FFFFFF"/>
            <w:vAlign w:val="center"/>
            <w:hideMark/>
          </w:tcPr>
          <w:p w14:paraId="14255667"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2</w:t>
            </w:r>
          </w:p>
        </w:tc>
        <w:tc>
          <w:tcPr>
            <w:tcW w:w="1780" w:type="dxa"/>
            <w:tcBorders>
              <w:top w:val="nil"/>
              <w:left w:val="nil"/>
              <w:bottom w:val="single" w:sz="8" w:space="0" w:color="67B93E"/>
              <w:right w:val="single" w:sz="8" w:space="0" w:color="67B93E"/>
            </w:tcBorders>
            <w:shd w:val="clear" w:color="000000" w:fill="FFFFFF"/>
            <w:vAlign w:val="center"/>
            <w:hideMark/>
          </w:tcPr>
          <w:p w14:paraId="777060D1"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0,8</w:t>
            </w:r>
          </w:p>
        </w:tc>
        <w:tc>
          <w:tcPr>
            <w:tcW w:w="1200" w:type="dxa"/>
            <w:tcBorders>
              <w:top w:val="nil"/>
              <w:left w:val="nil"/>
              <w:bottom w:val="single" w:sz="8" w:space="0" w:color="67B93E"/>
              <w:right w:val="single" w:sz="8" w:space="0" w:color="67B93E"/>
            </w:tcBorders>
            <w:shd w:val="clear" w:color="000000" w:fill="FFFFFF"/>
            <w:vAlign w:val="center"/>
            <w:hideMark/>
          </w:tcPr>
          <w:p w14:paraId="2D3F22FE"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7</w:t>
            </w:r>
          </w:p>
        </w:tc>
        <w:tc>
          <w:tcPr>
            <w:tcW w:w="1200" w:type="dxa"/>
            <w:tcBorders>
              <w:top w:val="nil"/>
              <w:left w:val="nil"/>
              <w:bottom w:val="single" w:sz="8" w:space="0" w:color="67B93E"/>
              <w:right w:val="single" w:sz="8" w:space="0" w:color="67B93E"/>
            </w:tcBorders>
            <w:shd w:val="clear" w:color="000000" w:fill="FFFFFF"/>
            <w:vAlign w:val="center"/>
            <w:hideMark/>
          </w:tcPr>
          <w:p w14:paraId="6A2E47DB"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2,7</w:t>
            </w:r>
          </w:p>
        </w:tc>
        <w:tc>
          <w:tcPr>
            <w:tcW w:w="1200" w:type="dxa"/>
            <w:tcBorders>
              <w:top w:val="nil"/>
              <w:left w:val="nil"/>
              <w:bottom w:val="single" w:sz="8" w:space="0" w:color="67B93E"/>
              <w:right w:val="single" w:sz="8" w:space="0" w:color="67B93E"/>
            </w:tcBorders>
            <w:shd w:val="clear" w:color="000000" w:fill="FFFFFF"/>
            <w:vAlign w:val="center"/>
            <w:hideMark/>
          </w:tcPr>
          <w:p w14:paraId="0C8797BF"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9</w:t>
            </w:r>
          </w:p>
        </w:tc>
        <w:tc>
          <w:tcPr>
            <w:tcW w:w="1200" w:type="dxa"/>
            <w:tcBorders>
              <w:top w:val="nil"/>
              <w:left w:val="nil"/>
              <w:bottom w:val="single" w:sz="8" w:space="0" w:color="67B93E"/>
              <w:right w:val="single" w:sz="8" w:space="0" w:color="67B93E"/>
            </w:tcBorders>
            <w:shd w:val="clear" w:color="000000" w:fill="FFFFFF"/>
            <w:vAlign w:val="center"/>
            <w:hideMark/>
          </w:tcPr>
          <w:p w14:paraId="48D51F2D"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1,7</w:t>
            </w:r>
          </w:p>
        </w:tc>
      </w:tr>
      <w:tr w:rsidR="00287C2C" w:rsidRPr="00287C2C" w14:paraId="6349AAAF" w14:textId="77777777" w:rsidTr="00287C2C">
        <w:trPr>
          <w:trHeight w:val="525"/>
        </w:trPr>
        <w:tc>
          <w:tcPr>
            <w:tcW w:w="1200" w:type="dxa"/>
            <w:tcBorders>
              <w:top w:val="nil"/>
              <w:left w:val="single" w:sz="8" w:space="0" w:color="67B93E"/>
              <w:bottom w:val="single" w:sz="8" w:space="0" w:color="67B93E"/>
              <w:right w:val="single" w:sz="8" w:space="0" w:color="67B93E"/>
            </w:tcBorders>
            <w:shd w:val="clear" w:color="000000" w:fill="F2F2F2"/>
            <w:vAlign w:val="center"/>
            <w:hideMark/>
          </w:tcPr>
          <w:p w14:paraId="030BA5D4" w14:textId="77777777" w:rsidR="00287C2C" w:rsidRPr="00287C2C" w:rsidRDefault="00287C2C" w:rsidP="00287C2C">
            <w:pPr>
              <w:widowControl/>
              <w:autoSpaceDE/>
              <w:autoSpaceDN/>
              <w:jc w:val="both"/>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eastAsia="es-CO"/>
              </w:rPr>
              <w:t xml:space="preserve">68307 – Girón </w:t>
            </w:r>
          </w:p>
        </w:tc>
        <w:tc>
          <w:tcPr>
            <w:tcW w:w="1200" w:type="dxa"/>
            <w:tcBorders>
              <w:top w:val="nil"/>
              <w:left w:val="nil"/>
              <w:bottom w:val="single" w:sz="8" w:space="0" w:color="67B93E"/>
              <w:right w:val="single" w:sz="8" w:space="0" w:color="67B93E"/>
            </w:tcBorders>
            <w:shd w:val="clear" w:color="000000" w:fill="F2F2F2"/>
            <w:vAlign w:val="center"/>
            <w:hideMark/>
          </w:tcPr>
          <w:p w14:paraId="70E5612C"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w:t>
            </w:r>
          </w:p>
        </w:tc>
        <w:tc>
          <w:tcPr>
            <w:tcW w:w="1780" w:type="dxa"/>
            <w:tcBorders>
              <w:top w:val="nil"/>
              <w:left w:val="nil"/>
              <w:bottom w:val="single" w:sz="8" w:space="0" w:color="67B93E"/>
              <w:right w:val="single" w:sz="8" w:space="0" w:color="67B93E"/>
            </w:tcBorders>
            <w:shd w:val="clear" w:color="000000" w:fill="F2F2F2"/>
            <w:vAlign w:val="center"/>
            <w:hideMark/>
          </w:tcPr>
          <w:p w14:paraId="2ACDC6CE"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2,9</w:t>
            </w:r>
          </w:p>
        </w:tc>
        <w:tc>
          <w:tcPr>
            <w:tcW w:w="1200" w:type="dxa"/>
            <w:tcBorders>
              <w:top w:val="nil"/>
              <w:left w:val="nil"/>
              <w:bottom w:val="single" w:sz="8" w:space="0" w:color="67B93E"/>
              <w:right w:val="single" w:sz="8" w:space="0" w:color="67B93E"/>
            </w:tcBorders>
            <w:shd w:val="clear" w:color="000000" w:fill="F2F2F2"/>
            <w:vAlign w:val="center"/>
            <w:hideMark/>
          </w:tcPr>
          <w:p w14:paraId="335093F2"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0</w:t>
            </w:r>
          </w:p>
        </w:tc>
        <w:tc>
          <w:tcPr>
            <w:tcW w:w="1200" w:type="dxa"/>
            <w:tcBorders>
              <w:top w:val="nil"/>
              <w:left w:val="nil"/>
              <w:bottom w:val="single" w:sz="8" w:space="0" w:color="67B93E"/>
              <w:right w:val="single" w:sz="8" w:space="0" w:color="67B93E"/>
            </w:tcBorders>
            <w:shd w:val="clear" w:color="000000" w:fill="F2F2F2"/>
            <w:vAlign w:val="center"/>
            <w:hideMark/>
          </w:tcPr>
          <w:p w14:paraId="35486CDA"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0</w:t>
            </w:r>
          </w:p>
        </w:tc>
        <w:tc>
          <w:tcPr>
            <w:tcW w:w="1200" w:type="dxa"/>
            <w:tcBorders>
              <w:top w:val="nil"/>
              <w:left w:val="nil"/>
              <w:bottom w:val="single" w:sz="8" w:space="0" w:color="67B93E"/>
              <w:right w:val="single" w:sz="8" w:space="0" w:color="67B93E"/>
            </w:tcBorders>
            <w:shd w:val="clear" w:color="000000" w:fill="F2F2F2"/>
            <w:vAlign w:val="center"/>
            <w:hideMark/>
          </w:tcPr>
          <w:p w14:paraId="3684BB0A"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w:t>
            </w:r>
          </w:p>
        </w:tc>
        <w:tc>
          <w:tcPr>
            <w:tcW w:w="1200" w:type="dxa"/>
            <w:tcBorders>
              <w:top w:val="nil"/>
              <w:left w:val="nil"/>
              <w:bottom w:val="single" w:sz="8" w:space="0" w:color="67B93E"/>
              <w:right w:val="single" w:sz="8" w:space="0" w:color="67B93E"/>
            </w:tcBorders>
            <w:shd w:val="clear" w:color="000000" w:fill="F2F2F2"/>
            <w:vAlign w:val="center"/>
            <w:hideMark/>
          </w:tcPr>
          <w:p w14:paraId="1D08524A"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1,4</w:t>
            </w:r>
          </w:p>
        </w:tc>
      </w:tr>
      <w:tr w:rsidR="00287C2C" w:rsidRPr="00287C2C" w14:paraId="15DFE0C7" w14:textId="77777777" w:rsidTr="00287C2C">
        <w:trPr>
          <w:trHeight w:val="525"/>
        </w:trPr>
        <w:tc>
          <w:tcPr>
            <w:tcW w:w="1200" w:type="dxa"/>
            <w:tcBorders>
              <w:top w:val="nil"/>
              <w:left w:val="single" w:sz="8" w:space="0" w:color="67B93E"/>
              <w:bottom w:val="single" w:sz="8" w:space="0" w:color="67B93E"/>
              <w:right w:val="single" w:sz="8" w:space="0" w:color="67B93E"/>
            </w:tcBorders>
            <w:shd w:val="clear" w:color="000000" w:fill="FFFFFF"/>
            <w:vAlign w:val="center"/>
            <w:hideMark/>
          </w:tcPr>
          <w:p w14:paraId="1C25F88F" w14:textId="77777777" w:rsidR="00287C2C" w:rsidRPr="00287C2C" w:rsidRDefault="00287C2C" w:rsidP="00287C2C">
            <w:pPr>
              <w:widowControl/>
              <w:autoSpaceDE/>
              <w:autoSpaceDN/>
              <w:jc w:val="both"/>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eastAsia="es-CO"/>
              </w:rPr>
              <w:t xml:space="preserve">68001 – Bucaramanga </w:t>
            </w:r>
          </w:p>
        </w:tc>
        <w:tc>
          <w:tcPr>
            <w:tcW w:w="1200" w:type="dxa"/>
            <w:tcBorders>
              <w:top w:val="nil"/>
              <w:left w:val="nil"/>
              <w:bottom w:val="single" w:sz="8" w:space="0" w:color="67B93E"/>
              <w:right w:val="single" w:sz="8" w:space="0" w:color="67B93E"/>
            </w:tcBorders>
            <w:shd w:val="clear" w:color="000000" w:fill="FFFFFF"/>
            <w:vAlign w:val="center"/>
            <w:hideMark/>
          </w:tcPr>
          <w:p w14:paraId="77BD3886"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2</w:t>
            </w:r>
          </w:p>
        </w:tc>
        <w:tc>
          <w:tcPr>
            <w:tcW w:w="1780" w:type="dxa"/>
            <w:tcBorders>
              <w:top w:val="nil"/>
              <w:left w:val="nil"/>
              <w:bottom w:val="single" w:sz="8" w:space="0" w:color="67B93E"/>
              <w:right w:val="single" w:sz="8" w:space="0" w:color="67B93E"/>
            </w:tcBorders>
            <w:shd w:val="clear" w:color="000000" w:fill="FFFFFF"/>
            <w:vAlign w:val="center"/>
            <w:hideMark/>
          </w:tcPr>
          <w:p w14:paraId="312E5DD3"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2,7</w:t>
            </w:r>
          </w:p>
        </w:tc>
        <w:tc>
          <w:tcPr>
            <w:tcW w:w="1200" w:type="dxa"/>
            <w:tcBorders>
              <w:top w:val="nil"/>
              <w:left w:val="nil"/>
              <w:bottom w:val="single" w:sz="8" w:space="0" w:color="67B93E"/>
              <w:right w:val="single" w:sz="8" w:space="0" w:color="67B93E"/>
            </w:tcBorders>
            <w:shd w:val="clear" w:color="000000" w:fill="FFFFFF"/>
            <w:vAlign w:val="center"/>
            <w:hideMark/>
          </w:tcPr>
          <w:p w14:paraId="5AD225EB"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w:t>
            </w:r>
          </w:p>
        </w:tc>
        <w:tc>
          <w:tcPr>
            <w:tcW w:w="1200" w:type="dxa"/>
            <w:tcBorders>
              <w:top w:val="nil"/>
              <w:left w:val="nil"/>
              <w:bottom w:val="single" w:sz="8" w:space="0" w:color="67B93E"/>
              <w:right w:val="single" w:sz="8" w:space="0" w:color="67B93E"/>
            </w:tcBorders>
            <w:shd w:val="clear" w:color="000000" w:fill="FFFFFF"/>
            <w:vAlign w:val="center"/>
            <w:hideMark/>
          </w:tcPr>
          <w:p w14:paraId="4B058009"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1,3</w:t>
            </w:r>
          </w:p>
        </w:tc>
        <w:tc>
          <w:tcPr>
            <w:tcW w:w="1200" w:type="dxa"/>
            <w:tcBorders>
              <w:top w:val="nil"/>
              <w:left w:val="nil"/>
              <w:bottom w:val="single" w:sz="8" w:space="0" w:color="67B93E"/>
              <w:right w:val="single" w:sz="8" w:space="0" w:color="67B93E"/>
            </w:tcBorders>
            <w:shd w:val="clear" w:color="000000" w:fill="FFFFFF"/>
            <w:vAlign w:val="center"/>
            <w:hideMark/>
          </w:tcPr>
          <w:p w14:paraId="2D0DC70A"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3</w:t>
            </w:r>
          </w:p>
        </w:tc>
        <w:tc>
          <w:tcPr>
            <w:tcW w:w="1200" w:type="dxa"/>
            <w:tcBorders>
              <w:top w:val="nil"/>
              <w:left w:val="nil"/>
              <w:bottom w:val="single" w:sz="8" w:space="0" w:color="67B93E"/>
              <w:right w:val="single" w:sz="8" w:space="0" w:color="67B93E"/>
            </w:tcBorders>
            <w:shd w:val="clear" w:color="000000" w:fill="FFFFFF"/>
            <w:vAlign w:val="center"/>
            <w:hideMark/>
          </w:tcPr>
          <w:p w14:paraId="0499A872"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2</w:t>
            </w:r>
          </w:p>
        </w:tc>
      </w:tr>
      <w:tr w:rsidR="00287C2C" w:rsidRPr="00287C2C" w14:paraId="4CCCA4BC" w14:textId="77777777" w:rsidTr="00287C2C">
        <w:trPr>
          <w:trHeight w:val="525"/>
        </w:trPr>
        <w:tc>
          <w:tcPr>
            <w:tcW w:w="1200" w:type="dxa"/>
            <w:tcBorders>
              <w:top w:val="nil"/>
              <w:left w:val="single" w:sz="8" w:space="0" w:color="67B93E"/>
              <w:bottom w:val="single" w:sz="8" w:space="0" w:color="67B93E"/>
              <w:right w:val="single" w:sz="8" w:space="0" w:color="67B93E"/>
            </w:tcBorders>
            <w:shd w:val="clear" w:color="000000" w:fill="F2F2F2"/>
            <w:vAlign w:val="center"/>
            <w:hideMark/>
          </w:tcPr>
          <w:p w14:paraId="48BEF115" w14:textId="77777777" w:rsidR="00287C2C" w:rsidRPr="00287C2C" w:rsidRDefault="00287C2C" w:rsidP="00287C2C">
            <w:pPr>
              <w:widowControl/>
              <w:autoSpaceDE/>
              <w:autoSpaceDN/>
              <w:jc w:val="both"/>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eastAsia="es-CO"/>
              </w:rPr>
              <w:t xml:space="preserve">68000 </w:t>
            </w:r>
            <w:proofErr w:type="gramStart"/>
            <w:r w:rsidRPr="00287C2C">
              <w:rPr>
                <w:rFonts w:ascii="Humanst521 BT" w:eastAsia="Times New Roman" w:hAnsi="Humanst521 BT" w:cs="Calibri"/>
                <w:color w:val="000000"/>
                <w:sz w:val="20"/>
                <w:szCs w:val="20"/>
                <w:lang w:eastAsia="es-CO"/>
              </w:rPr>
              <w:t>-  Bogotá</w:t>
            </w:r>
            <w:proofErr w:type="gramEnd"/>
          </w:p>
        </w:tc>
        <w:tc>
          <w:tcPr>
            <w:tcW w:w="1200" w:type="dxa"/>
            <w:tcBorders>
              <w:top w:val="nil"/>
              <w:left w:val="nil"/>
              <w:bottom w:val="single" w:sz="8" w:space="0" w:color="67B93E"/>
              <w:right w:val="single" w:sz="8" w:space="0" w:color="67B93E"/>
            </w:tcBorders>
            <w:shd w:val="clear" w:color="000000" w:fill="F2F2F2"/>
            <w:vAlign w:val="center"/>
            <w:hideMark/>
          </w:tcPr>
          <w:p w14:paraId="603394B5"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w:t>
            </w:r>
          </w:p>
        </w:tc>
        <w:tc>
          <w:tcPr>
            <w:tcW w:w="1780" w:type="dxa"/>
            <w:tcBorders>
              <w:top w:val="nil"/>
              <w:left w:val="nil"/>
              <w:bottom w:val="single" w:sz="8" w:space="0" w:color="67B93E"/>
              <w:right w:val="single" w:sz="8" w:space="0" w:color="67B93E"/>
            </w:tcBorders>
            <w:shd w:val="clear" w:color="000000" w:fill="F2F2F2"/>
            <w:vAlign w:val="center"/>
            <w:hideMark/>
          </w:tcPr>
          <w:p w14:paraId="35DCDB0A"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100</w:t>
            </w:r>
          </w:p>
        </w:tc>
        <w:tc>
          <w:tcPr>
            <w:tcW w:w="1200" w:type="dxa"/>
            <w:tcBorders>
              <w:top w:val="nil"/>
              <w:left w:val="nil"/>
              <w:bottom w:val="single" w:sz="8" w:space="0" w:color="67B93E"/>
              <w:right w:val="single" w:sz="8" w:space="0" w:color="67B93E"/>
            </w:tcBorders>
            <w:shd w:val="clear" w:color="000000" w:fill="F2F2F2"/>
            <w:vAlign w:val="center"/>
            <w:hideMark/>
          </w:tcPr>
          <w:p w14:paraId="74CBEF10"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0</w:t>
            </w:r>
          </w:p>
        </w:tc>
        <w:tc>
          <w:tcPr>
            <w:tcW w:w="1200" w:type="dxa"/>
            <w:tcBorders>
              <w:top w:val="nil"/>
              <w:left w:val="nil"/>
              <w:bottom w:val="single" w:sz="8" w:space="0" w:color="67B93E"/>
              <w:right w:val="single" w:sz="8" w:space="0" w:color="67B93E"/>
            </w:tcBorders>
            <w:shd w:val="clear" w:color="000000" w:fill="F2F2F2"/>
            <w:vAlign w:val="center"/>
            <w:hideMark/>
          </w:tcPr>
          <w:p w14:paraId="4E9F303F"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 </w:t>
            </w:r>
          </w:p>
        </w:tc>
        <w:tc>
          <w:tcPr>
            <w:tcW w:w="1200" w:type="dxa"/>
            <w:tcBorders>
              <w:top w:val="nil"/>
              <w:left w:val="nil"/>
              <w:bottom w:val="single" w:sz="8" w:space="0" w:color="67B93E"/>
              <w:right w:val="single" w:sz="8" w:space="0" w:color="67B93E"/>
            </w:tcBorders>
            <w:shd w:val="clear" w:color="000000" w:fill="F2F2F2"/>
            <w:vAlign w:val="center"/>
            <w:hideMark/>
          </w:tcPr>
          <w:p w14:paraId="4C0ACF68"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w:t>
            </w:r>
          </w:p>
        </w:tc>
        <w:tc>
          <w:tcPr>
            <w:tcW w:w="1200" w:type="dxa"/>
            <w:tcBorders>
              <w:top w:val="nil"/>
              <w:left w:val="nil"/>
              <w:bottom w:val="single" w:sz="8" w:space="0" w:color="67B93E"/>
              <w:right w:val="single" w:sz="8" w:space="0" w:color="67B93E"/>
            </w:tcBorders>
            <w:shd w:val="clear" w:color="000000" w:fill="F2F2F2"/>
            <w:vAlign w:val="center"/>
            <w:hideMark/>
          </w:tcPr>
          <w:p w14:paraId="55C39F8C" w14:textId="77777777" w:rsidR="00287C2C" w:rsidRPr="00287C2C" w:rsidRDefault="00287C2C" w:rsidP="00287C2C">
            <w:pPr>
              <w:widowControl/>
              <w:autoSpaceDE/>
              <w:autoSpaceDN/>
              <w:jc w:val="center"/>
              <w:rPr>
                <w:rFonts w:ascii="Humanst521 BT" w:eastAsia="Times New Roman" w:hAnsi="Humanst521 BT" w:cs="Calibri"/>
                <w:color w:val="000000"/>
                <w:sz w:val="20"/>
                <w:szCs w:val="20"/>
                <w:lang w:val="es-CO" w:eastAsia="es-CO"/>
              </w:rPr>
            </w:pPr>
            <w:r w:rsidRPr="00287C2C">
              <w:rPr>
                <w:rFonts w:ascii="Humanst521 BT" w:eastAsia="Times New Roman" w:hAnsi="Humanst521 BT" w:cs="Calibri"/>
                <w:color w:val="000000"/>
                <w:sz w:val="20"/>
                <w:szCs w:val="20"/>
                <w:lang w:val="es-CO" w:eastAsia="es-CO"/>
              </w:rPr>
              <w:t>100</w:t>
            </w:r>
          </w:p>
        </w:tc>
      </w:tr>
    </w:tbl>
    <w:p w14:paraId="1CB61AE9" w14:textId="77777777" w:rsidR="00CA7F25" w:rsidRPr="007F0FA7" w:rsidRDefault="00CA7F25" w:rsidP="00CA7F25">
      <w:pPr>
        <w:rPr>
          <w:rFonts w:ascii="Humanst521 BT" w:hAnsi="Humanst521 BT"/>
          <w:i/>
          <w:iCs/>
        </w:rPr>
      </w:pPr>
      <w:r w:rsidRPr="007F0FA7">
        <w:rPr>
          <w:rFonts w:ascii="Humanst521 BT" w:hAnsi="Humanst521 BT"/>
          <w:i/>
          <w:iCs/>
        </w:rPr>
        <w:t>Fuente: Elaboración propia. Base de datos afiliados: fecha de corte: 3</w:t>
      </w:r>
      <w:r>
        <w:rPr>
          <w:rFonts w:ascii="Humanst521 BT" w:hAnsi="Humanst521 BT"/>
          <w:i/>
          <w:iCs/>
        </w:rPr>
        <w:t>1</w:t>
      </w:r>
      <w:r w:rsidRPr="007F0FA7">
        <w:rPr>
          <w:rFonts w:ascii="Humanst521 BT" w:hAnsi="Humanst521 BT"/>
          <w:i/>
          <w:iCs/>
        </w:rPr>
        <w:t xml:space="preserve"> de </w:t>
      </w:r>
      <w:r>
        <w:rPr>
          <w:rFonts w:ascii="Humanst521 BT" w:hAnsi="Humanst521 BT"/>
          <w:i/>
          <w:iCs/>
        </w:rPr>
        <w:t>diciembre de 2025</w:t>
      </w:r>
    </w:p>
    <w:p w14:paraId="11331153" w14:textId="77777777" w:rsidR="00CA7F25" w:rsidRPr="007F0FA7" w:rsidRDefault="00CA7F25" w:rsidP="00CA7F25">
      <w:pPr>
        <w:rPr>
          <w:rFonts w:ascii="Humanst521 BT" w:hAnsi="Humanst521 BT"/>
        </w:rPr>
      </w:pPr>
    </w:p>
    <w:p w14:paraId="5439CDB8" w14:textId="77777777" w:rsidR="00A158D8" w:rsidRPr="007F0FA7" w:rsidRDefault="00A158D8" w:rsidP="00093B44">
      <w:pPr>
        <w:rPr>
          <w:rFonts w:ascii="Humanst521 BT" w:hAnsi="Humanst521 BT"/>
        </w:rPr>
      </w:pPr>
    </w:p>
    <w:p w14:paraId="7A2B5FE2" w14:textId="5FEA2768" w:rsidR="00334FA3" w:rsidRPr="007F0FA7" w:rsidRDefault="00334FA3" w:rsidP="00093B44">
      <w:pPr>
        <w:rPr>
          <w:rFonts w:ascii="Humanst521 BT" w:hAnsi="Humanst521 BT"/>
          <w:b/>
          <w:bCs/>
        </w:rPr>
      </w:pPr>
      <w:bookmarkStart w:id="39" w:name="_Toc159490479"/>
      <w:r w:rsidRPr="007F0FA7">
        <w:rPr>
          <w:rFonts w:ascii="Humanst521 BT" w:hAnsi="Humanst521 BT"/>
          <w:b/>
          <w:bCs/>
        </w:rPr>
        <w:t>Enfermedad laboral</w:t>
      </w:r>
      <w:bookmarkEnd w:id="39"/>
      <w:r w:rsidRPr="007F0FA7">
        <w:rPr>
          <w:rFonts w:ascii="Humanst521 BT" w:hAnsi="Humanst521 BT"/>
          <w:b/>
          <w:bCs/>
        </w:rPr>
        <w:t xml:space="preserve">  </w:t>
      </w:r>
    </w:p>
    <w:p w14:paraId="2AF42190" w14:textId="77777777" w:rsidR="008611F3" w:rsidRPr="007F0FA7" w:rsidRDefault="008611F3" w:rsidP="00093B44">
      <w:pPr>
        <w:rPr>
          <w:rFonts w:ascii="Humanst521 BT" w:hAnsi="Humanst521 BT"/>
          <w:b/>
          <w:bCs/>
        </w:rPr>
      </w:pPr>
    </w:p>
    <w:p w14:paraId="70AF76F2" w14:textId="41ED52E0" w:rsidR="008611F3" w:rsidRPr="007F0FA7" w:rsidRDefault="008611F3" w:rsidP="00093B44">
      <w:pPr>
        <w:pStyle w:val="Descripcin"/>
        <w:keepNext/>
        <w:spacing w:line="240" w:lineRule="auto"/>
        <w:rPr>
          <w:rFonts w:ascii="Humanst521 BT" w:eastAsia="Verdana" w:hAnsi="Humanst521 BT" w:cs="Verdana"/>
          <w:b w:val="0"/>
          <w:bCs w:val="0"/>
          <w:color w:val="auto"/>
          <w:sz w:val="22"/>
          <w:szCs w:val="22"/>
          <w:lang w:val="es-ES"/>
        </w:rPr>
      </w:pPr>
      <w:bookmarkStart w:id="40" w:name="_Toc231286254"/>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E6B4A">
        <w:rPr>
          <w:rFonts w:ascii="Humanst521 BT" w:eastAsia="Verdana" w:hAnsi="Humanst521 BT" w:cs="Verdana"/>
          <w:b w:val="0"/>
          <w:bCs w:val="0"/>
          <w:noProof/>
          <w:color w:val="auto"/>
          <w:sz w:val="22"/>
          <w:szCs w:val="22"/>
          <w:lang w:val="es-ES"/>
        </w:rPr>
        <w:t>9</w:t>
      </w:r>
      <w:r w:rsidRPr="007F0FA7">
        <w:rPr>
          <w:rFonts w:ascii="Humanst521 BT" w:eastAsia="Verdana" w:hAnsi="Humanst521 BT" w:cs="Verdana"/>
          <w:b w:val="0"/>
          <w:bCs w:val="0"/>
          <w:color w:val="auto"/>
          <w:sz w:val="22"/>
          <w:szCs w:val="22"/>
          <w:lang w:val="es-ES"/>
        </w:rPr>
        <w:fldChar w:fldCharType="end"/>
      </w:r>
      <w:r w:rsidR="00A561E9">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Características de la población con enfermedad laboral UISALUD</w:t>
      </w:r>
      <w:bookmarkEnd w:id="40"/>
    </w:p>
    <w:tbl>
      <w:tblPr>
        <w:tblW w:w="8845" w:type="dxa"/>
        <w:jc w:val="center"/>
        <w:tblBorders>
          <w:top w:val="single" w:sz="4" w:space="0" w:color="67B93E"/>
          <w:left w:val="single" w:sz="4" w:space="0" w:color="67B93E"/>
          <w:bottom w:val="single" w:sz="4" w:space="0" w:color="67B93E"/>
          <w:right w:val="single" w:sz="4" w:space="0" w:color="67B93E"/>
          <w:insideH w:val="single" w:sz="4" w:space="0" w:color="67B93E"/>
          <w:insideV w:val="single" w:sz="4" w:space="0" w:color="67B93E"/>
        </w:tblBorders>
        <w:tblCellMar>
          <w:left w:w="70" w:type="dxa"/>
          <w:right w:w="70" w:type="dxa"/>
        </w:tblCellMar>
        <w:tblLook w:val="04A0" w:firstRow="1" w:lastRow="0" w:firstColumn="1" w:lastColumn="0" w:noHBand="0" w:noVBand="1"/>
      </w:tblPr>
      <w:tblGrid>
        <w:gridCol w:w="2448"/>
        <w:gridCol w:w="1066"/>
        <w:gridCol w:w="1066"/>
        <w:gridCol w:w="1066"/>
        <w:gridCol w:w="1066"/>
        <w:gridCol w:w="1066"/>
        <w:gridCol w:w="1067"/>
      </w:tblGrid>
      <w:tr w:rsidR="00151CDA" w:rsidRPr="000712D6" w14:paraId="4F73FBA7" w14:textId="77777777" w:rsidTr="00561C56">
        <w:trPr>
          <w:trHeight w:val="283"/>
          <w:jc w:val="center"/>
        </w:trPr>
        <w:tc>
          <w:tcPr>
            <w:tcW w:w="2448" w:type="dxa"/>
            <w:shd w:val="clear" w:color="auto" w:fill="C5E0B3"/>
            <w:vAlign w:val="center"/>
            <w:hideMark/>
          </w:tcPr>
          <w:p w14:paraId="512487DF"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Arial"/>
                <w:b/>
                <w:bCs/>
                <w:sz w:val="20"/>
              </w:rPr>
              <w:t xml:space="preserve">Municipio </w:t>
            </w:r>
          </w:p>
        </w:tc>
        <w:tc>
          <w:tcPr>
            <w:tcW w:w="1066" w:type="dxa"/>
            <w:shd w:val="clear" w:color="auto" w:fill="C5E0B3"/>
            <w:vAlign w:val="center"/>
            <w:hideMark/>
          </w:tcPr>
          <w:p w14:paraId="017D5B8B" w14:textId="77777777" w:rsidR="00151CDA" w:rsidRPr="000712D6" w:rsidRDefault="00151CDA" w:rsidP="00561C56">
            <w:pPr>
              <w:autoSpaceDE/>
              <w:autoSpaceDN/>
              <w:jc w:val="center"/>
              <w:rPr>
                <w:rFonts w:ascii="Humanst521 BT" w:hAnsi="Humanst521 BT" w:cs="Calibri"/>
                <w:b/>
                <w:bCs/>
                <w:sz w:val="20"/>
              </w:rPr>
            </w:pPr>
            <w:proofErr w:type="spellStart"/>
            <w:r w:rsidRPr="000712D6">
              <w:rPr>
                <w:rFonts w:ascii="Humanst521 BT" w:hAnsi="Humanst521 BT" w:cs="Calibri"/>
                <w:b/>
                <w:bCs/>
                <w:sz w:val="20"/>
                <w:lang w:val="en-US"/>
              </w:rPr>
              <w:t>Año</w:t>
            </w:r>
            <w:proofErr w:type="spellEnd"/>
            <w:r w:rsidRPr="000712D6">
              <w:rPr>
                <w:rFonts w:ascii="Humanst521 BT" w:hAnsi="Humanst521 BT" w:cs="Calibri"/>
                <w:b/>
                <w:bCs/>
                <w:sz w:val="20"/>
                <w:lang w:val="en-US"/>
              </w:rPr>
              <w:t xml:space="preserve"> 2023 </w:t>
            </w:r>
          </w:p>
        </w:tc>
        <w:tc>
          <w:tcPr>
            <w:tcW w:w="1066" w:type="dxa"/>
            <w:shd w:val="clear" w:color="auto" w:fill="C5E0B3"/>
            <w:vAlign w:val="center"/>
            <w:hideMark/>
          </w:tcPr>
          <w:p w14:paraId="412D9BB1"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lang w:val="en-US"/>
              </w:rPr>
              <w:t xml:space="preserve">% Part.  </w:t>
            </w:r>
          </w:p>
        </w:tc>
        <w:tc>
          <w:tcPr>
            <w:tcW w:w="1066" w:type="dxa"/>
            <w:shd w:val="clear" w:color="auto" w:fill="C5E0B3"/>
            <w:vAlign w:val="center"/>
            <w:hideMark/>
          </w:tcPr>
          <w:p w14:paraId="0DBAB7FC"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 xml:space="preserve">% Var </w:t>
            </w:r>
          </w:p>
        </w:tc>
        <w:tc>
          <w:tcPr>
            <w:tcW w:w="1066" w:type="dxa"/>
            <w:shd w:val="clear" w:color="auto" w:fill="C5E0B3"/>
            <w:vAlign w:val="center"/>
            <w:hideMark/>
          </w:tcPr>
          <w:p w14:paraId="4F3105F4"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Año 2024 y 2025</w:t>
            </w:r>
          </w:p>
        </w:tc>
        <w:tc>
          <w:tcPr>
            <w:tcW w:w="1066" w:type="dxa"/>
            <w:shd w:val="clear" w:color="auto" w:fill="C5E0B3"/>
            <w:vAlign w:val="center"/>
            <w:hideMark/>
          </w:tcPr>
          <w:p w14:paraId="26BE3F74"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 xml:space="preserve">% Part. </w:t>
            </w:r>
          </w:p>
        </w:tc>
        <w:tc>
          <w:tcPr>
            <w:tcW w:w="1067" w:type="dxa"/>
            <w:shd w:val="clear" w:color="auto" w:fill="C5E0B3"/>
            <w:vAlign w:val="center"/>
            <w:hideMark/>
          </w:tcPr>
          <w:p w14:paraId="6B950880"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 de afiliados</w:t>
            </w:r>
          </w:p>
        </w:tc>
      </w:tr>
      <w:tr w:rsidR="00151CDA" w:rsidRPr="000712D6" w14:paraId="332EA280" w14:textId="77777777" w:rsidTr="00561C56">
        <w:trPr>
          <w:trHeight w:val="283"/>
          <w:jc w:val="center"/>
        </w:trPr>
        <w:tc>
          <w:tcPr>
            <w:tcW w:w="2448" w:type="dxa"/>
            <w:shd w:val="clear" w:color="auto" w:fill="F2F2F2" w:themeFill="background1" w:themeFillShade="F2"/>
            <w:vAlign w:val="center"/>
            <w:hideMark/>
          </w:tcPr>
          <w:p w14:paraId="2F8A17E6" w14:textId="77777777" w:rsidR="00151CDA" w:rsidRPr="000712D6" w:rsidRDefault="00151CDA" w:rsidP="00561C56">
            <w:pPr>
              <w:autoSpaceDE/>
              <w:autoSpaceDN/>
              <w:jc w:val="both"/>
              <w:rPr>
                <w:rFonts w:ascii="Humanst521 BT" w:hAnsi="Humanst521 BT" w:cs="Calibri"/>
                <w:sz w:val="20"/>
              </w:rPr>
            </w:pPr>
            <w:r w:rsidRPr="000712D6">
              <w:rPr>
                <w:rFonts w:ascii="Humanst521 BT" w:hAnsi="Humanst521 BT" w:cs="Calibri"/>
                <w:sz w:val="20"/>
              </w:rPr>
              <w:t xml:space="preserve">68001 – Bucaramanga </w:t>
            </w:r>
          </w:p>
        </w:tc>
        <w:tc>
          <w:tcPr>
            <w:tcW w:w="1066" w:type="dxa"/>
            <w:shd w:val="clear" w:color="auto" w:fill="F2F2F2" w:themeFill="background1" w:themeFillShade="F2"/>
            <w:vAlign w:val="center"/>
            <w:hideMark/>
          </w:tcPr>
          <w:p w14:paraId="5FC3B16A"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26</w:t>
            </w:r>
          </w:p>
        </w:tc>
        <w:tc>
          <w:tcPr>
            <w:tcW w:w="1066" w:type="dxa"/>
            <w:shd w:val="clear" w:color="auto" w:fill="F2F2F2" w:themeFill="background1" w:themeFillShade="F2"/>
            <w:vAlign w:val="center"/>
            <w:hideMark/>
          </w:tcPr>
          <w:p w14:paraId="717A07B2"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70,3%</w:t>
            </w:r>
          </w:p>
        </w:tc>
        <w:tc>
          <w:tcPr>
            <w:tcW w:w="1066" w:type="dxa"/>
            <w:shd w:val="clear" w:color="auto" w:fill="F2F2F2" w:themeFill="background1" w:themeFillShade="F2"/>
            <w:vAlign w:val="center"/>
            <w:hideMark/>
          </w:tcPr>
          <w:p w14:paraId="71862FD9"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38,5%</w:t>
            </w:r>
          </w:p>
        </w:tc>
        <w:tc>
          <w:tcPr>
            <w:tcW w:w="1066" w:type="dxa"/>
            <w:shd w:val="clear" w:color="auto" w:fill="F2F2F2" w:themeFill="background1" w:themeFillShade="F2"/>
            <w:vAlign w:val="center"/>
            <w:hideMark/>
          </w:tcPr>
          <w:p w14:paraId="43E67F29"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36</w:t>
            </w:r>
          </w:p>
        </w:tc>
        <w:tc>
          <w:tcPr>
            <w:tcW w:w="1066" w:type="dxa"/>
            <w:shd w:val="clear" w:color="auto" w:fill="F2F2F2" w:themeFill="background1" w:themeFillShade="F2"/>
            <w:vAlign w:val="center"/>
            <w:hideMark/>
          </w:tcPr>
          <w:p w14:paraId="7CA90DF3"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73,5%</w:t>
            </w:r>
          </w:p>
        </w:tc>
        <w:tc>
          <w:tcPr>
            <w:tcW w:w="1067" w:type="dxa"/>
            <w:shd w:val="clear" w:color="auto" w:fill="F2F2F2" w:themeFill="background1" w:themeFillShade="F2"/>
            <w:vAlign w:val="center"/>
            <w:hideMark/>
          </w:tcPr>
          <w:p w14:paraId="7C891D1B"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1,3%</w:t>
            </w:r>
          </w:p>
        </w:tc>
      </w:tr>
      <w:tr w:rsidR="00151CDA" w:rsidRPr="000712D6" w14:paraId="03830397" w14:textId="77777777" w:rsidTr="00561C56">
        <w:trPr>
          <w:trHeight w:val="283"/>
          <w:jc w:val="center"/>
        </w:trPr>
        <w:tc>
          <w:tcPr>
            <w:tcW w:w="2448" w:type="dxa"/>
            <w:shd w:val="clear" w:color="auto" w:fill="FFFFFF" w:themeFill="background1"/>
            <w:vAlign w:val="center"/>
            <w:hideMark/>
          </w:tcPr>
          <w:p w14:paraId="1F1CCE8F" w14:textId="77777777" w:rsidR="00151CDA" w:rsidRPr="000712D6" w:rsidRDefault="00151CDA" w:rsidP="00561C56">
            <w:pPr>
              <w:autoSpaceDE/>
              <w:autoSpaceDN/>
              <w:jc w:val="both"/>
              <w:rPr>
                <w:rFonts w:ascii="Humanst521 BT" w:hAnsi="Humanst521 BT" w:cs="Calibri"/>
                <w:sz w:val="20"/>
              </w:rPr>
            </w:pPr>
            <w:r w:rsidRPr="000712D6">
              <w:rPr>
                <w:rFonts w:ascii="Humanst521 BT" w:hAnsi="Humanst521 BT" w:cs="Arial"/>
                <w:sz w:val="20"/>
              </w:rPr>
              <w:t xml:space="preserve">68276 – Floridablanca </w:t>
            </w:r>
          </w:p>
        </w:tc>
        <w:tc>
          <w:tcPr>
            <w:tcW w:w="1066" w:type="dxa"/>
            <w:shd w:val="clear" w:color="auto" w:fill="FFFFFF" w:themeFill="background1"/>
            <w:vAlign w:val="center"/>
            <w:hideMark/>
          </w:tcPr>
          <w:p w14:paraId="2F2D176C"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8</w:t>
            </w:r>
          </w:p>
        </w:tc>
        <w:tc>
          <w:tcPr>
            <w:tcW w:w="1066" w:type="dxa"/>
            <w:shd w:val="clear" w:color="auto" w:fill="FFFFFF" w:themeFill="background1"/>
            <w:vAlign w:val="center"/>
            <w:hideMark/>
          </w:tcPr>
          <w:p w14:paraId="6FE84B0B"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21,6%</w:t>
            </w:r>
          </w:p>
        </w:tc>
        <w:tc>
          <w:tcPr>
            <w:tcW w:w="1066" w:type="dxa"/>
            <w:shd w:val="clear" w:color="auto" w:fill="FFFFFF" w:themeFill="background1"/>
            <w:vAlign w:val="center"/>
            <w:hideMark/>
          </w:tcPr>
          <w:p w14:paraId="3D93E9C5"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12,5%</w:t>
            </w:r>
          </w:p>
        </w:tc>
        <w:tc>
          <w:tcPr>
            <w:tcW w:w="1066" w:type="dxa"/>
            <w:shd w:val="clear" w:color="auto" w:fill="FFFFFF" w:themeFill="background1"/>
            <w:vAlign w:val="center"/>
            <w:hideMark/>
          </w:tcPr>
          <w:p w14:paraId="6E7BFF4F"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9</w:t>
            </w:r>
          </w:p>
        </w:tc>
        <w:tc>
          <w:tcPr>
            <w:tcW w:w="1066" w:type="dxa"/>
            <w:shd w:val="clear" w:color="auto" w:fill="FFFFFF" w:themeFill="background1"/>
            <w:vAlign w:val="center"/>
            <w:hideMark/>
          </w:tcPr>
          <w:p w14:paraId="25FE6440"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18,4%</w:t>
            </w:r>
          </w:p>
        </w:tc>
        <w:tc>
          <w:tcPr>
            <w:tcW w:w="1067" w:type="dxa"/>
            <w:shd w:val="clear" w:color="auto" w:fill="FFFFFF" w:themeFill="background1"/>
            <w:vAlign w:val="center"/>
            <w:hideMark/>
          </w:tcPr>
          <w:p w14:paraId="2B58AA1E"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0,3%</w:t>
            </w:r>
          </w:p>
        </w:tc>
      </w:tr>
      <w:tr w:rsidR="00151CDA" w:rsidRPr="000712D6" w14:paraId="0F428521" w14:textId="77777777" w:rsidTr="00561C56">
        <w:trPr>
          <w:trHeight w:val="283"/>
          <w:jc w:val="center"/>
        </w:trPr>
        <w:tc>
          <w:tcPr>
            <w:tcW w:w="2448" w:type="dxa"/>
            <w:shd w:val="clear" w:color="auto" w:fill="F2F2F2" w:themeFill="background1" w:themeFillShade="F2"/>
            <w:vAlign w:val="center"/>
            <w:hideMark/>
          </w:tcPr>
          <w:p w14:paraId="542D5E4B" w14:textId="77777777" w:rsidR="00151CDA" w:rsidRPr="000712D6" w:rsidRDefault="00151CDA" w:rsidP="00561C56">
            <w:pPr>
              <w:autoSpaceDE/>
              <w:autoSpaceDN/>
              <w:jc w:val="both"/>
              <w:rPr>
                <w:rFonts w:ascii="Humanst521 BT" w:hAnsi="Humanst521 BT" w:cs="Calibri"/>
                <w:sz w:val="20"/>
              </w:rPr>
            </w:pPr>
            <w:r w:rsidRPr="000712D6">
              <w:rPr>
                <w:rFonts w:ascii="Humanst521 BT" w:hAnsi="Humanst521 BT" w:cs="Calibri"/>
                <w:sz w:val="20"/>
              </w:rPr>
              <w:t xml:space="preserve">68307 – Girón </w:t>
            </w:r>
          </w:p>
        </w:tc>
        <w:tc>
          <w:tcPr>
            <w:tcW w:w="1066" w:type="dxa"/>
            <w:shd w:val="clear" w:color="auto" w:fill="F2F2F2" w:themeFill="background1" w:themeFillShade="F2"/>
            <w:vAlign w:val="center"/>
            <w:hideMark/>
          </w:tcPr>
          <w:p w14:paraId="6B87440D"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1</w:t>
            </w:r>
          </w:p>
        </w:tc>
        <w:tc>
          <w:tcPr>
            <w:tcW w:w="1066" w:type="dxa"/>
            <w:shd w:val="clear" w:color="auto" w:fill="F2F2F2" w:themeFill="background1" w:themeFillShade="F2"/>
            <w:vAlign w:val="center"/>
            <w:hideMark/>
          </w:tcPr>
          <w:p w14:paraId="3F4A9AA3"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2,7%</w:t>
            </w:r>
          </w:p>
        </w:tc>
        <w:tc>
          <w:tcPr>
            <w:tcW w:w="1066" w:type="dxa"/>
            <w:shd w:val="clear" w:color="auto" w:fill="F2F2F2" w:themeFill="background1" w:themeFillShade="F2"/>
            <w:vAlign w:val="center"/>
            <w:hideMark/>
          </w:tcPr>
          <w:p w14:paraId="2C1B390E"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100,0%</w:t>
            </w:r>
          </w:p>
        </w:tc>
        <w:tc>
          <w:tcPr>
            <w:tcW w:w="1066" w:type="dxa"/>
            <w:shd w:val="clear" w:color="auto" w:fill="F2F2F2" w:themeFill="background1" w:themeFillShade="F2"/>
            <w:vAlign w:val="center"/>
            <w:hideMark/>
          </w:tcPr>
          <w:p w14:paraId="2B689FC2"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2</w:t>
            </w:r>
          </w:p>
        </w:tc>
        <w:tc>
          <w:tcPr>
            <w:tcW w:w="1066" w:type="dxa"/>
            <w:shd w:val="clear" w:color="auto" w:fill="F2F2F2" w:themeFill="background1" w:themeFillShade="F2"/>
            <w:vAlign w:val="center"/>
            <w:hideMark/>
          </w:tcPr>
          <w:p w14:paraId="67C5AEDD"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4,1%</w:t>
            </w:r>
          </w:p>
        </w:tc>
        <w:tc>
          <w:tcPr>
            <w:tcW w:w="1067" w:type="dxa"/>
            <w:shd w:val="clear" w:color="auto" w:fill="F2F2F2" w:themeFill="background1" w:themeFillShade="F2"/>
            <w:vAlign w:val="center"/>
            <w:hideMark/>
          </w:tcPr>
          <w:p w14:paraId="25D248E0"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0,1%</w:t>
            </w:r>
          </w:p>
        </w:tc>
      </w:tr>
      <w:tr w:rsidR="00151CDA" w:rsidRPr="000712D6" w14:paraId="26060006" w14:textId="77777777" w:rsidTr="00561C56">
        <w:trPr>
          <w:trHeight w:val="283"/>
          <w:jc w:val="center"/>
        </w:trPr>
        <w:tc>
          <w:tcPr>
            <w:tcW w:w="2448" w:type="dxa"/>
            <w:shd w:val="clear" w:color="auto" w:fill="FFFFFF" w:themeFill="background1"/>
            <w:vAlign w:val="center"/>
            <w:hideMark/>
          </w:tcPr>
          <w:p w14:paraId="05FA0EF8" w14:textId="77777777" w:rsidR="00151CDA" w:rsidRPr="000712D6" w:rsidRDefault="00151CDA" w:rsidP="00561C56">
            <w:pPr>
              <w:autoSpaceDE/>
              <w:autoSpaceDN/>
              <w:jc w:val="both"/>
              <w:rPr>
                <w:rFonts w:ascii="Humanst521 BT" w:hAnsi="Humanst521 BT" w:cs="Calibri"/>
                <w:sz w:val="20"/>
              </w:rPr>
            </w:pPr>
            <w:r w:rsidRPr="000712D6">
              <w:rPr>
                <w:rFonts w:ascii="Humanst521 BT" w:hAnsi="Humanst521 BT" w:cs="Arial"/>
                <w:sz w:val="20"/>
              </w:rPr>
              <w:t xml:space="preserve">68547 – Piedecuesta </w:t>
            </w:r>
          </w:p>
        </w:tc>
        <w:tc>
          <w:tcPr>
            <w:tcW w:w="1066" w:type="dxa"/>
            <w:shd w:val="clear" w:color="auto" w:fill="FFFFFF" w:themeFill="background1"/>
            <w:vAlign w:val="center"/>
            <w:hideMark/>
          </w:tcPr>
          <w:p w14:paraId="651CFA9C"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2</w:t>
            </w:r>
          </w:p>
        </w:tc>
        <w:tc>
          <w:tcPr>
            <w:tcW w:w="1066" w:type="dxa"/>
            <w:shd w:val="clear" w:color="auto" w:fill="FFFFFF" w:themeFill="background1"/>
            <w:vAlign w:val="center"/>
            <w:hideMark/>
          </w:tcPr>
          <w:p w14:paraId="23C72D8E"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5,4%</w:t>
            </w:r>
          </w:p>
        </w:tc>
        <w:tc>
          <w:tcPr>
            <w:tcW w:w="1066" w:type="dxa"/>
            <w:shd w:val="clear" w:color="auto" w:fill="FFFFFF" w:themeFill="background1"/>
            <w:vAlign w:val="center"/>
            <w:hideMark/>
          </w:tcPr>
          <w:p w14:paraId="2B2B763B"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0,0%</w:t>
            </w:r>
          </w:p>
        </w:tc>
        <w:tc>
          <w:tcPr>
            <w:tcW w:w="1066" w:type="dxa"/>
            <w:shd w:val="clear" w:color="auto" w:fill="FFFFFF" w:themeFill="background1"/>
            <w:vAlign w:val="center"/>
            <w:hideMark/>
          </w:tcPr>
          <w:p w14:paraId="3D638083"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lang w:val="en-US"/>
              </w:rPr>
              <w:t>2</w:t>
            </w:r>
          </w:p>
        </w:tc>
        <w:tc>
          <w:tcPr>
            <w:tcW w:w="1066" w:type="dxa"/>
            <w:shd w:val="clear" w:color="auto" w:fill="FFFFFF" w:themeFill="background1"/>
            <w:vAlign w:val="center"/>
            <w:hideMark/>
          </w:tcPr>
          <w:p w14:paraId="2D45FB95"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4,1%</w:t>
            </w:r>
          </w:p>
        </w:tc>
        <w:tc>
          <w:tcPr>
            <w:tcW w:w="1067" w:type="dxa"/>
            <w:shd w:val="clear" w:color="auto" w:fill="FFFFFF" w:themeFill="background1"/>
            <w:vAlign w:val="center"/>
            <w:hideMark/>
          </w:tcPr>
          <w:p w14:paraId="70D13C5F" w14:textId="77777777" w:rsidR="00151CDA" w:rsidRPr="000712D6" w:rsidRDefault="00151CDA" w:rsidP="00561C56">
            <w:pPr>
              <w:autoSpaceDE/>
              <w:autoSpaceDN/>
              <w:jc w:val="center"/>
              <w:rPr>
                <w:rFonts w:ascii="Humanst521 BT" w:hAnsi="Humanst521 BT" w:cs="Calibri"/>
                <w:sz w:val="20"/>
              </w:rPr>
            </w:pPr>
            <w:r w:rsidRPr="000712D6">
              <w:rPr>
                <w:rFonts w:ascii="Humanst521 BT" w:hAnsi="Humanst521 BT" w:cs="Calibri"/>
                <w:sz w:val="20"/>
              </w:rPr>
              <w:t>0,1%</w:t>
            </w:r>
          </w:p>
        </w:tc>
      </w:tr>
      <w:tr w:rsidR="00151CDA" w:rsidRPr="000712D6" w14:paraId="60C733E3" w14:textId="77777777" w:rsidTr="00561C56">
        <w:trPr>
          <w:trHeight w:val="283"/>
          <w:jc w:val="center"/>
        </w:trPr>
        <w:tc>
          <w:tcPr>
            <w:tcW w:w="2448" w:type="dxa"/>
            <w:shd w:val="clear" w:color="auto" w:fill="C5E0B3"/>
            <w:vAlign w:val="center"/>
            <w:hideMark/>
          </w:tcPr>
          <w:p w14:paraId="4F3BB53A" w14:textId="77777777" w:rsidR="00151CDA" w:rsidRPr="000712D6" w:rsidRDefault="00151CDA" w:rsidP="00561C56">
            <w:pPr>
              <w:autoSpaceDE/>
              <w:autoSpaceDN/>
              <w:rPr>
                <w:rFonts w:ascii="Humanst521 BT" w:hAnsi="Humanst521 BT" w:cs="Calibri"/>
                <w:b/>
                <w:bCs/>
                <w:sz w:val="20"/>
              </w:rPr>
            </w:pPr>
            <w:r w:rsidRPr="07074AB7">
              <w:rPr>
                <w:rFonts w:ascii="Humanst521 BT" w:hAnsi="Humanst521 BT" w:cs="Calibri"/>
                <w:b/>
                <w:bCs/>
                <w:sz w:val="20"/>
              </w:rPr>
              <w:t xml:space="preserve">Total </w:t>
            </w:r>
          </w:p>
        </w:tc>
        <w:tc>
          <w:tcPr>
            <w:tcW w:w="1066" w:type="dxa"/>
            <w:shd w:val="clear" w:color="auto" w:fill="C5E0B3"/>
            <w:vAlign w:val="center"/>
            <w:hideMark/>
          </w:tcPr>
          <w:p w14:paraId="40A4641D"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lang w:val="en-US"/>
              </w:rPr>
              <w:t>37</w:t>
            </w:r>
          </w:p>
        </w:tc>
        <w:tc>
          <w:tcPr>
            <w:tcW w:w="1066" w:type="dxa"/>
            <w:shd w:val="clear" w:color="auto" w:fill="C5E0B3"/>
            <w:vAlign w:val="center"/>
            <w:hideMark/>
          </w:tcPr>
          <w:p w14:paraId="7DA1718A"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100%</w:t>
            </w:r>
          </w:p>
        </w:tc>
        <w:tc>
          <w:tcPr>
            <w:tcW w:w="1066" w:type="dxa"/>
            <w:shd w:val="clear" w:color="auto" w:fill="C5E0B3"/>
            <w:vAlign w:val="center"/>
            <w:hideMark/>
          </w:tcPr>
          <w:p w14:paraId="358DC680"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32,4%</w:t>
            </w:r>
          </w:p>
        </w:tc>
        <w:tc>
          <w:tcPr>
            <w:tcW w:w="1066" w:type="dxa"/>
            <w:shd w:val="clear" w:color="auto" w:fill="C5E0B3"/>
            <w:vAlign w:val="center"/>
            <w:hideMark/>
          </w:tcPr>
          <w:p w14:paraId="1B04F0A6"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49</w:t>
            </w:r>
          </w:p>
        </w:tc>
        <w:tc>
          <w:tcPr>
            <w:tcW w:w="1066" w:type="dxa"/>
            <w:shd w:val="clear" w:color="auto" w:fill="C5E0B3"/>
            <w:vAlign w:val="center"/>
            <w:hideMark/>
          </w:tcPr>
          <w:p w14:paraId="2790C31C"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100%</w:t>
            </w:r>
          </w:p>
        </w:tc>
        <w:tc>
          <w:tcPr>
            <w:tcW w:w="1067" w:type="dxa"/>
            <w:shd w:val="clear" w:color="auto" w:fill="C5E0B3"/>
            <w:vAlign w:val="center"/>
            <w:hideMark/>
          </w:tcPr>
          <w:p w14:paraId="7799C27D" w14:textId="77777777" w:rsidR="00151CDA" w:rsidRPr="000712D6" w:rsidRDefault="00151CDA" w:rsidP="00561C56">
            <w:pPr>
              <w:autoSpaceDE/>
              <w:autoSpaceDN/>
              <w:jc w:val="center"/>
              <w:rPr>
                <w:rFonts w:ascii="Humanst521 BT" w:hAnsi="Humanst521 BT" w:cs="Calibri"/>
                <w:b/>
                <w:bCs/>
                <w:sz w:val="20"/>
              </w:rPr>
            </w:pPr>
            <w:r w:rsidRPr="000712D6">
              <w:rPr>
                <w:rFonts w:ascii="Humanst521 BT" w:hAnsi="Humanst521 BT" w:cs="Calibri"/>
                <w:b/>
                <w:bCs/>
                <w:sz w:val="20"/>
              </w:rPr>
              <w:t>1,8%</w:t>
            </w:r>
          </w:p>
        </w:tc>
      </w:tr>
    </w:tbl>
    <w:p w14:paraId="7A3D0D2C" w14:textId="77777777" w:rsidR="00A561E9" w:rsidRPr="007F0FA7" w:rsidRDefault="00A561E9" w:rsidP="00A561E9">
      <w:pPr>
        <w:rPr>
          <w:rFonts w:ascii="Humanst521 BT" w:hAnsi="Humanst521 BT"/>
          <w:i/>
          <w:iCs/>
        </w:rPr>
      </w:pPr>
      <w:bookmarkStart w:id="41" w:name="_Toc159490480"/>
      <w:r w:rsidRPr="007F0FA7">
        <w:rPr>
          <w:rFonts w:ascii="Humanst521 BT" w:hAnsi="Humanst521 BT"/>
          <w:i/>
          <w:iCs/>
        </w:rPr>
        <w:t>Fuente: Elaboración propia. Base de datos afiliados: fecha de corte: 3</w:t>
      </w:r>
      <w:r>
        <w:rPr>
          <w:rFonts w:ascii="Humanst521 BT" w:hAnsi="Humanst521 BT"/>
          <w:i/>
          <w:iCs/>
        </w:rPr>
        <w:t>1</w:t>
      </w:r>
      <w:r w:rsidRPr="007F0FA7">
        <w:rPr>
          <w:rFonts w:ascii="Humanst521 BT" w:hAnsi="Humanst521 BT"/>
          <w:i/>
          <w:iCs/>
        </w:rPr>
        <w:t xml:space="preserve"> de </w:t>
      </w:r>
      <w:r>
        <w:rPr>
          <w:rFonts w:ascii="Humanst521 BT" w:hAnsi="Humanst521 BT"/>
          <w:i/>
          <w:iCs/>
        </w:rPr>
        <w:t>diciembre de 2025</w:t>
      </w:r>
    </w:p>
    <w:p w14:paraId="52DAA87F" w14:textId="77777777" w:rsidR="00A16101" w:rsidRPr="007F0FA7" w:rsidRDefault="00A16101" w:rsidP="00093B44">
      <w:pPr>
        <w:rPr>
          <w:rFonts w:ascii="Humanst521 BT" w:hAnsi="Humanst521 BT" w:cs="Arial"/>
        </w:rPr>
      </w:pPr>
    </w:p>
    <w:p w14:paraId="297EEAE0" w14:textId="7ECBDE00" w:rsidR="00A16101" w:rsidRPr="007F0FA7" w:rsidRDefault="00A16101" w:rsidP="00093B44">
      <w:pPr>
        <w:jc w:val="both"/>
        <w:rPr>
          <w:rFonts w:ascii="Humanst521 BT" w:hAnsi="Humanst521 BT" w:cs="Arial"/>
        </w:rPr>
      </w:pPr>
      <w:r w:rsidRPr="007F0FA7">
        <w:rPr>
          <w:rFonts w:ascii="Humanst521 BT" w:hAnsi="Humanst521 BT" w:cs="Arial"/>
        </w:rPr>
        <w:t xml:space="preserve">El porcentaje de enfermedades laborales en la población </w:t>
      </w:r>
      <w:r w:rsidR="005859A5" w:rsidRPr="007F0FA7">
        <w:rPr>
          <w:rFonts w:ascii="Humanst521 BT" w:hAnsi="Humanst521 BT" w:cs="Arial"/>
        </w:rPr>
        <w:t xml:space="preserve">afiliada </w:t>
      </w:r>
      <w:r w:rsidRPr="007F0FA7">
        <w:rPr>
          <w:rFonts w:ascii="Humanst521 BT" w:hAnsi="Humanst521 BT" w:cs="Arial"/>
        </w:rPr>
        <w:t xml:space="preserve">es del 1%.  Esta población es incluida en el Programa de Gestión de Seguridad y Salud en el Trabajo de la Universidad, a quienes se les realiza un estricto seguimiento del cumplimento de las recomendaciones médico-laborales, según el caso.  </w:t>
      </w:r>
    </w:p>
    <w:p w14:paraId="05056BF2" w14:textId="77777777" w:rsidR="00A16101" w:rsidRPr="007F0FA7" w:rsidRDefault="00A16101" w:rsidP="00093B44">
      <w:pPr>
        <w:jc w:val="both"/>
        <w:rPr>
          <w:rFonts w:ascii="Humanst521 BT" w:hAnsi="Humanst521 BT" w:cs="Arial"/>
        </w:rPr>
      </w:pPr>
    </w:p>
    <w:p w14:paraId="3C0ACADA" w14:textId="01DE8D2A" w:rsidR="00A16101" w:rsidRPr="007F0FA7" w:rsidRDefault="00A16101" w:rsidP="00093B44">
      <w:pPr>
        <w:autoSpaceDE/>
        <w:autoSpaceDN/>
        <w:jc w:val="both"/>
        <w:rPr>
          <w:rFonts w:ascii="Humanst521 BT" w:hAnsi="Humanst521 BT" w:cs="Arial"/>
        </w:rPr>
      </w:pPr>
      <w:r w:rsidRPr="007F0FA7">
        <w:rPr>
          <w:rFonts w:ascii="Humanst521 BT" w:hAnsi="Humanst521 BT" w:cs="Arial"/>
        </w:rPr>
        <w:t xml:space="preserve">En lo corrido del año 2024, se reportó un nuevo caso de enfermedad laboral (F431-TRASTORNO DE </w:t>
      </w:r>
      <w:r w:rsidR="001F292E" w:rsidRPr="007F0FA7">
        <w:rPr>
          <w:rFonts w:ascii="Humanst521 BT" w:hAnsi="Humanst521 BT" w:cs="Arial"/>
        </w:rPr>
        <w:t>ADAPTACION) y</w:t>
      </w:r>
      <w:r w:rsidRPr="007F0FA7">
        <w:rPr>
          <w:rFonts w:ascii="Humanst521 BT" w:hAnsi="Humanst521 BT" w:cs="Arial"/>
        </w:rPr>
        <w:t xml:space="preserve"> se incluyeron los casos con dictamen definitivo que se encontraban en las diferentes instancias del proceso para calificación definitiva. </w:t>
      </w:r>
    </w:p>
    <w:p w14:paraId="0514DFEC" w14:textId="77777777" w:rsidR="00A16101" w:rsidRPr="007F0FA7" w:rsidRDefault="00A16101" w:rsidP="00093B44">
      <w:pPr>
        <w:autoSpaceDE/>
        <w:autoSpaceDN/>
        <w:jc w:val="both"/>
        <w:rPr>
          <w:rFonts w:ascii="Humanst521 BT" w:hAnsi="Humanst521 BT" w:cs="Arial"/>
        </w:rPr>
      </w:pPr>
    </w:p>
    <w:p w14:paraId="0CDF023B" w14:textId="77777777" w:rsidR="00A16101" w:rsidRPr="007F0FA7" w:rsidRDefault="00A16101" w:rsidP="00093B44">
      <w:pPr>
        <w:autoSpaceDE/>
        <w:autoSpaceDN/>
        <w:jc w:val="both"/>
        <w:rPr>
          <w:rFonts w:ascii="Humanst521 BT" w:eastAsia="Calibri" w:hAnsi="Humanst521 BT" w:cs="Calibri"/>
        </w:rPr>
      </w:pPr>
      <w:r w:rsidRPr="007F0FA7">
        <w:rPr>
          <w:rFonts w:ascii="Humanst521 BT" w:hAnsi="Humanst521 BT" w:cs="Arial"/>
        </w:rPr>
        <w:t>Las causas de estas enfermedades laborales, es dado principalmente por Enfermedades del sistema osteomuscular y del tejido conjuntivo (M00-M99) 21 casos – 42,9%. En segundo lugar, las Enfermedades del sistema nervioso (G00-G99) 13 casos – 26,5%. Estas patologías se relacionan con el riesgo ergonómico</w:t>
      </w:r>
      <w:r w:rsidRPr="007F0FA7">
        <w:rPr>
          <w:rFonts w:ascii="Humanst521 BT" w:eastAsia="Calibri" w:hAnsi="Humanst521 BT" w:cs="Calibri"/>
        </w:rPr>
        <w:t xml:space="preserve">. </w:t>
      </w:r>
    </w:p>
    <w:p w14:paraId="62654C53" w14:textId="77777777" w:rsidR="00A16101" w:rsidRPr="007F0FA7" w:rsidRDefault="00A16101" w:rsidP="00093B44">
      <w:pPr>
        <w:autoSpaceDE/>
        <w:autoSpaceDN/>
        <w:jc w:val="both"/>
        <w:rPr>
          <w:rFonts w:ascii="Humanst521 BT" w:hAnsi="Humanst521 BT" w:cstheme="minorBidi"/>
        </w:rPr>
      </w:pPr>
    </w:p>
    <w:p w14:paraId="73290CCC" w14:textId="26872BB9" w:rsidR="00244200" w:rsidRPr="007D03AF" w:rsidRDefault="006E14D8" w:rsidP="00B20579">
      <w:pPr>
        <w:pStyle w:val="Descripcin"/>
        <w:spacing w:line="240" w:lineRule="auto"/>
        <w:outlineLvl w:val="3"/>
        <w:rPr>
          <w:rFonts w:ascii="Humanst521 BT" w:eastAsia="Verdana" w:hAnsi="Humanst521 BT" w:cs="Verdana"/>
          <w:sz w:val="22"/>
          <w:szCs w:val="22"/>
          <w:lang w:val="es-ES"/>
        </w:rPr>
      </w:pPr>
      <w:bookmarkStart w:id="42" w:name="_Toc231286790"/>
      <w:bookmarkEnd w:id="41"/>
      <w:r w:rsidRPr="007D03AF">
        <w:rPr>
          <w:rFonts w:ascii="Humanst521 BT" w:eastAsia="Verdana" w:hAnsi="Humanst521 BT" w:cs="Verdana"/>
          <w:sz w:val="22"/>
          <w:szCs w:val="22"/>
          <w:lang w:val="es-ES"/>
        </w:rPr>
        <w:t>5.1.1.</w:t>
      </w:r>
      <w:r w:rsidR="00C11F11" w:rsidRPr="007D03AF">
        <w:rPr>
          <w:rFonts w:ascii="Humanst521 BT" w:eastAsia="Verdana" w:hAnsi="Humanst521 BT" w:cs="Verdana"/>
          <w:sz w:val="22"/>
          <w:szCs w:val="22"/>
          <w:lang w:val="es-ES"/>
        </w:rPr>
        <w:t>5</w:t>
      </w:r>
      <w:r w:rsidRPr="007D03AF">
        <w:rPr>
          <w:rFonts w:ascii="Humanst521 BT" w:eastAsia="Verdana" w:hAnsi="Humanst521 BT" w:cs="Verdana"/>
          <w:sz w:val="22"/>
          <w:szCs w:val="22"/>
          <w:lang w:val="es-ES"/>
        </w:rPr>
        <w:t>.</w:t>
      </w:r>
      <w:r w:rsidR="002A4D50" w:rsidRPr="007D03AF">
        <w:rPr>
          <w:rFonts w:ascii="Humanst521 BT" w:eastAsia="Verdana" w:hAnsi="Humanst521 BT" w:cs="Verdana"/>
          <w:sz w:val="22"/>
          <w:szCs w:val="22"/>
          <w:lang w:val="es-ES"/>
        </w:rPr>
        <w:t xml:space="preserve"> </w:t>
      </w:r>
      <w:r w:rsidR="001F292E" w:rsidRPr="007D03AF">
        <w:rPr>
          <w:rFonts w:ascii="Humanst521 BT" w:eastAsia="Verdana" w:hAnsi="Humanst521 BT" w:cs="Verdana"/>
          <w:sz w:val="22"/>
          <w:szCs w:val="22"/>
          <w:lang w:val="es-ES"/>
        </w:rPr>
        <w:t>Descripción d</w:t>
      </w:r>
      <w:r w:rsidR="007C1956" w:rsidRPr="007D03AF">
        <w:rPr>
          <w:rFonts w:ascii="Humanst521 BT" w:eastAsia="Verdana" w:hAnsi="Humanst521 BT" w:cs="Verdana"/>
          <w:sz w:val="22"/>
          <w:szCs w:val="22"/>
          <w:lang w:val="es-ES"/>
        </w:rPr>
        <w:t>el comportamiento de indicadores demográficos relevantes de la población afiliada.</w:t>
      </w:r>
      <w:bookmarkEnd w:id="42"/>
    </w:p>
    <w:p w14:paraId="43FE082C" w14:textId="77777777" w:rsidR="00BD0454" w:rsidRPr="003F6B85" w:rsidRDefault="00BD0454" w:rsidP="00093B44">
      <w:pPr>
        <w:pStyle w:val="Textocomentario"/>
        <w:jc w:val="both"/>
        <w:rPr>
          <w:rFonts w:ascii="Humanst521 BT" w:eastAsia="Verdana" w:hAnsi="Humanst521 BT" w:cs="Verdana"/>
          <w:sz w:val="22"/>
          <w:szCs w:val="22"/>
          <w:lang w:val="es-ES" w:eastAsia="en-US"/>
        </w:rPr>
      </w:pPr>
      <w:r w:rsidRPr="003F6B85">
        <w:rPr>
          <w:rFonts w:ascii="Humanst521 BT" w:eastAsia="Verdana" w:hAnsi="Humanst521 BT" w:cs="Verdana"/>
          <w:sz w:val="22"/>
          <w:szCs w:val="22"/>
          <w:lang w:val="es-ES" w:eastAsia="en-US"/>
        </w:rPr>
        <w:t>Los siguientes indicadores demográficos, han mostrado estabilidad a través del tiempo para el Sistema de Salud de la Universidad Industrial de Santander:</w:t>
      </w:r>
    </w:p>
    <w:p w14:paraId="3160D0D2" w14:textId="77777777" w:rsidR="00E354BB" w:rsidRPr="003F6B85" w:rsidRDefault="00E354BB" w:rsidP="00093B44">
      <w:pPr>
        <w:pStyle w:val="Textocomentario"/>
        <w:jc w:val="both"/>
        <w:rPr>
          <w:rFonts w:ascii="Humanst521 BT" w:hAnsi="Humanst521 BT" w:cstheme="minorBidi"/>
          <w:sz w:val="22"/>
          <w:szCs w:val="22"/>
          <w:lang w:eastAsia="en-US"/>
        </w:rPr>
      </w:pPr>
    </w:p>
    <w:p w14:paraId="39AA633B" w14:textId="0DE0ECA5" w:rsidR="00487660" w:rsidRPr="003F6B85" w:rsidRDefault="00487660" w:rsidP="00093B44">
      <w:pPr>
        <w:pStyle w:val="Descripcin"/>
        <w:keepNext/>
        <w:spacing w:line="240" w:lineRule="auto"/>
        <w:rPr>
          <w:rFonts w:ascii="Humanst521 BT" w:eastAsia="Verdana" w:hAnsi="Humanst521 BT" w:cs="Verdana"/>
          <w:b w:val="0"/>
          <w:bCs w:val="0"/>
          <w:color w:val="auto"/>
          <w:sz w:val="22"/>
          <w:szCs w:val="22"/>
          <w:lang w:val="es-ES"/>
        </w:rPr>
      </w:pPr>
      <w:bookmarkStart w:id="43" w:name="_Toc160090328"/>
      <w:bookmarkStart w:id="44" w:name="_Toc231286255"/>
      <w:r w:rsidRPr="003F6B85">
        <w:rPr>
          <w:rFonts w:ascii="Humanst521 BT" w:eastAsia="Verdana" w:hAnsi="Humanst521 BT" w:cs="Verdana"/>
          <w:b w:val="0"/>
          <w:bCs w:val="0"/>
          <w:color w:val="auto"/>
          <w:sz w:val="22"/>
          <w:szCs w:val="22"/>
          <w:lang w:val="es-ES"/>
        </w:rPr>
        <w:t xml:space="preserve">Tabla </w:t>
      </w:r>
      <w:r w:rsidRPr="003F6B85">
        <w:rPr>
          <w:rFonts w:ascii="Humanst521 BT" w:eastAsia="Verdana" w:hAnsi="Humanst521 BT" w:cs="Verdana"/>
          <w:b w:val="0"/>
          <w:bCs w:val="0"/>
          <w:color w:val="auto"/>
          <w:sz w:val="22"/>
          <w:szCs w:val="22"/>
          <w:lang w:val="es-ES"/>
        </w:rPr>
        <w:fldChar w:fldCharType="begin"/>
      </w:r>
      <w:r w:rsidRPr="003F6B85">
        <w:rPr>
          <w:rFonts w:ascii="Humanst521 BT" w:eastAsia="Verdana" w:hAnsi="Humanst521 BT" w:cs="Verdana"/>
          <w:b w:val="0"/>
          <w:bCs w:val="0"/>
          <w:color w:val="auto"/>
          <w:sz w:val="22"/>
          <w:szCs w:val="22"/>
          <w:lang w:val="es-ES"/>
        </w:rPr>
        <w:instrText xml:space="preserve"> SEQ Tabla \* ARABIC </w:instrText>
      </w:r>
      <w:r w:rsidRPr="003F6B85">
        <w:rPr>
          <w:rFonts w:ascii="Humanst521 BT" w:eastAsia="Verdana" w:hAnsi="Humanst521 BT" w:cs="Verdana"/>
          <w:b w:val="0"/>
          <w:bCs w:val="0"/>
          <w:color w:val="auto"/>
          <w:sz w:val="22"/>
          <w:szCs w:val="22"/>
          <w:lang w:val="es-ES"/>
        </w:rPr>
        <w:fldChar w:fldCharType="separate"/>
      </w:r>
      <w:r w:rsidR="002E6B4A">
        <w:rPr>
          <w:rFonts w:ascii="Humanst521 BT" w:eastAsia="Verdana" w:hAnsi="Humanst521 BT" w:cs="Verdana"/>
          <w:b w:val="0"/>
          <w:bCs w:val="0"/>
          <w:noProof/>
          <w:color w:val="auto"/>
          <w:sz w:val="22"/>
          <w:szCs w:val="22"/>
          <w:lang w:val="es-ES"/>
        </w:rPr>
        <w:t>10</w:t>
      </w:r>
      <w:r w:rsidRPr="003F6B85">
        <w:rPr>
          <w:rFonts w:ascii="Humanst521 BT" w:eastAsia="Verdana" w:hAnsi="Humanst521 BT" w:cs="Verdana"/>
          <w:b w:val="0"/>
          <w:bCs w:val="0"/>
          <w:color w:val="auto"/>
          <w:sz w:val="22"/>
          <w:szCs w:val="22"/>
          <w:lang w:val="es-ES"/>
        </w:rPr>
        <w:fldChar w:fldCharType="end"/>
      </w:r>
      <w:r w:rsidR="00A561E9">
        <w:rPr>
          <w:rFonts w:ascii="Humanst521 BT" w:eastAsia="Verdana" w:hAnsi="Humanst521 BT" w:cs="Verdana"/>
          <w:b w:val="0"/>
          <w:bCs w:val="0"/>
          <w:color w:val="auto"/>
          <w:sz w:val="22"/>
          <w:szCs w:val="22"/>
          <w:lang w:val="es-ES"/>
        </w:rPr>
        <w:t>.</w:t>
      </w:r>
      <w:r w:rsidRPr="003F6B85">
        <w:rPr>
          <w:rFonts w:ascii="Humanst521 BT" w:eastAsia="Verdana" w:hAnsi="Humanst521 BT" w:cs="Verdana"/>
          <w:b w:val="0"/>
          <w:bCs w:val="0"/>
          <w:color w:val="auto"/>
          <w:sz w:val="22"/>
          <w:szCs w:val="22"/>
          <w:lang w:val="es-ES"/>
        </w:rPr>
        <w:t xml:space="preserve"> Indicadores de estructura demográfica UISALUD Nacional, Colombia, Santander</w:t>
      </w:r>
      <w:bookmarkEnd w:id="43"/>
      <w:r w:rsidR="00B61586" w:rsidRPr="003F6B85">
        <w:rPr>
          <w:rFonts w:ascii="Humanst521 BT" w:eastAsia="Verdana" w:hAnsi="Humanst521 BT" w:cs="Verdana"/>
          <w:b w:val="0"/>
          <w:bCs w:val="0"/>
          <w:color w:val="auto"/>
          <w:sz w:val="22"/>
          <w:szCs w:val="22"/>
          <w:lang w:val="es-ES"/>
        </w:rPr>
        <w:t>.</w:t>
      </w:r>
      <w:bookmarkEnd w:id="44"/>
    </w:p>
    <w:tbl>
      <w:tblPr>
        <w:tblW w:w="4939" w:type="pct"/>
        <w:tblCellMar>
          <w:left w:w="70" w:type="dxa"/>
          <w:right w:w="70" w:type="dxa"/>
        </w:tblCellMar>
        <w:tblLook w:val="04A0" w:firstRow="1" w:lastRow="0" w:firstColumn="1" w:lastColumn="0" w:noHBand="0" w:noVBand="1"/>
      </w:tblPr>
      <w:tblGrid>
        <w:gridCol w:w="3240"/>
        <w:gridCol w:w="1768"/>
        <w:gridCol w:w="2239"/>
        <w:gridCol w:w="2177"/>
      </w:tblGrid>
      <w:tr w:rsidR="00A561E9" w:rsidRPr="000712D6" w14:paraId="46E7E43D" w14:textId="77777777" w:rsidTr="00561C56">
        <w:trPr>
          <w:trHeight w:val="258"/>
        </w:trPr>
        <w:tc>
          <w:tcPr>
            <w:tcW w:w="1719" w:type="pc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0D8D813B" w14:textId="77777777" w:rsidR="00A561E9" w:rsidRPr="000712D6" w:rsidRDefault="00A561E9"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Índices demográficos</w:t>
            </w:r>
          </w:p>
        </w:tc>
        <w:tc>
          <w:tcPr>
            <w:tcW w:w="938" w:type="pct"/>
            <w:tcBorders>
              <w:top w:val="single" w:sz="8" w:space="0" w:color="67B93E"/>
              <w:left w:val="nil"/>
              <w:bottom w:val="single" w:sz="8" w:space="0" w:color="67B93E"/>
              <w:right w:val="single" w:sz="8" w:space="0" w:color="67B93E"/>
            </w:tcBorders>
            <w:shd w:val="clear" w:color="000000" w:fill="C5E0B3"/>
            <w:vAlign w:val="center"/>
            <w:hideMark/>
          </w:tcPr>
          <w:p w14:paraId="08A35F72" w14:textId="77777777" w:rsidR="00A561E9" w:rsidRPr="000712D6" w:rsidRDefault="00A561E9"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Colombia</w:t>
            </w:r>
          </w:p>
        </w:tc>
        <w:tc>
          <w:tcPr>
            <w:tcW w:w="1188" w:type="pct"/>
            <w:tcBorders>
              <w:top w:val="single" w:sz="8" w:space="0" w:color="67B93E"/>
              <w:left w:val="nil"/>
              <w:bottom w:val="single" w:sz="8" w:space="0" w:color="67B93E"/>
              <w:right w:val="single" w:sz="8" w:space="0" w:color="67B93E"/>
            </w:tcBorders>
            <w:shd w:val="clear" w:color="000000" w:fill="C5E0B3"/>
            <w:vAlign w:val="center"/>
            <w:hideMark/>
          </w:tcPr>
          <w:p w14:paraId="7E9155ED" w14:textId="77777777" w:rsidR="00A561E9" w:rsidRPr="000712D6" w:rsidRDefault="00A561E9"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UISALUD</w:t>
            </w:r>
          </w:p>
        </w:tc>
        <w:tc>
          <w:tcPr>
            <w:tcW w:w="1155" w:type="pct"/>
            <w:tcBorders>
              <w:top w:val="single" w:sz="8" w:space="0" w:color="67B93E"/>
              <w:left w:val="nil"/>
              <w:bottom w:val="single" w:sz="8" w:space="0" w:color="67B93E"/>
              <w:right w:val="single" w:sz="8" w:space="0" w:color="67B93E"/>
            </w:tcBorders>
            <w:shd w:val="clear" w:color="000000" w:fill="C5E0B3"/>
            <w:vAlign w:val="center"/>
            <w:hideMark/>
          </w:tcPr>
          <w:p w14:paraId="289A6A2C" w14:textId="77777777" w:rsidR="00A561E9" w:rsidRPr="000712D6" w:rsidRDefault="00A561E9"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Santander</w:t>
            </w:r>
          </w:p>
        </w:tc>
      </w:tr>
      <w:tr w:rsidR="00A561E9" w:rsidRPr="000712D6" w14:paraId="527B46CE"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auto" w:fill="auto"/>
            <w:vAlign w:val="center"/>
            <w:hideMark/>
          </w:tcPr>
          <w:p w14:paraId="492BD239"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Población total</w:t>
            </w:r>
          </w:p>
        </w:tc>
        <w:tc>
          <w:tcPr>
            <w:tcW w:w="938" w:type="pct"/>
            <w:tcBorders>
              <w:top w:val="nil"/>
              <w:left w:val="nil"/>
              <w:bottom w:val="single" w:sz="8" w:space="0" w:color="67B93E"/>
              <w:right w:val="single" w:sz="8" w:space="0" w:color="67B93E"/>
            </w:tcBorders>
            <w:shd w:val="clear" w:color="000000" w:fill="FFFFFF"/>
            <w:vAlign w:val="center"/>
            <w:hideMark/>
          </w:tcPr>
          <w:p w14:paraId="312CBB49"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53.110.609</w:t>
            </w:r>
          </w:p>
        </w:tc>
        <w:tc>
          <w:tcPr>
            <w:tcW w:w="1188" w:type="pct"/>
            <w:tcBorders>
              <w:top w:val="nil"/>
              <w:left w:val="nil"/>
              <w:bottom w:val="single" w:sz="8" w:space="0" w:color="67B93E"/>
              <w:right w:val="single" w:sz="8" w:space="0" w:color="67B93E"/>
            </w:tcBorders>
            <w:shd w:val="clear" w:color="000000" w:fill="FFFFFF"/>
            <w:vAlign w:val="center"/>
            <w:hideMark/>
          </w:tcPr>
          <w:p w14:paraId="1C19AC8C"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2.792</w:t>
            </w:r>
          </w:p>
        </w:tc>
        <w:tc>
          <w:tcPr>
            <w:tcW w:w="1155" w:type="pct"/>
            <w:tcBorders>
              <w:top w:val="nil"/>
              <w:left w:val="nil"/>
              <w:bottom w:val="single" w:sz="8" w:space="0" w:color="67B93E"/>
              <w:right w:val="single" w:sz="8" w:space="0" w:color="67B93E"/>
            </w:tcBorders>
            <w:shd w:val="clear" w:color="000000" w:fill="FFFFFF"/>
            <w:vAlign w:val="center"/>
            <w:hideMark/>
          </w:tcPr>
          <w:p w14:paraId="1FFD4636"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2.393.214</w:t>
            </w:r>
          </w:p>
        </w:tc>
      </w:tr>
      <w:tr w:rsidR="00A561E9" w:rsidRPr="000712D6" w14:paraId="5ECA23F9"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000000" w:fill="F2F2F2"/>
            <w:vAlign w:val="center"/>
            <w:hideMark/>
          </w:tcPr>
          <w:p w14:paraId="5E5827B9"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Población Masculina</w:t>
            </w:r>
          </w:p>
        </w:tc>
        <w:tc>
          <w:tcPr>
            <w:tcW w:w="938" w:type="pct"/>
            <w:tcBorders>
              <w:top w:val="nil"/>
              <w:left w:val="nil"/>
              <w:bottom w:val="single" w:sz="8" w:space="0" w:color="67B93E"/>
              <w:right w:val="single" w:sz="8" w:space="0" w:color="67B93E"/>
            </w:tcBorders>
            <w:shd w:val="clear" w:color="000000" w:fill="F2F2F2"/>
            <w:vAlign w:val="center"/>
            <w:hideMark/>
          </w:tcPr>
          <w:p w14:paraId="76F8CAB5"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25.919.481</w:t>
            </w:r>
          </w:p>
        </w:tc>
        <w:tc>
          <w:tcPr>
            <w:tcW w:w="1188" w:type="pct"/>
            <w:tcBorders>
              <w:top w:val="nil"/>
              <w:left w:val="nil"/>
              <w:bottom w:val="single" w:sz="8" w:space="0" w:color="67B93E"/>
              <w:right w:val="single" w:sz="8" w:space="0" w:color="67B93E"/>
            </w:tcBorders>
            <w:shd w:val="clear" w:color="000000" w:fill="F2F2F2"/>
            <w:vAlign w:val="center"/>
            <w:hideMark/>
          </w:tcPr>
          <w:p w14:paraId="41856E2D"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1.364</w:t>
            </w:r>
          </w:p>
        </w:tc>
        <w:tc>
          <w:tcPr>
            <w:tcW w:w="1155" w:type="pct"/>
            <w:tcBorders>
              <w:top w:val="nil"/>
              <w:left w:val="nil"/>
              <w:bottom w:val="single" w:sz="8" w:space="0" w:color="67B93E"/>
              <w:right w:val="single" w:sz="8" w:space="0" w:color="67B93E"/>
            </w:tcBorders>
            <w:shd w:val="clear" w:color="000000" w:fill="F2F2F2"/>
            <w:vAlign w:val="center"/>
            <w:hideMark/>
          </w:tcPr>
          <w:p w14:paraId="36E087E5"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1.170.911</w:t>
            </w:r>
          </w:p>
        </w:tc>
      </w:tr>
      <w:tr w:rsidR="00A561E9" w:rsidRPr="000712D6" w14:paraId="3768DE1C"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auto" w:fill="auto"/>
            <w:vAlign w:val="center"/>
            <w:hideMark/>
          </w:tcPr>
          <w:p w14:paraId="0BD2E1C0"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Población femenina</w:t>
            </w:r>
          </w:p>
        </w:tc>
        <w:tc>
          <w:tcPr>
            <w:tcW w:w="938" w:type="pct"/>
            <w:tcBorders>
              <w:top w:val="nil"/>
              <w:left w:val="nil"/>
              <w:bottom w:val="single" w:sz="8" w:space="0" w:color="67B93E"/>
              <w:right w:val="single" w:sz="8" w:space="0" w:color="67B93E"/>
            </w:tcBorders>
            <w:shd w:val="clear" w:color="000000" w:fill="FFFFFF"/>
            <w:vAlign w:val="center"/>
            <w:hideMark/>
          </w:tcPr>
          <w:p w14:paraId="342B3182"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27.141.128</w:t>
            </w:r>
          </w:p>
        </w:tc>
        <w:tc>
          <w:tcPr>
            <w:tcW w:w="1188" w:type="pct"/>
            <w:tcBorders>
              <w:top w:val="nil"/>
              <w:left w:val="nil"/>
              <w:bottom w:val="single" w:sz="8" w:space="0" w:color="67B93E"/>
              <w:right w:val="single" w:sz="8" w:space="0" w:color="67B93E"/>
            </w:tcBorders>
            <w:shd w:val="clear" w:color="000000" w:fill="FFFFFF"/>
            <w:vAlign w:val="center"/>
            <w:hideMark/>
          </w:tcPr>
          <w:p w14:paraId="781708E3"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1.428</w:t>
            </w:r>
          </w:p>
        </w:tc>
        <w:tc>
          <w:tcPr>
            <w:tcW w:w="1155" w:type="pct"/>
            <w:tcBorders>
              <w:top w:val="nil"/>
              <w:left w:val="nil"/>
              <w:bottom w:val="single" w:sz="8" w:space="0" w:color="67B93E"/>
              <w:right w:val="single" w:sz="8" w:space="0" w:color="67B93E"/>
            </w:tcBorders>
            <w:shd w:val="clear" w:color="000000" w:fill="FFFFFF"/>
            <w:vAlign w:val="center"/>
            <w:hideMark/>
          </w:tcPr>
          <w:p w14:paraId="26BCE34E"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1.222.303</w:t>
            </w:r>
          </w:p>
        </w:tc>
      </w:tr>
      <w:tr w:rsidR="00A561E9" w:rsidRPr="000712D6" w14:paraId="2512C774"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000000" w:fill="F2F2F2"/>
            <w:vAlign w:val="center"/>
            <w:hideMark/>
          </w:tcPr>
          <w:p w14:paraId="4D1DA98B"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Relación hombres: mujer</w:t>
            </w:r>
          </w:p>
        </w:tc>
        <w:tc>
          <w:tcPr>
            <w:tcW w:w="938" w:type="pct"/>
            <w:tcBorders>
              <w:top w:val="nil"/>
              <w:left w:val="nil"/>
              <w:bottom w:val="single" w:sz="8" w:space="0" w:color="67B93E"/>
              <w:right w:val="single" w:sz="8" w:space="0" w:color="67B93E"/>
            </w:tcBorders>
            <w:shd w:val="clear" w:color="000000" w:fill="F2F2F2"/>
            <w:vAlign w:val="center"/>
            <w:hideMark/>
          </w:tcPr>
          <w:p w14:paraId="05FE1D61"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0,95</w:t>
            </w:r>
          </w:p>
        </w:tc>
        <w:tc>
          <w:tcPr>
            <w:tcW w:w="1188" w:type="pct"/>
            <w:tcBorders>
              <w:top w:val="nil"/>
              <w:left w:val="nil"/>
              <w:bottom w:val="single" w:sz="8" w:space="0" w:color="67B93E"/>
              <w:right w:val="single" w:sz="8" w:space="0" w:color="67B93E"/>
            </w:tcBorders>
            <w:shd w:val="clear" w:color="000000" w:fill="F2F2F2"/>
            <w:vAlign w:val="center"/>
            <w:hideMark/>
          </w:tcPr>
          <w:p w14:paraId="00B9CA97"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95,52</w:t>
            </w:r>
          </w:p>
        </w:tc>
        <w:tc>
          <w:tcPr>
            <w:tcW w:w="1155" w:type="pct"/>
            <w:tcBorders>
              <w:top w:val="nil"/>
              <w:left w:val="nil"/>
              <w:bottom w:val="single" w:sz="8" w:space="0" w:color="67B93E"/>
              <w:right w:val="single" w:sz="8" w:space="0" w:color="67B93E"/>
            </w:tcBorders>
            <w:shd w:val="clear" w:color="000000" w:fill="F2F2F2"/>
            <w:vAlign w:val="center"/>
            <w:hideMark/>
          </w:tcPr>
          <w:p w14:paraId="729DA6BE"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0,96</w:t>
            </w:r>
          </w:p>
        </w:tc>
      </w:tr>
      <w:tr w:rsidR="00A561E9" w:rsidRPr="000712D6" w14:paraId="736D553E"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auto" w:fill="auto"/>
            <w:vAlign w:val="center"/>
            <w:hideMark/>
          </w:tcPr>
          <w:p w14:paraId="5C7A78E4"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Razón niños: mujer</w:t>
            </w:r>
          </w:p>
        </w:tc>
        <w:tc>
          <w:tcPr>
            <w:tcW w:w="938" w:type="pct"/>
            <w:tcBorders>
              <w:top w:val="nil"/>
              <w:left w:val="nil"/>
              <w:bottom w:val="single" w:sz="8" w:space="0" w:color="67B93E"/>
              <w:right w:val="single" w:sz="8" w:space="0" w:color="67B93E"/>
            </w:tcBorders>
            <w:shd w:val="clear" w:color="000000" w:fill="FFFFFF"/>
            <w:vAlign w:val="center"/>
            <w:hideMark/>
          </w:tcPr>
          <w:p w14:paraId="617CB52B"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26</w:t>
            </w:r>
          </w:p>
        </w:tc>
        <w:tc>
          <w:tcPr>
            <w:tcW w:w="1188" w:type="pct"/>
            <w:tcBorders>
              <w:top w:val="nil"/>
              <w:left w:val="nil"/>
              <w:bottom w:val="single" w:sz="8" w:space="0" w:color="67B93E"/>
              <w:right w:val="single" w:sz="8" w:space="0" w:color="67B93E"/>
            </w:tcBorders>
            <w:shd w:val="clear" w:color="000000" w:fill="FFFFFF"/>
            <w:vAlign w:val="center"/>
            <w:hideMark/>
          </w:tcPr>
          <w:p w14:paraId="083F1382"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15,2</w:t>
            </w:r>
          </w:p>
        </w:tc>
        <w:tc>
          <w:tcPr>
            <w:tcW w:w="1155" w:type="pct"/>
            <w:tcBorders>
              <w:top w:val="nil"/>
              <w:left w:val="nil"/>
              <w:bottom w:val="single" w:sz="8" w:space="0" w:color="67B93E"/>
              <w:right w:val="single" w:sz="8" w:space="0" w:color="67B93E"/>
            </w:tcBorders>
            <w:shd w:val="clear" w:color="000000" w:fill="FFFFFF"/>
            <w:vAlign w:val="center"/>
            <w:hideMark/>
          </w:tcPr>
          <w:p w14:paraId="76DC1061"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24</w:t>
            </w:r>
          </w:p>
        </w:tc>
      </w:tr>
      <w:tr w:rsidR="00A561E9" w:rsidRPr="000712D6" w14:paraId="36A35A6F"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000000" w:fill="F2F2F2"/>
            <w:vAlign w:val="center"/>
            <w:hideMark/>
          </w:tcPr>
          <w:p w14:paraId="446C1D0A"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Índice de infancia</w:t>
            </w:r>
          </w:p>
        </w:tc>
        <w:tc>
          <w:tcPr>
            <w:tcW w:w="938" w:type="pct"/>
            <w:tcBorders>
              <w:top w:val="nil"/>
              <w:left w:val="nil"/>
              <w:bottom w:val="single" w:sz="8" w:space="0" w:color="67B93E"/>
              <w:right w:val="single" w:sz="8" w:space="0" w:color="67B93E"/>
            </w:tcBorders>
            <w:shd w:val="clear" w:color="000000" w:fill="F2F2F2"/>
            <w:vAlign w:val="center"/>
            <w:hideMark/>
          </w:tcPr>
          <w:p w14:paraId="02A2E9AB"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22</w:t>
            </w:r>
          </w:p>
        </w:tc>
        <w:tc>
          <w:tcPr>
            <w:tcW w:w="1188" w:type="pct"/>
            <w:tcBorders>
              <w:top w:val="nil"/>
              <w:left w:val="nil"/>
              <w:bottom w:val="single" w:sz="8" w:space="0" w:color="67B93E"/>
              <w:right w:val="single" w:sz="8" w:space="0" w:color="67B93E"/>
            </w:tcBorders>
            <w:shd w:val="clear" w:color="000000" w:fill="F2F2F2"/>
            <w:vAlign w:val="center"/>
            <w:hideMark/>
          </w:tcPr>
          <w:p w14:paraId="3EEB0137"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13,1</w:t>
            </w:r>
          </w:p>
        </w:tc>
        <w:tc>
          <w:tcPr>
            <w:tcW w:w="1155" w:type="pct"/>
            <w:tcBorders>
              <w:top w:val="nil"/>
              <w:left w:val="nil"/>
              <w:bottom w:val="single" w:sz="8" w:space="0" w:color="67B93E"/>
              <w:right w:val="single" w:sz="8" w:space="0" w:color="67B93E"/>
            </w:tcBorders>
            <w:shd w:val="clear" w:color="000000" w:fill="F2F2F2"/>
            <w:vAlign w:val="center"/>
            <w:hideMark/>
          </w:tcPr>
          <w:p w14:paraId="589A6862"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20</w:t>
            </w:r>
          </w:p>
        </w:tc>
      </w:tr>
      <w:tr w:rsidR="00A561E9" w:rsidRPr="000712D6" w14:paraId="5E1AB377"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auto" w:fill="auto"/>
            <w:vAlign w:val="center"/>
            <w:hideMark/>
          </w:tcPr>
          <w:p w14:paraId="33D11E34"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Índice de juventud</w:t>
            </w:r>
          </w:p>
        </w:tc>
        <w:tc>
          <w:tcPr>
            <w:tcW w:w="938" w:type="pct"/>
            <w:tcBorders>
              <w:top w:val="nil"/>
              <w:left w:val="nil"/>
              <w:bottom w:val="single" w:sz="8" w:space="0" w:color="67B93E"/>
              <w:right w:val="single" w:sz="8" w:space="0" w:color="67B93E"/>
            </w:tcBorders>
            <w:shd w:val="clear" w:color="000000" w:fill="FFFFFF"/>
            <w:vAlign w:val="center"/>
            <w:hideMark/>
          </w:tcPr>
          <w:p w14:paraId="78808E79"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24</w:t>
            </w:r>
          </w:p>
        </w:tc>
        <w:tc>
          <w:tcPr>
            <w:tcW w:w="1188" w:type="pct"/>
            <w:tcBorders>
              <w:top w:val="nil"/>
              <w:left w:val="nil"/>
              <w:bottom w:val="single" w:sz="8" w:space="0" w:color="67B93E"/>
              <w:right w:val="single" w:sz="8" w:space="0" w:color="67B93E"/>
            </w:tcBorders>
            <w:shd w:val="clear" w:color="000000" w:fill="FFFFFF"/>
            <w:vAlign w:val="center"/>
            <w:hideMark/>
          </w:tcPr>
          <w:p w14:paraId="76E6B323"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5,8</w:t>
            </w:r>
          </w:p>
        </w:tc>
        <w:tc>
          <w:tcPr>
            <w:tcW w:w="1155" w:type="pct"/>
            <w:tcBorders>
              <w:top w:val="nil"/>
              <w:left w:val="nil"/>
              <w:bottom w:val="single" w:sz="8" w:space="0" w:color="67B93E"/>
              <w:right w:val="single" w:sz="8" w:space="0" w:color="67B93E"/>
            </w:tcBorders>
            <w:shd w:val="clear" w:color="000000" w:fill="FFFFFF"/>
            <w:vAlign w:val="center"/>
            <w:hideMark/>
          </w:tcPr>
          <w:p w14:paraId="0B73373C"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23</w:t>
            </w:r>
          </w:p>
        </w:tc>
      </w:tr>
      <w:tr w:rsidR="00A561E9" w:rsidRPr="000712D6" w14:paraId="167DF0D5"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000000" w:fill="F2F2F2"/>
            <w:vAlign w:val="center"/>
            <w:hideMark/>
          </w:tcPr>
          <w:p w14:paraId="4163BEB0"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Índice de vejez</w:t>
            </w:r>
          </w:p>
        </w:tc>
        <w:tc>
          <w:tcPr>
            <w:tcW w:w="938" w:type="pct"/>
            <w:tcBorders>
              <w:top w:val="nil"/>
              <w:left w:val="nil"/>
              <w:bottom w:val="single" w:sz="8" w:space="0" w:color="67B93E"/>
              <w:right w:val="single" w:sz="8" w:space="0" w:color="67B93E"/>
            </w:tcBorders>
            <w:shd w:val="clear" w:color="000000" w:fill="F2F2F2"/>
            <w:vAlign w:val="center"/>
            <w:hideMark/>
          </w:tcPr>
          <w:p w14:paraId="2A973357"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10</w:t>
            </w:r>
          </w:p>
        </w:tc>
        <w:tc>
          <w:tcPr>
            <w:tcW w:w="1188" w:type="pct"/>
            <w:tcBorders>
              <w:top w:val="nil"/>
              <w:left w:val="nil"/>
              <w:bottom w:val="single" w:sz="8" w:space="0" w:color="67B93E"/>
              <w:right w:val="single" w:sz="8" w:space="0" w:color="67B93E"/>
            </w:tcBorders>
            <w:shd w:val="clear" w:color="000000" w:fill="F2F2F2"/>
            <w:vAlign w:val="center"/>
            <w:hideMark/>
          </w:tcPr>
          <w:p w14:paraId="05995C70"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41,7</w:t>
            </w:r>
          </w:p>
        </w:tc>
        <w:tc>
          <w:tcPr>
            <w:tcW w:w="1155" w:type="pct"/>
            <w:tcBorders>
              <w:top w:val="nil"/>
              <w:left w:val="nil"/>
              <w:bottom w:val="single" w:sz="8" w:space="0" w:color="67B93E"/>
              <w:right w:val="single" w:sz="8" w:space="0" w:color="67B93E"/>
            </w:tcBorders>
            <w:shd w:val="clear" w:color="000000" w:fill="F2F2F2"/>
            <w:vAlign w:val="center"/>
            <w:hideMark/>
          </w:tcPr>
          <w:p w14:paraId="677BE145"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11</w:t>
            </w:r>
          </w:p>
        </w:tc>
      </w:tr>
      <w:tr w:rsidR="00A561E9" w:rsidRPr="000712D6" w14:paraId="4DEBC623"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auto" w:fill="auto"/>
            <w:vAlign w:val="center"/>
            <w:hideMark/>
          </w:tcPr>
          <w:p w14:paraId="788CC9E8"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Índice de envejecimiento</w:t>
            </w:r>
          </w:p>
        </w:tc>
        <w:tc>
          <w:tcPr>
            <w:tcW w:w="938" w:type="pct"/>
            <w:tcBorders>
              <w:top w:val="nil"/>
              <w:left w:val="nil"/>
              <w:bottom w:val="single" w:sz="8" w:space="0" w:color="67B93E"/>
              <w:right w:val="single" w:sz="8" w:space="0" w:color="67B93E"/>
            </w:tcBorders>
            <w:shd w:val="clear" w:color="000000" w:fill="FFFFFF"/>
            <w:vAlign w:val="center"/>
            <w:hideMark/>
          </w:tcPr>
          <w:p w14:paraId="4C2AC1C4"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47</w:t>
            </w:r>
          </w:p>
        </w:tc>
        <w:tc>
          <w:tcPr>
            <w:tcW w:w="1188" w:type="pct"/>
            <w:tcBorders>
              <w:top w:val="nil"/>
              <w:left w:val="nil"/>
              <w:bottom w:val="single" w:sz="8" w:space="0" w:color="67B93E"/>
              <w:right w:val="single" w:sz="8" w:space="0" w:color="67B93E"/>
            </w:tcBorders>
            <w:shd w:val="clear" w:color="000000" w:fill="FFFFFF"/>
            <w:vAlign w:val="center"/>
            <w:hideMark/>
          </w:tcPr>
          <w:p w14:paraId="1F58590B"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318,9</w:t>
            </w:r>
          </w:p>
        </w:tc>
        <w:tc>
          <w:tcPr>
            <w:tcW w:w="1155" w:type="pct"/>
            <w:tcBorders>
              <w:top w:val="nil"/>
              <w:left w:val="nil"/>
              <w:bottom w:val="single" w:sz="8" w:space="0" w:color="67B93E"/>
              <w:right w:val="single" w:sz="8" w:space="0" w:color="67B93E"/>
            </w:tcBorders>
            <w:shd w:val="clear" w:color="000000" w:fill="FFFFFF"/>
            <w:vAlign w:val="center"/>
            <w:hideMark/>
          </w:tcPr>
          <w:p w14:paraId="1B5CB07F"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56</w:t>
            </w:r>
          </w:p>
        </w:tc>
      </w:tr>
      <w:tr w:rsidR="00A561E9" w:rsidRPr="000712D6" w14:paraId="31AFA63C"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000000" w:fill="F2F2F2"/>
            <w:vAlign w:val="center"/>
            <w:hideMark/>
          </w:tcPr>
          <w:p w14:paraId="691D09EC"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Índice demográfico de dependencia</w:t>
            </w:r>
          </w:p>
        </w:tc>
        <w:tc>
          <w:tcPr>
            <w:tcW w:w="938" w:type="pct"/>
            <w:tcBorders>
              <w:top w:val="nil"/>
              <w:left w:val="nil"/>
              <w:bottom w:val="single" w:sz="8" w:space="0" w:color="67B93E"/>
              <w:right w:val="single" w:sz="8" w:space="0" w:color="67B93E"/>
            </w:tcBorders>
            <w:shd w:val="clear" w:color="000000" w:fill="F2F2F2"/>
            <w:vAlign w:val="center"/>
            <w:hideMark/>
          </w:tcPr>
          <w:p w14:paraId="1A12A171"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47,59</w:t>
            </w:r>
          </w:p>
        </w:tc>
        <w:tc>
          <w:tcPr>
            <w:tcW w:w="1188" w:type="pct"/>
            <w:tcBorders>
              <w:top w:val="nil"/>
              <w:left w:val="nil"/>
              <w:bottom w:val="single" w:sz="8" w:space="0" w:color="67B93E"/>
              <w:right w:val="single" w:sz="8" w:space="0" w:color="67B93E"/>
            </w:tcBorders>
            <w:shd w:val="clear" w:color="000000" w:fill="F2F2F2"/>
            <w:vAlign w:val="center"/>
            <w:hideMark/>
          </w:tcPr>
          <w:p w14:paraId="57C82572"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121,1</w:t>
            </w:r>
          </w:p>
        </w:tc>
        <w:tc>
          <w:tcPr>
            <w:tcW w:w="1155" w:type="pct"/>
            <w:tcBorders>
              <w:top w:val="nil"/>
              <w:left w:val="nil"/>
              <w:bottom w:val="single" w:sz="8" w:space="0" w:color="67B93E"/>
              <w:right w:val="single" w:sz="8" w:space="0" w:color="67B93E"/>
            </w:tcBorders>
            <w:shd w:val="clear" w:color="000000" w:fill="F2F2F2"/>
            <w:vAlign w:val="center"/>
            <w:hideMark/>
          </w:tcPr>
          <w:p w14:paraId="34516580"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46,47</w:t>
            </w:r>
          </w:p>
        </w:tc>
      </w:tr>
      <w:tr w:rsidR="00A561E9" w:rsidRPr="000712D6" w14:paraId="5B6BC967"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auto" w:fill="auto"/>
            <w:vAlign w:val="center"/>
            <w:hideMark/>
          </w:tcPr>
          <w:p w14:paraId="3A891142"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Índice de dependencia infantil</w:t>
            </w:r>
          </w:p>
        </w:tc>
        <w:tc>
          <w:tcPr>
            <w:tcW w:w="938" w:type="pct"/>
            <w:tcBorders>
              <w:top w:val="nil"/>
              <w:left w:val="nil"/>
              <w:bottom w:val="single" w:sz="8" w:space="0" w:color="67B93E"/>
              <w:right w:val="single" w:sz="8" w:space="0" w:color="67B93E"/>
            </w:tcBorders>
            <w:shd w:val="clear" w:color="000000" w:fill="FFFFFF"/>
            <w:vAlign w:val="center"/>
            <w:hideMark/>
          </w:tcPr>
          <w:p w14:paraId="3767D310"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32,35</w:t>
            </w:r>
          </w:p>
        </w:tc>
        <w:tc>
          <w:tcPr>
            <w:tcW w:w="1188" w:type="pct"/>
            <w:tcBorders>
              <w:top w:val="nil"/>
              <w:left w:val="nil"/>
              <w:bottom w:val="single" w:sz="8" w:space="0" w:color="67B93E"/>
              <w:right w:val="single" w:sz="8" w:space="0" w:color="67B93E"/>
            </w:tcBorders>
            <w:shd w:val="clear" w:color="000000" w:fill="FFFFFF"/>
            <w:vAlign w:val="center"/>
            <w:hideMark/>
          </w:tcPr>
          <w:p w14:paraId="2518EE99"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28,9</w:t>
            </w:r>
          </w:p>
        </w:tc>
        <w:tc>
          <w:tcPr>
            <w:tcW w:w="1155" w:type="pct"/>
            <w:tcBorders>
              <w:top w:val="nil"/>
              <w:left w:val="nil"/>
              <w:bottom w:val="single" w:sz="8" w:space="0" w:color="67B93E"/>
              <w:right w:val="single" w:sz="8" w:space="0" w:color="67B93E"/>
            </w:tcBorders>
            <w:shd w:val="clear" w:color="000000" w:fill="FFFFFF"/>
            <w:vAlign w:val="center"/>
            <w:hideMark/>
          </w:tcPr>
          <w:p w14:paraId="488618A2"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29,87</w:t>
            </w:r>
          </w:p>
        </w:tc>
      </w:tr>
      <w:tr w:rsidR="00A561E9" w:rsidRPr="000712D6" w14:paraId="3B263BF4"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000000" w:fill="F2F2F2"/>
            <w:vAlign w:val="center"/>
            <w:hideMark/>
          </w:tcPr>
          <w:p w14:paraId="511A6A5B"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Índice de dependencia mayores</w:t>
            </w:r>
          </w:p>
        </w:tc>
        <w:tc>
          <w:tcPr>
            <w:tcW w:w="938" w:type="pct"/>
            <w:tcBorders>
              <w:top w:val="nil"/>
              <w:left w:val="nil"/>
              <w:bottom w:val="single" w:sz="8" w:space="0" w:color="67B93E"/>
              <w:right w:val="single" w:sz="8" w:space="0" w:color="67B93E"/>
            </w:tcBorders>
            <w:shd w:val="clear" w:color="000000" w:fill="F2F2F2"/>
            <w:vAlign w:val="center"/>
            <w:hideMark/>
          </w:tcPr>
          <w:p w14:paraId="7D6EFB26"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15,25</w:t>
            </w:r>
          </w:p>
        </w:tc>
        <w:tc>
          <w:tcPr>
            <w:tcW w:w="1188" w:type="pct"/>
            <w:tcBorders>
              <w:top w:val="nil"/>
              <w:left w:val="nil"/>
              <w:bottom w:val="single" w:sz="8" w:space="0" w:color="67B93E"/>
              <w:right w:val="single" w:sz="8" w:space="0" w:color="67B93E"/>
            </w:tcBorders>
            <w:shd w:val="clear" w:color="000000" w:fill="F2F2F2"/>
            <w:vAlign w:val="center"/>
            <w:hideMark/>
          </w:tcPr>
          <w:p w14:paraId="25A5D5B2"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92,2</w:t>
            </w:r>
          </w:p>
        </w:tc>
        <w:tc>
          <w:tcPr>
            <w:tcW w:w="1155" w:type="pct"/>
            <w:tcBorders>
              <w:top w:val="nil"/>
              <w:left w:val="nil"/>
              <w:bottom w:val="single" w:sz="8" w:space="0" w:color="67B93E"/>
              <w:right w:val="single" w:sz="8" w:space="0" w:color="67B93E"/>
            </w:tcBorders>
            <w:shd w:val="clear" w:color="000000" w:fill="F2F2F2"/>
            <w:vAlign w:val="center"/>
            <w:hideMark/>
          </w:tcPr>
          <w:p w14:paraId="6603CEED"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16,6</w:t>
            </w:r>
          </w:p>
        </w:tc>
      </w:tr>
      <w:tr w:rsidR="00A561E9" w:rsidRPr="000712D6" w14:paraId="2DBC5830" w14:textId="77777777" w:rsidTr="00561C56">
        <w:trPr>
          <w:trHeight w:val="258"/>
        </w:trPr>
        <w:tc>
          <w:tcPr>
            <w:tcW w:w="1719" w:type="pct"/>
            <w:tcBorders>
              <w:top w:val="nil"/>
              <w:left w:val="single" w:sz="8" w:space="0" w:color="67B93E"/>
              <w:bottom w:val="single" w:sz="8" w:space="0" w:color="67B93E"/>
              <w:right w:val="single" w:sz="8" w:space="0" w:color="67B93E"/>
            </w:tcBorders>
            <w:shd w:val="clear" w:color="auto" w:fill="auto"/>
            <w:vAlign w:val="center"/>
            <w:hideMark/>
          </w:tcPr>
          <w:p w14:paraId="44D6E206" w14:textId="77777777" w:rsidR="00A561E9" w:rsidRPr="000712D6" w:rsidRDefault="00A561E9" w:rsidP="00561C56">
            <w:pPr>
              <w:autoSpaceDE/>
              <w:autoSpaceDN/>
              <w:rPr>
                <w:rFonts w:ascii="Humanst521 BT" w:hAnsi="Humanst521 BT" w:cs="Arial"/>
                <w:color w:val="000000"/>
                <w:sz w:val="20"/>
              </w:rPr>
            </w:pPr>
            <w:r w:rsidRPr="000712D6">
              <w:rPr>
                <w:rFonts w:ascii="Humanst521 BT" w:hAnsi="Humanst521 BT" w:cs="Arial"/>
                <w:color w:val="000000"/>
                <w:sz w:val="20"/>
              </w:rPr>
              <w:t>Índice de Friz</w:t>
            </w:r>
          </w:p>
        </w:tc>
        <w:tc>
          <w:tcPr>
            <w:tcW w:w="938" w:type="pct"/>
            <w:tcBorders>
              <w:top w:val="nil"/>
              <w:left w:val="nil"/>
              <w:bottom w:val="single" w:sz="8" w:space="0" w:color="67B93E"/>
              <w:right w:val="single" w:sz="8" w:space="0" w:color="67B93E"/>
            </w:tcBorders>
            <w:shd w:val="clear" w:color="000000" w:fill="FFFFFF"/>
            <w:vAlign w:val="center"/>
            <w:hideMark/>
          </w:tcPr>
          <w:p w14:paraId="02A9C69E"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104,64</w:t>
            </w:r>
          </w:p>
        </w:tc>
        <w:tc>
          <w:tcPr>
            <w:tcW w:w="1188" w:type="pct"/>
            <w:tcBorders>
              <w:top w:val="nil"/>
              <w:left w:val="nil"/>
              <w:bottom w:val="single" w:sz="8" w:space="0" w:color="67B93E"/>
              <w:right w:val="single" w:sz="8" w:space="0" w:color="67B93E"/>
            </w:tcBorders>
            <w:shd w:val="clear" w:color="000000" w:fill="FFFFFF"/>
            <w:vAlign w:val="center"/>
            <w:hideMark/>
          </w:tcPr>
          <w:p w14:paraId="463544FC"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78,3</w:t>
            </w:r>
          </w:p>
        </w:tc>
        <w:tc>
          <w:tcPr>
            <w:tcW w:w="1155" w:type="pct"/>
            <w:tcBorders>
              <w:top w:val="nil"/>
              <w:left w:val="nil"/>
              <w:bottom w:val="single" w:sz="8" w:space="0" w:color="67B93E"/>
              <w:right w:val="single" w:sz="8" w:space="0" w:color="67B93E"/>
            </w:tcBorders>
            <w:shd w:val="clear" w:color="000000" w:fill="FFFFFF"/>
            <w:vAlign w:val="center"/>
            <w:hideMark/>
          </w:tcPr>
          <w:p w14:paraId="04A44A20" w14:textId="77777777" w:rsidR="00A561E9" w:rsidRPr="000712D6" w:rsidRDefault="00A561E9" w:rsidP="00561C56">
            <w:pPr>
              <w:autoSpaceDE/>
              <w:autoSpaceDN/>
              <w:jc w:val="center"/>
              <w:rPr>
                <w:rFonts w:ascii="Humanst521 BT" w:hAnsi="Humanst521 BT" w:cs="Arial"/>
                <w:color w:val="000000"/>
                <w:sz w:val="20"/>
              </w:rPr>
            </w:pPr>
            <w:r w:rsidRPr="000712D6">
              <w:rPr>
                <w:rFonts w:ascii="Humanst521 BT" w:hAnsi="Humanst521 BT" w:cs="Arial"/>
                <w:color w:val="000000"/>
                <w:sz w:val="20"/>
              </w:rPr>
              <w:t>97,53</w:t>
            </w:r>
          </w:p>
        </w:tc>
      </w:tr>
    </w:tbl>
    <w:p w14:paraId="59CA77BA" w14:textId="77777777" w:rsidR="00A561E9" w:rsidRPr="007F0FA7" w:rsidRDefault="00A561E9" w:rsidP="00A561E9">
      <w:pPr>
        <w:rPr>
          <w:rFonts w:ascii="Humanst521 BT" w:hAnsi="Humanst521 BT"/>
          <w:i/>
          <w:iCs/>
        </w:rPr>
      </w:pPr>
      <w:bookmarkStart w:id="45" w:name="_Toc161756627"/>
      <w:bookmarkStart w:id="46" w:name="_Toc532822395"/>
      <w:bookmarkStart w:id="47" w:name="_Toc533147834"/>
      <w:r w:rsidRPr="007F0FA7">
        <w:rPr>
          <w:rFonts w:ascii="Humanst521 BT" w:hAnsi="Humanst521 BT"/>
          <w:i/>
          <w:iCs/>
        </w:rPr>
        <w:t>Fuente: Elaboración propia. Base de datos afiliados: fecha de corte: 3</w:t>
      </w:r>
      <w:r>
        <w:rPr>
          <w:rFonts w:ascii="Humanst521 BT" w:hAnsi="Humanst521 BT"/>
          <w:i/>
          <w:iCs/>
        </w:rPr>
        <w:t>1</w:t>
      </w:r>
      <w:r w:rsidRPr="007F0FA7">
        <w:rPr>
          <w:rFonts w:ascii="Humanst521 BT" w:hAnsi="Humanst521 BT"/>
          <w:i/>
          <w:iCs/>
        </w:rPr>
        <w:t xml:space="preserve"> de </w:t>
      </w:r>
      <w:r>
        <w:rPr>
          <w:rFonts w:ascii="Humanst521 BT" w:hAnsi="Humanst521 BT"/>
          <w:i/>
          <w:iCs/>
        </w:rPr>
        <w:t>diciembre de 2025</w:t>
      </w:r>
    </w:p>
    <w:p w14:paraId="523301FF" w14:textId="77777777" w:rsidR="00A561E9" w:rsidRDefault="00A561E9" w:rsidP="00093B44">
      <w:pPr>
        <w:pStyle w:val="Descripcin"/>
        <w:keepNext/>
        <w:spacing w:after="0" w:line="240" w:lineRule="auto"/>
        <w:jc w:val="both"/>
        <w:rPr>
          <w:rFonts w:ascii="Humanst521 BT" w:eastAsia="Verdana" w:hAnsi="Humanst521 BT" w:cs="Verdana"/>
          <w:b w:val="0"/>
          <w:bCs w:val="0"/>
          <w:color w:val="auto"/>
          <w:sz w:val="22"/>
          <w:szCs w:val="22"/>
          <w:lang w:val="es-ES"/>
        </w:rPr>
      </w:pPr>
    </w:p>
    <w:p w14:paraId="0A2548C0" w14:textId="66A0C660" w:rsidR="00B61586" w:rsidRPr="007F0FA7" w:rsidRDefault="00B61586" w:rsidP="00093B44">
      <w:pPr>
        <w:pStyle w:val="Descripcin"/>
        <w:keepNext/>
        <w:spacing w:after="0" w:line="240" w:lineRule="auto"/>
        <w:jc w:val="both"/>
        <w:rPr>
          <w:rFonts w:ascii="Humanst521 BT" w:eastAsia="Verdana" w:hAnsi="Humanst521 BT" w:cs="Verdana"/>
          <w:b w:val="0"/>
          <w:bCs w:val="0"/>
          <w:color w:val="auto"/>
          <w:sz w:val="22"/>
          <w:szCs w:val="22"/>
          <w:lang w:val="es-ES"/>
        </w:rPr>
      </w:pPr>
      <w:bookmarkStart w:id="48" w:name="_Toc231286256"/>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E6B4A">
        <w:rPr>
          <w:rFonts w:ascii="Humanst521 BT" w:eastAsia="Verdana" w:hAnsi="Humanst521 BT" w:cs="Verdana"/>
          <w:b w:val="0"/>
          <w:bCs w:val="0"/>
          <w:noProof/>
          <w:color w:val="auto"/>
          <w:sz w:val="22"/>
          <w:szCs w:val="22"/>
          <w:lang w:val="es-ES"/>
        </w:rPr>
        <w:t>11</w:t>
      </w:r>
      <w:r w:rsidRPr="007F0FA7">
        <w:rPr>
          <w:rFonts w:ascii="Humanst521 BT" w:eastAsia="Verdana" w:hAnsi="Humanst521 BT" w:cs="Verdana"/>
          <w:b w:val="0"/>
          <w:bCs w:val="0"/>
          <w:color w:val="auto"/>
          <w:sz w:val="22"/>
          <w:szCs w:val="22"/>
          <w:lang w:val="es-ES"/>
        </w:rPr>
        <w:fldChar w:fldCharType="end"/>
      </w:r>
      <w:r w:rsidRPr="007F0FA7">
        <w:rPr>
          <w:rFonts w:ascii="Humanst521 BT" w:eastAsia="Verdana" w:hAnsi="Humanst521 BT" w:cs="Verdana"/>
          <w:b w:val="0"/>
          <w:bCs w:val="0"/>
          <w:color w:val="auto"/>
          <w:sz w:val="22"/>
          <w:szCs w:val="22"/>
          <w:lang w:val="es-ES"/>
        </w:rPr>
        <w:t>. Interpretación Indicadores de estructura demográfica en UISALUD</w:t>
      </w:r>
      <w:bookmarkEnd w:id="45"/>
      <w:bookmarkEnd w:id="48"/>
      <w:r w:rsidRPr="007F0FA7">
        <w:rPr>
          <w:rFonts w:ascii="Humanst521 BT" w:eastAsia="Verdana" w:hAnsi="Humanst521 BT" w:cs="Verdana"/>
          <w:b w:val="0"/>
          <w:bCs w:val="0"/>
          <w:color w:val="auto"/>
          <w:sz w:val="22"/>
          <w:szCs w:val="22"/>
          <w:lang w:val="es-ES"/>
        </w:rPr>
        <w:t xml:space="preserve"> </w:t>
      </w:r>
      <w:bookmarkEnd w:id="46"/>
      <w:bookmarkEnd w:id="47"/>
    </w:p>
    <w:p w14:paraId="59AE2DF0" w14:textId="77777777" w:rsidR="00B61586" w:rsidRPr="007F0FA7" w:rsidRDefault="00B61586" w:rsidP="00093B44">
      <w:pPr>
        <w:rPr>
          <w:rFonts w:ascii="Humanst521 BT" w:hAnsi="Humanst521 BT"/>
          <w:lang w:val="es-CO"/>
        </w:rPr>
      </w:pPr>
    </w:p>
    <w:tbl>
      <w:tblPr>
        <w:tblW w:w="8811" w:type="dxa"/>
        <w:tblCellMar>
          <w:left w:w="70" w:type="dxa"/>
          <w:right w:w="70" w:type="dxa"/>
        </w:tblCellMar>
        <w:tblLook w:val="04A0" w:firstRow="1" w:lastRow="0" w:firstColumn="1" w:lastColumn="0" w:noHBand="0" w:noVBand="1"/>
      </w:tblPr>
      <w:tblGrid>
        <w:gridCol w:w="2117"/>
        <w:gridCol w:w="6694"/>
      </w:tblGrid>
      <w:tr w:rsidR="0003173A" w:rsidRPr="000712D6" w14:paraId="48E84D30" w14:textId="77777777" w:rsidTr="00561C56">
        <w:trPr>
          <w:trHeight w:val="391"/>
        </w:trPr>
        <w:tc>
          <w:tcPr>
            <w:tcW w:w="2117" w:type="dxa"/>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5D86E9CB" w14:textId="77777777" w:rsidR="0003173A" w:rsidRPr="000712D6" w:rsidRDefault="0003173A"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Índices demográficos</w:t>
            </w:r>
          </w:p>
        </w:tc>
        <w:tc>
          <w:tcPr>
            <w:tcW w:w="6694" w:type="dxa"/>
            <w:tcBorders>
              <w:top w:val="single" w:sz="8" w:space="0" w:color="67B93E"/>
              <w:left w:val="nil"/>
              <w:bottom w:val="single" w:sz="8" w:space="0" w:color="67B93E"/>
              <w:right w:val="single" w:sz="8" w:space="0" w:color="67B93E"/>
            </w:tcBorders>
            <w:shd w:val="clear" w:color="000000" w:fill="C5E0B3"/>
            <w:vAlign w:val="center"/>
            <w:hideMark/>
          </w:tcPr>
          <w:p w14:paraId="1BC3FDB2" w14:textId="77777777" w:rsidR="0003173A" w:rsidRPr="000712D6" w:rsidRDefault="0003173A" w:rsidP="00561C56">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Interpretación</w:t>
            </w:r>
          </w:p>
        </w:tc>
      </w:tr>
      <w:tr w:rsidR="0003173A" w:rsidRPr="000712D6" w14:paraId="669FB440"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000000" w:fill="F2F2F2"/>
            <w:vAlign w:val="center"/>
            <w:hideMark/>
          </w:tcPr>
          <w:p w14:paraId="12E5F4C5"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Relación hombres/mujer</w:t>
            </w:r>
          </w:p>
        </w:tc>
        <w:tc>
          <w:tcPr>
            <w:tcW w:w="6694" w:type="dxa"/>
            <w:tcBorders>
              <w:top w:val="nil"/>
              <w:left w:val="nil"/>
              <w:bottom w:val="single" w:sz="8" w:space="0" w:color="67B93E"/>
              <w:right w:val="single" w:sz="8" w:space="0" w:color="67B93E"/>
            </w:tcBorders>
            <w:shd w:val="clear" w:color="000000" w:fill="F2F2F2"/>
            <w:vAlign w:val="center"/>
            <w:hideMark/>
          </w:tcPr>
          <w:p w14:paraId="1AEBE43D"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por cada 100 mujeres hay 96 hombres.</w:t>
            </w:r>
          </w:p>
        </w:tc>
      </w:tr>
      <w:tr w:rsidR="0003173A" w:rsidRPr="000712D6" w14:paraId="2C03F51A"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auto" w:fill="auto"/>
            <w:vAlign w:val="center"/>
            <w:hideMark/>
          </w:tcPr>
          <w:p w14:paraId="17D2EF04"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Razón niños mujer</w:t>
            </w:r>
          </w:p>
        </w:tc>
        <w:tc>
          <w:tcPr>
            <w:tcW w:w="6694" w:type="dxa"/>
            <w:tcBorders>
              <w:top w:val="nil"/>
              <w:left w:val="nil"/>
              <w:bottom w:val="single" w:sz="8" w:space="0" w:color="67B93E"/>
              <w:right w:val="single" w:sz="8" w:space="0" w:color="67B93E"/>
            </w:tcBorders>
            <w:shd w:val="clear" w:color="auto" w:fill="auto"/>
            <w:vAlign w:val="center"/>
            <w:hideMark/>
          </w:tcPr>
          <w:p w14:paraId="12283849"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por cada 100 mujeres en edad fértil (15-49años) hay 15 niños y niñas entre 0 y 4 años.</w:t>
            </w:r>
          </w:p>
        </w:tc>
      </w:tr>
      <w:tr w:rsidR="0003173A" w:rsidRPr="000712D6" w14:paraId="46E08CED"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000000" w:fill="F2F2F2"/>
            <w:vAlign w:val="center"/>
            <w:hideMark/>
          </w:tcPr>
          <w:p w14:paraId="2EDEC335"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Índice de infancia</w:t>
            </w:r>
          </w:p>
        </w:tc>
        <w:tc>
          <w:tcPr>
            <w:tcW w:w="6694" w:type="dxa"/>
            <w:tcBorders>
              <w:top w:val="nil"/>
              <w:left w:val="nil"/>
              <w:bottom w:val="single" w:sz="8" w:space="0" w:color="67B93E"/>
              <w:right w:val="single" w:sz="8" w:space="0" w:color="67B93E"/>
            </w:tcBorders>
            <w:shd w:val="clear" w:color="000000" w:fill="F2F2F2"/>
            <w:vAlign w:val="center"/>
            <w:hideMark/>
          </w:tcPr>
          <w:p w14:paraId="32F39D26"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por cada 100 personas hay 13 menores de 15 años.</w:t>
            </w:r>
          </w:p>
        </w:tc>
      </w:tr>
      <w:tr w:rsidR="0003173A" w:rsidRPr="000712D6" w14:paraId="18FBC5F1"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auto" w:fill="auto"/>
            <w:vAlign w:val="center"/>
            <w:hideMark/>
          </w:tcPr>
          <w:p w14:paraId="2F8B3CEF"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Índice de juventud</w:t>
            </w:r>
          </w:p>
        </w:tc>
        <w:tc>
          <w:tcPr>
            <w:tcW w:w="6694" w:type="dxa"/>
            <w:tcBorders>
              <w:top w:val="nil"/>
              <w:left w:val="nil"/>
              <w:bottom w:val="single" w:sz="8" w:space="0" w:color="67B93E"/>
              <w:right w:val="single" w:sz="8" w:space="0" w:color="67B93E"/>
            </w:tcBorders>
            <w:shd w:val="clear" w:color="auto" w:fill="auto"/>
            <w:vAlign w:val="center"/>
            <w:hideMark/>
          </w:tcPr>
          <w:p w14:paraId="0BAD78B1"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por cada 100 personas hay 6 personas entre 15 a 29 años.</w:t>
            </w:r>
          </w:p>
        </w:tc>
      </w:tr>
      <w:tr w:rsidR="0003173A" w:rsidRPr="000712D6" w14:paraId="40E74C73"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000000" w:fill="F2F2F2"/>
            <w:vAlign w:val="center"/>
            <w:hideMark/>
          </w:tcPr>
          <w:p w14:paraId="0DE56567"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Índice de vejez</w:t>
            </w:r>
          </w:p>
        </w:tc>
        <w:tc>
          <w:tcPr>
            <w:tcW w:w="6694" w:type="dxa"/>
            <w:tcBorders>
              <w:top w:val="nil"/>
              <w:left w:val="nil"/>
              <w:bottom w:val="single" w:sz="8" w:space="0" w:color="67B93E"/>
              <w:right w:val="single" w:sz="8" w:space="0" w:color="67B93E"/>
            </w:tcBorders>
            <w:shd w:val="clear" w:color="000000" w:fill="F2F2F2"/>
            <w:vAlign w:val="center"/>
            <w:hideMark/>
          </w:tcPr>
          <w:p w14:paraId="346FD265"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por cada 100 personas hay 42 personas mayores de 65 años.</w:t>
            </w:r>
          </w:p>
        </w:tc>
      </w:tr>
      <w:tr w:rsidR="0003173A" w:rsidRPr="000712D6" w14:paraId="50709C46"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auto" w:fill="auto"/>
            <w:vAlign w:val="center"/>
            <w:hideMark/>
          </w:tcPr>
          <w:p w14:paraId="046CB6DE"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Índice de envejecimiento</w:t>
            </w:r>
          </w:p>
        </w:tc>
        <w:tc>
          <w:tcPr>
            <w:tcW w:w="6694" w:type="dxa"/>
            <w:tcBorders>
              <w:top w:val="nil"/>
              <w:left w:val="nil"/>
              <w:bottom w:val="single" w:sz="8" w:space="0" w:color="67B93E"/>
              <w:right w:val="single" w:sz="8" w:space="0" w:color="67B93E"/>
            </w:tcBorders>
            <w:shd w:val="clear" w:color="auto" w:fill="auto"/>
            <w:vAlign w:val="center"/>
            <w:hideMark/>
          </w:tcPr>
          <w:p w14:paraId="59B00304"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por cada 100 personas menores de 15 años, hay 319 personas mayores de 65 años</w:t>
            </w:r>
          </w:p>
        </w:tc>
      </w:tr>
      <w:tr w:rsidR="0003173A" w:rsidRPr="000712D6" w14:paraId="6BC6B7BA"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000000" w:fill="F2F2F2"/>
            <w:vAlign w:val="center"/>
            <w:hideMark/>
          </w:tcPr>
          <w:p w14:paraId="0B2811E2"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Índice demográfico de dependencia</w:t>
            </w:r>
          </w:p>
        </w:tc>
        <w:tc>
          <w:tcPr>
            <w:tcW w:w="6694" w:type="dxa"/>
            <w:tcBorders>
              <w:top w:val="nil"/>
              <w:left w:val="nil"/>
              <w:bottom w:val="single" w:sz="8" w:space="0" w:color="67B93E"/>
              <w:right w:val="single" w:sz="8" w:space="0" w:color="67B93E"/>
            </w:tcBorders>
            <w:shd w:val="clear" w:color="000000" w:fill="F2F2F2"/>
            <w:vAlign w:val="center"/>
            <w:hideMark/>
          </w:tcPr>
          <w:p w14:paraId="1B42C686"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por cada 100 personas entre los 15 a 64 años, hay 121 personas menores de 15 años y mayores de 65 años (dependientes).</w:t>
            </w:r>
          </w:p>
        </w:tc>
      </w:tr>
      <w:tr w:rsidR="0003173A" w:rsidRPr="000712D6" w14:paraId="779B7E82"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auto" w:fill="auto"/>
            <w:vAlign w:val="center"/>
            <w:hideMark/>
          </w:tcPr>
          <w:p w14:paraId="41834B7D"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lastRenderedPageBreak/>
              <w:t>Índice de dependencia infantil</w:t>
            </w:r>
          </w:p>
        </w:tc>
        <w:tc>
          <w:tcPr>
            <w:tcW w:w="6694" w:type="dxa"/>
            <w:tcBorders>
              <w:top w:val="nil"/>
              <w:left w:val="nil"/>
              <w:bottom w:val="single" w:sz="8" w:space="0" w:color="67B93E"/>
              <w:right w:val="single" w:sz="8" w:space="0" w:color="67B93E"/>
            </w:tcBorders>
            <w:shd w:val="clear" w:color="auto" w:fill="auto"/>
            <w:vAlign w:val="center"/>
            <w:hideMark/>
          </w:tcPr>
          <w:p w14:paraId="64F3CA0F"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por cada 100 personas entre los 15 a 64 años, dependen 29 menores de 15 años.</w:t>
            </w:r>
          </w:p>
        </w:tc>
      </w:tr>
      <w:tr w:rsidR="0003173A" w:rsidRPr="000712D6" w14:paraId="485ACCA3"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000000" w:fill="F2F2F2"/>
            <w:vAlign w:val="center"/>
            <w:hideMark/>
          </w:tcPr>
          <w:p w14:paraId="235131FF"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Índice de dependencia mayores</w:t>
            </w:r>
          </w:p>
        </w:tc>
        <w:tc>
          <w:tcPr>
            <w:tcW w:w="6694" w:type="dxa"/>
            <w:tcBorders>
              <w:top w:val="nil"/>
              <w:left w:val="nil"/>
              <w:bottom w:val="single" w:sz="8" w:space="0" w:color="67B93E"/>
              <w:right w:val="single" w:sz="8" w:space="0" w:color="67B93E"/>
            </w:tcBorders>
            <w:shd w:val="clear" w:color="000000" w:fill="F2F2F2"/>
            <w:vAlign w:val="center"/>
            <w:hideMark/>
          </w:tcPr>
          <w:p w14:paraId="7CF7C558"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En UISALUD de cada 100 personas entre los 15 a 64 años dependen 92 personas mayores de 65 años.</w:t>
            </w:r>
          </w:p>
        </w:tc>
      </w:tr>
      <w:tr w:rsidR="0003173A" w:rsidRPr="000712D6" w14:paraId="66BD507B" w14:textId="77777777" w:rsidTr="00561C56">
        <w:trPr>
          <w:trHeight w:val="391"/>
        </w:trPr>
        <w:tc>
          <w:tcPr>
            <w:tcW w:w="2117" w:type="dxa"/>
            <w:tcBorders>
              <w:top w:val="nil"/>
              <w:left w:val="single" w:sz="8" w:space="0" w:color="67B93E"/>
              <w:bottom w:val="single" w:sz="8" w:space="0" w:color="67B93E"/>
              <w:right w:val="single" w:sz="8" w:space="0" w:color="67B93E"/>
            </w:tcBorders>
            <w:shd w:val="clear" w:color="000000" w:fill="F2F2F2"/>
            <w:vAlign w:val="center"/>
            <w:hideMark/>
          </w:tcPr>
          <w:p w14:paraId="5E6952DE"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Índice de Friz</w:t>
            </w:r>
          </w:p>
        </w:tc>
        <w:tc>
          <w:tcPr>
            <w:tcW w:w="6694" w:type="dxa"/>
            <w:tcBorders>
              <w:top w:val="nil"/>
              <w:left w:val="nil"/>
              <w:bottom w:val="single" w:sz="8" w:space="0" w:color="67B93E"/>
              <w:right w:val="single" w:sz="8" w:space="0" w:color="67B93E"/>
            </w:tcBorders>
            <w:shd w:val="clear" w:color="000000" w:fill="F2F2F2"/>
            <w:vAlign w:val="center"/>
            <w:hideMark/>
          </w:tcPr>
          <w:p w14:paraId="099CFDB2" w14:textId="77777777" w:rsidR="0003173A" w:rsidRPr="000712D6" w:rsidRDefault="0003173A" w:rsidP="00561C56">
            <w:pPr>
              <w:autoSpaceDE/>
              <w:autoSpaceDN/>
              <w:rPr>
                <w:rFonts w:ascii="Humanst521 BT" w:hAnsi="Humanst521 BT" w:cs="Arial"/>
                <w:color w:val="000000"/>
                <w:sz w:val="20"/>
              </w:rPr>
            </w:pPr>
            <w:r w:rsidRPr="000712D6">
              <w:rPr>
                <w:rFonts w:ascii="Humanst521 BT" w:hAnsi="Humanst521 BT" w:cs="Arial"/>
                <w:color w:val="000000"/>
                <w:sz w:val="20"/>
              </w:rPr>
              <w:t>Representa el porcentaje de población de menos de 20 años (entre 0 y 19 años), con respecto al grupo de población de edades comprendidas entre los 30 y los 49 años. Cuando este índice supera el valor de 160 se considera que la población estudiada es una población joven, mientras que si resulta inferior a 60 se considera una población envejecida.</w:t>
            </w:r>
          </w:p>
        </w:tc>
      </w:tr>
    </w:tbl>
    <w:p w14:paraId="7A24DD9A" w14:textId="77777777" w:rsidR="00E354BB" w:rsidRPr="007F0FA7" w:rsidRDefault="00E354BB" w:rsidP="00093B44">
      <w:pPr>
        <w:pStyle w:val="Textocomentario"/>
        <w:jc w:val="both"/>
        <w:rPr>
          <w:rFonts w:ascii="Humanst521 BT" w:hAnsi="Humanst521 BT" w:cstheme="minorBidi"/>
          <w:sz w:val="22"/>
          <w:szCs w:val="22"/>
          <w:lang w:eastAsia="en-US"/>
        </w:rPr>
      </w:pPr>
    </w:p>
    <w:p w14:paraId="32AA2299" w14:textId="77777777" w:rsidR="00BD0454" w:rsidRPr="007F0FA7" w:rsidRDefault="00BD0454" w:rsidP="00093B44">
      <w:pPr>
        <w:pStyle w:val="Prrafodelista"/>
        <w:tabs>
          <w:tab w:val="left" w:pos="1410"/>
        </w:tabs>
        <w:ind w:left="2466" w:right="378" w:firstLine="0"/>
        <w:rPr>
          <w:rFonts w:ascii="Humanst521 BT" w:hAnsi="Humanst521 BT"/>
        </w:rPr>
      </w:pPr>
    </w:p>
    <w:p w14:paraId="4F323D75" w14:textId="77777777" w:rsidR="004B07C0" w:rsidRPr="007F0FA7" w:rsidRDefault="001B254F" w:rsidP="00093B44">
      <w:pPr>
        <w:jc w:val="both"/>
        <w:rPr>
          <w:rFonts w:ascii="Humanst521 BT" w:hAnsi="Humanst521 BT"/>
        </w:rPr>
      </w:pPr>
      <w:r w:rsidRPr="007F0FA7">
        <w:rPr>
          <w:rFonts w:ascii="Humanst521 BT" w:hAnsi="Humanst521 BT"/>
        </w:rPr>
        <w:t xml:space="preserve">Al comparar el índice de envejecimiento de UISALUD nacional y de los municipios donde se presentaron afiliados estos fueron superiores con lo reportado en los respectivos entes territoriales y con una diferencia significativa.  </w:t>
      </w:r>
    </w:p>
    <w:p w14:paraId="43523C4D" w14:textId="77777777" w:rsidR="004B07C0" w:rsidRPr="007F0FA7" w:rsidRDefault="004B07C0" w:rsidP="00093B44">
      <w:pPr>
        <w:jc w:val="both"/>
        <w:rPr>
          <w:rFonts w:ascii="Humanst521 BT" w:hAnsi="Humanst521 BT"/>
        </w:rPr>
      </w:pPr>
    </w:p>
    <w:p w14:paraId="17AA2F0E" w14:textId="1A6DA6DE" w:rsidR="001B254F" w:rsidRPr="007F0FA7" w:rsidRDefault="001B254F" w:rsidP="00093B44">
      <w:pPr>
        <w:jc w:val="both"/>
        <w:rPr>
          <w:rFonts w:ascii="Humanst521 BT" w:hAnsi="Humanst521 BT"/>
        </w:rPr>
      </w:pPr>
      <w:r w:rsidRPr="007F0FA7">
        <w:rPr>
          <w:rFonts w:ascii="Humanst521 BT" w:hAnsi="Humanst521 BT"/>
        </w:rPr>
        <w:t xml:space="preserve">En la </w:t>
      </w:r>
      <w:r w:rsidR="004B07C0" w:rsidRPr="007F0FA7">
        <w:rPr>
          <w:rFonts w:ascii="Humanst521 BT" w:hAnsi="Humanst521 BT"/>
        </w:rPr>
        <w:t xml:space="preserve">siguiente </w:t>
      </w:r>
      <w:r w:rsidRPr="007F0FA7">
        <w:rPr>
          <w:rFonts w:ascii="Humanst521 BT" w:hAnsi="Humanst521 BT"/>
        </w:rPr>
        <w:t>tabla se presenta el valor del índice de envejecimiento   de UISALUD y sus municipios donde residen los afiliados y el valor del ente territorial.  El color rojo reportado corresponde a la semaforización arrojada por la plantilla de Excel del Ministerio de Salud que   significa que el valor presentado por UISALUD está por encima del valor territorial.</w:t>
      </w:r>
    </w:p>
    <w:p w14:paraId="201302BB" w14:textId="77777777" w:rsidR="00B72450" w:rsidRPr="007F0FA7" w:rsidRDefault="00B72450" w:rsidP="00093B44">
      <w:pPr>
        <w:jc w:val="both"/>
        <w:rPr>
          <w:rFonts w:ascii="Humanst521 BT" w:hAnsi="Humanst521 BT"/>
        </w:rPr>
      </w:pPr>
    </w:p>
    <w:p w14:paraId="251DF1DF" w14:textId="3B08F3E3" w:rsidR="00B72450" w:rsidRPr="007F0FA7" w:rsidRDefault="00B72450" w:rsidP="00093B44">
      <w:pPr>
        <w:pStyle w:val="Descripcin"/>
        <w:keepNext/>
        <w:spacing w:line="240" w:lineRule="auto"/>
        <w:rPr>
          <w:rFonts w:ascii="Humanst521 BT" w:eastAsia="Verdana" w:hAnsi="Humanst521 BT" w:cs="Verdana"/>
          <w:b w:val="0"/>
          <w:bCs w:val="0"/>
          <w:color w:val="auto"/>
          <w:sz w:val="22"/>
          <w:szCs w:val="22"/>
          <w:lang w:val="es-ES"/>
        </w:rPr>
      </w:pPr>
      <w:bookmarkStart w:id="49" w:name="_Toc160090329"/>
      <w:bookmarkStart w:id="50" w:name="_Toc231286257"/>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E6B4A">
        <w:rPr>
          <w:rFonts w:ascii="Humanst521 BT" w:eastAsia="Verdana" w:hAnsi="Humanst521 BT" w:cs="Verdana"/>
          <w:b w:val="0"/>
          <w:bCs w:val="0"/>
          <w:noProof/>
          <w:color w:val="auto"/>
          <w:sz w:val="22"/>
          <w:szCs w:val="22"/>
          <w:lang w:val="es-ES"/>
        </w:rPr>
        <w:t>12</w:t>
      </w:r>
      <w:r w:rsidRPr="007F0FA7">
        <w:rPr>
          <w:rFonts w:ascii="Humanst521 BT" w:eastAsia="Verdana" w:hAnsi="Humanst521 BT" w:cs="Verdana"/>
          <w:b w:val="0"/>
          <w:bCs w:val="0"/>
          <w:color w:val="auto"/>
          <w:sz w:val="22"/>
          <w:szCs w:val="22"/>
          <w:lang w:val="es-ES"/>
        </w:rPr>
        <w:fldChar w:fldCharType="end"/>
      </w:r>
      <w:r w:rsidR="002E6B4A">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Índice de envejecimiento de la población UISALUD vs ente territorial 202</w:t>
      </w:r>
      <w:r w:rsidR="0003173A">
        <w:rPr>
          <w:rFonts w:ascii="Humanst521 BT" w:eastAsia="Verdana" w:hAnsi="Humanst521 BT" w:cs="Verdana"/>
          <w:b w:val="0"/>
          <w:bCs w:val="0"/>
          <w:color w:val="auto"/>
          <w:sz w:val="22"/>
          <w:szCs w:val="22"/>
          <w:lang w:val="es-ES"/>
        </w:rPr>
        <w:t>5</w:t>
      </w:r>
      <w:bookmarkEnd w:id="49"/>
      <w:bookmarkEnd w:id="50"/>
    </w:p>
    <w:tbl>
      <w:tblPr>
        <w:tblW w:w="5012" w:type="dxa"/>
        <w:jc w:val="center"/>
        <w:tblCellMar>
          <w:left w:w="70" w:type="dxa"/>
          <w:right w:w="70" w:type="dxa"/>
        </w:tblCellMar>
        <w:tblLook w:val="04A0" w:firstRow="1" w:lastRow="0" w:firstColumn="1" w:lastColumn="0" w:noHBand="0" w:noVBand="1"/>
      </w:tblPr>
      <w:tblGrid>
        <w:gridCol w:w="1922"/>
        <w:gridCol w:w="1545"/>
        <w:gridCol w:w="1545"/>
      </w:tblGrid>
      <w:tr w:rsidR="00307148" w:rsidRPr="00307148" w14:paraId="42D62937" w14:textId="77777777" w:rsidTr="00307148">
        <w:trPr>
          <w:trHeight w:val="795"/>
          <w:jc w:val="center"/>
        </w:trPr>
        <w:tc>
          <w:tcPr>
            <w:tcW w:w="1922" w:type="dxa"/>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73DD6F32" w14:textId="77777777" w:rsidR="00307148" w:rsidRPr="00307148" w:rsidRDefault="00307148" w:rsidP="00307148">
            <w:pPr>
              <w:widowControl/>
              <w:autoSpaceDE/>
              <w:autoSpaceDN/>
              <w:jc w:val="center"/>
              <w:rPr>
                <w:rFonts w:ascii="Humanst521 BT" w:eastAsia="Times New Roman" w:hAnsi="Humanst521 BT" w:cs="Calibri"/>
                <w:b/>
                <w:bCs/>
                <w:color w:val="000000"/>
                <w:sz w:val="20"/>
                <w:szCs w:val="20"/>
                <w:lang w:val="es-CO" w:eastAsia="es-CO"/>
              </w:rPr>
            </w:pPr>
            <w:r w:rsidRPr="00307148">
              <w:rPr>
                <w:rFonts w:ascii="Humanst521 BT" w:eastAsia="Times New Roman" w:hAnsi="Humanst521 BT" w:cs="Arial"/>
                <w:b/>
                <w:bCs/>
                <w:color w:val="000000"/>
                <w:sz w:val="20"/>
                <w:szCs w:val="20"/>
                <w:lang w:eastAsia="es-CO"/>
              </w:rPr>
              <w:t>Entidad territorial donde residen los afiliados UISALUD</w:t>
            </w:r>
          </w:p>
        </w:tc>
        <w:tc>
          <w:tcPr>
            <w:tcW w:w="1545" w:type="dxa"/>
            <w:tcBorders>
              <w:top w:val="single" w:sz="8" w:space="0" w:color="67B93E"/>
              <w:left w:val="nil"/>
              <w:bottom w:val="single" w:sz="8" w:space="0" w:color="67B93E"/>
              <w:right w:val="single" w:sz="8" w:space="0" w:color="67B93E"/>
            </w:tcBorders>
            <w:shd w:val="clear" w:color="000000" w:fill="C5E0B3"/>
            <w:vAlign w:val="center"/>
            <w:hideMark/>
          </w:tcPr>
          <w:p w14:paraId="10FFCD66" w14:textId="77777777" w:rsidR="00307148" w:rsidRPr="00307148" w:rsidRDefault="00307148" w:rsidP="00307148">
            <w:pPr>
              <w:widowControl/>
              <w:autoSpaceDE/>
              <w:autoSpaceDN/>
              <w:jc w:val="center"/>
              <w:rPr>
                <w:rFonts w:ascii="Humanst521 BT" w:eastAsia="Times New Roman" w:hAnsi="Humanst521 BT" w:cs="Calibri"/>
                <w:b/>
                <w:bCs/>
                <w:color w:val="000000"/>
                <w:sz w:val="20"/>
                <w:szCs w:val="20"/>
                <w:lang w:val="es-CO" w:eastAsia="es-CO"/>
              </w:rPr>
            </w:pPr>
            <w:r w:rsidRPr="00307148">
              <w:rPr>
                <w:rFonts w:ascii="Humanst521 BT" w:eastAsia="Times New Roman" w:hAnsi="Humanst521 BT" w:cs="Arial"/>
                <w:b/>
                <w:bCs/>
                <w:color w:val="000000"/>
                <w:sz w:val="20"/>
                <w:szCs w:val="20"/>
                <w:lang w:eastAsia="es-CO"/>
              </w:rPr>
              <w:t>Índice de envejecimiento UISALUD</w:t>
            </w:r>
          </w:p>
        </w:tc>
        <w:tc>
          <w:tcPr>
            <w:tcW w:w="1545" w:type="dxa"/>
            <w:tcBorders>
              <w:top w:val="single" w:sz="8" w:space="0" w:color="67B93E"/>
              <w:left w:val="nil"/>
              <w:bottom w:val="single" w:sz="8" w:space="0" w:color="67B93E"/>
              <w:right w:val="single" w:sz="8" w:space="0" w:color="67B93E"/>
            </w:tcBorders>
            <w:shd w:val="clear" w:color="000000" w:fill="C5E0B3"/>
            <w:vAlign w:val="center"/>
            <w:hideMark/>
          </w:tcPr>
          <w:p w14:paraId="40777BD3" w14:textId="77777777" w:rsidR="00307148" w:rsidRPr="00307148" w:rsidRDefault="00307148" w:rsidP="00307148">
            <w:pPr>
              <w:widowControl/>
              <w:autoSpaceDE/>
              <w:autoSpaceDN/>
              <w:jc w:val="center"/>
              <w:rPr>
                <w:rFonts w:ascii="Humanst521 BT" w:eastAsia="Times New Roman" w:hAnsi="Humanst521 BT" w:cs="Calibri"/>
                <w:b/>
                <w:bCs/>
                <w:color w:val="000000"/>
                <w:sz w:val="20"/>
                <w:szCs w:val="20"/>
                <w:lang w:val="es-CO" w:eastAsia="es-CO"/>
              </w:rPr>
            </w:pPr>
            <w:r w:rsidRPr="00307148">
              <w:rPr>
                <w:rFonts w:ascii="Humanst521 BT" w:eastAsia="Times New Roman" w:hAnsi="Humanst521 BT" w:cs="Arial"/>
                <w:b/>
                <w:bCs/>
                <w:color w:val="000000"/>
                <w:sz w:val="20"/>
                <w:szCs w:val="20"/>
                <w:lang w:eastAsia="es-CO"/>
              </w:rPr>
              <w:t>Índice de envejecimiento en la entidad territorial</w:t>
            </w:r>
          </w:p>
        </w:tc>
      </w:tr>
      <w:tr w:rsidR="00307148" w:rsidRPr="00307148" w14:paraId="7241980D" w14:textId="77777777" w:rsidTr="00307148">
        <w:trPr>
          <w:trHeight w:val="193"/>
          <w:jc w:val="center"/>
        </w:trPr>
        <w:tc>
          <w:tcPr>
            <w:tcW w:w="1922" w:type="dxa"/>
            <w:tcBorders>
              <w:top w:val="nil"/>
              <w:left w:val="single" w:sz="8" w:space="0" w:color="67B93E"/>
              <w:bottom w:val="single" w:sz="8" w:space="0" w:color="67B93E"/>
              <w:right w:val="single" w:sz="8" w:space="0" w:color="67B93E"/>
            </w:tcBorders>
            <w:shd w:val="clear" w:color="000000" w:fill="F2F2F2"/>
            <w:vAlign w:val="center"/>
            <w:hideMark/>
          </w:tcPr>
          <w:p w14:paraId="2CF7FB79" w14:textId="77777777" w:rsidR="00307148" w:rsidRPr="00307148" w:rsidRDefault="00307148" w:rsidP="00307148">
            <w:pPr>
              <w:widowControl/>
              <w:autoSpaceDE/>
              <w:autoSpaceDN/>
              <w:jc w:val="both"/>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COLOMBIA</w:t>
            </w:r>
          </w:p>
        </w:tc>
        <w:tc>
          <w:tcPr>
            <w:tcW w:w="1545" w:type="dxa"/>
            <w:tcBorders>
              <w:top w:val="nil"/>
              <w:left w:val="nil"/>
              <w:bottom w:val="single" w:sz="8" w:space="0" w:color="67B93E"/>
              <w:right w:val="single" w:sz="8" w:space="0" w:color="67B93E"/>
            </w:tcBorders>
            <w:shd w:val="clear" w:color="000000" w:fill="F2F2F2"/>
            <w:vAlign w:val="center"/>
            <w:hideMark/>
          </w:tcPr>
          <w:p w14:paraId="4077184A"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318,9</w:t>
            </w:r>
          </w:p>
        </w:tc>
        <w:tc>
          <w:tcPr>
            <w:tcW w:w="1545" w:type="dxa"/>
            <w:tcBorders>
              <w:top w:val="nil"/>
              <w:left w:val="nil"/>
              <w:bottom w:val="single" w:sz="8" w:space="0" w:color="67B93E"/>
              <w:right w:val="single" w:sz="8" w:space="0" w:color="67B93E"/>
            </w:tcBorders>
            <w:shd w:val="clear" w:color="000000" w:fill="F2F2F2"/>
            <w:vAlign w:val="center"/>
            <w:hideMark/>
          </w:tcPr>
          <w:p w14:paraId="33EBA5BA"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47,13</w:t>
            </w:r>
          </w:p>
        </w:tc>
      </w:tr>
      <w:tr w:rsidR="00307148" w:rsidRPr="00307148" w14:paraId="4378F9E8" w14:textId="77777777" w:rsidTr="00307148">
        <w:trPr>
          <w:trHeight w:val="307"/>
          <w:jc w:val="center"/>
        </w:trPr>
        <w:tc>
          <w:tcPr>
            <w:tcW w:w="1922" w:type="dxa"/>
            <w:tcBorders>
              <w:top w:val="nil"/>
              <w:left w:val="single" w:sz="8" w:space="0" w:color="67B93E"/>
              <w:bottom w:val="single" w:sz="8" w:space="0" w:color="67B93E"/>
              <w:right w:val="single" w:sz="8" w:space="0" w:color="67B93E"/>
            </w:tcBorders>
            <w:shd w:val="clear" w:color="000000" w:fill="FFFFFF"/>
            <w:vAlign w:val="center"/>
            <w:hideMark/>
          </w:tcPr>
          <w:p w14:paraId="59730F80" w14:textId="77777777" w:rsidR="00307148" w:rsidRPr="00307148" w:rsidRDefault="00307148" w:rsidP="00307148">
            <w:pPr>
              <w:widowControl/>
              <w:autoSpaceDE/>
              <w:autoSpaceDN/>
              <w:jc w:val="both"/>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SANTANDER</w:t>
            </w:r>
          </w:p>
        </w:tc>
        <w:tc>
          <w:tcPr>
            <w:tcW w:w="1545" w:type="dxa"/>
            <w:tcBorders>
              <w:top w:val="nil"/>
              <w:left w:val="nil"/>
              <w:bottom w:val="single" w:sz="8" w:space="0" w:color="67B93E"/>
              <w:right w:val="single" w:sz="8" w:space="0" w:color="67B93E"/>
            </w:tcBorders>
            <w:shd w:val="clear" w:color="000000" w:fill="FFFFFF"/>
            <w:vAlign w:val="center"/>
            <w:hideMark/>
          </w:tcPr>
          <w:p w14:paraId="2E26872E"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415,71</w:t>
            </w:r>
          </w:p>
        </w:tc>
        <w:tc>
          <w:tcPr>
            <w:tcW w:w="1545" w:type="dxa"/>
            <w:tcBorders>
              <w:top w:val="nil"/>
              <w:left w:val="nil"/>
              <w:bottom w:val="single" w:sz="8" w:space="0" w:color="67B93E"/>
              <w:right w:val="single" w:sz="8" w:space="0" w:color="67B93E"/>
            </w:tcBorders>
            <w:shd w:val="clear" w:color="000000" w:fill="FFFFFF"/>
            <w:vAlign w:val="center"/>
            <w:hideMark/>
          </w:tcPr>
          <w:p w14:paraId="171CB5D9"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55,56</w:t>
            </w:r>
          </w:p>
        </w:tc>
      </w:tr>
      <w:tr w:rsidR="00307148" w:rsidRPr="00307148" w14:paraId="50CD5C25" w14:textId="77777777" w:rsidTr="00307148">
        <w:trPr>
          <w:trHeight w:val="307"/>
          <w:jc w:val="center"/>
        </w:trPr>
        <w:tc>
          <w:tcPr>
            <w:tcW w:w="1922" w:type="dxa"/>
            <w:tcBorders>
              <w:top w:val="nil"/>
              <w:left w:val="single" w:sz="8" w:space="0" w:color="67B93E"/>
              <w:bottom w:val="single" w:sz="8" w:space="0" w:color="67B93E"/>
              <w:right w:val="single" w:sz="8" w:space="0" w:color="67B93E"/>
            </w:tcBorders>
            <w:shd w:val="clear" w:color="000000" w:fill="F2F2F2"/>
            <w:vAlign w:val="center"/>
            <w:hideMark/>
          </w:tcPr>
          <w:p w14:paraId="13181C57" w14:textId="77777777" w:rsidR="00307148" w:rsidRPr="00307148" w:rsidRDefault="00307148" w:rsidP="00307148">
            <w:pPr>
              <w:widowControl/>
              <w:autoSpaceDE/>
              <w:autoSpaceDN/>
              <w:jc w:val="both"/>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BUCARAMANGA</w:t>
            </w:r>
          </w:p>
        </w:tc>
        <w:tc>
          <w:tcPr>
            <w:tcW w:w="1545" w:type="dxa"/>
            <w:tcBorders>
              <w:top w:val="nil"/>
              <w:left w:val="nil"/>
              <w:bottom w:val="single" w:sz="8" w:space="0" w:color="67B93E"/>
              <w:right w:val="single" w:sz="8" w:space="0" w:color="67B93E"/>
            </w:tcBorders>
            <w:shd w:val="clear" w:color="000000" w:fill="F2F2F2"/>
            <w:vAlign w:val="center"/>
            <w:hideMark/>
          </w:tcPr>
          <w:p w14:paraId="1F03EE07"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398,46</w:t>
            </w:r>
          </w:p>
        </w:tc>
        <w:tc>
          <w:tcPr>
            <w:tcW w:w="1545" w:type="dxa"/>
            <w:tcBorders>
              <w:top w:val="nil"/>
              <w:left w:val="nil"/>
              <w:bottom w:val="single" w:sz="8" w:space="0" w:color="67B93E"/>
              <w:right w:val="single" w:sz="8" w:space="0" w:color="67B93E"/>
            </w:tcBorders>
            <w:shd w:val="clear" w:color="000000" w:fill="F2F2F2"/>
            <w:vAlign w:val="center"/>
            <w:hideMark/>
          </w:tcPr>
          <w:p w14:paraId="74CF53C3"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63,54</w:t>
            </w:r>
          </w:p>
        </w:tc>
      </w:tr>
      <w:tr w:rsidR="00307148" w:rsidRPr="00307148" w14:paraId="732A756F" w14:textId="77777777" w:rsidTr="00307148">
        <w:trPr>
          <w:trHeight w:val="307"/>
          <w:jc w:val="center"/>
        </w:trPr>
        <w:tc>
          <w:tcPr>
            <w:tcW w:w="1922" w:type="dxa"/>
            <w:tcBorders>
              <w:top w:val="nil"/>
              <w:left w:val="single" w:sz="8" w:space="0" w:color="67B93E"/>
              <w:bottom w:val="single" w:sz="8" w:space="0" w:color="67B93E"/>
              <w:right w:val="single" w:sz="8" w:space="0" w:color="67B93E"/>
            </w:tcBorders>
            <w:shd w:val="clear" w:color="000000" w:fill="FFFFFF"/>
            <w:vAlign w:val="center"/>
            <w:hideMark/>
          </w:tcPr>
          <w:p w14:paraId="7154DE77" w14:textId="77777777" w:rsidR="00307148" w:rsidRPr="00307148" w:rsidRDefault="00307148" w:rsidP="00307148">
            <w:pPr>
              <w:widowControl/>
              <w:autoSpaceDE/>
              <w:autoSpaceDN/>
              <w:jc w:val="both"/>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FLORIDABLANCA</w:t>
            </w:r>
          </w:p>
        </w:tc>
        <w:tc>
          <w:tcPr>
            <w:tcW w:w="1545" w:type="dxa"/>
            <w:tcBorders>
              <w:top w:val="nil"/>
              <w:left w:val="nil"/>
              <w:bottom w:val="single" w:sz="8" w:space="0" w:color="67B93E"/>
              <w:right w:val="single" w:sz="8" w:space="0" w:color="67B93E"/>
            </w:tcBorders>
            <w:shd w:val="clear" w:color="000000" w:fill="FFFFFF"/>
            <w:vAlign w:val="center"/>
            <w:hideMark/>
          </w:tcPr>
          <w:p w14:paraId="5FE77211"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555</w:t>
            </w:r>
          </w:p>
        </w:tc>
        <w:tc>
          <w:tcPr>
            <w:tcW w:w="1545" w:type="dxa"/>
            <w:tcBorders>
              <w:top w:val="nil"/>
              <w:left w:val="nil"/>
              <w:bottom w:val="single" w:sz="8" w:space="0" w:color="67B93E"/>
              <w:right w:val="single" w:sz="8" w:space="0" w:color="67B93E"/>
            </w:tcBorders>
            <w:shd w:val="clear" w:color="000000" w:fill="FFFFFF"/>
            <w:vAlign w:val="center"/>
            <w:hideMark/>
          </w:tcPr>
          <w:p w14:paraId="4D0FD350"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58,3</w:t>
            </w:r>
          </w:p>
        </w:tc>
      </w:tr>
      <w:tr w:rsidR="00307148" w:rsidRPr="00307148" w14:paraId="1854627C" w14:textId="77777777" w:rsidTr="00307148">
        <w:trPr>
          <w:trHeight w:val="184"/>
          <w:jc w:val="center"/>
        </w:trPr>
        <w:tc>
          <w:tcPr>
            <w:tcW w:w="1922" w:type="dxa"/>
            <w:tcBorders>
              <w:top w:val="nil"/>
              <w:left w:val="single" w:sz="8" w:space="0" w:color="67B93E"/>
              <w:bottom w:val="single" w:sz="8" w:space="0" w:color="67B93E"/>
              <w:right w:val="single" w:sz="8" w:space="0" w:color="67B93E"/>
            </w:tcBorders>
            <w:shd w:val="clear" w:color="000000" w:fill="F2F2F2"/>
            <w:vAlign w:val="center"/>
            <w:hideMark/>
          </w:tcPr>
          <w:p w14:paraId="3EE80734" w14:textId="77777777" w:rsidR="00307148" w:rsidRPr="00307148" w:rsidRDefault="00307148" w:rsidP="00307148">
            <w:pPr>
              <w:widowControl/>
              <w:autoSpaceDE/>
              <w:autoSpaceDN/>
              <w:jc w:val="both"/>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GIRÓN</w:t>
            </w:r>
          </w:p>
        </w:tc>
        <w:tc>
          <w:tcPr>
            <w:tcW w:w="1545" w:type="dxa"/>
            <w:tcBorders>
              <w:top w:val="nil"/>
              <w:left w:val="nil"/>
              <w:bottom w:val="single" w:sz="8" w:space="0" w:color="67B93E"/>
              <w:right w:val="single" w:sz="8" w:space="0" w:color="67B93E"/>
            </w:tcBorders>
            <w:shd w:val="clear" w:color="000000" w:fill="F2F2F2"/>
            <w:vAlign w:val="center"/>
            <w:hideMark/>
          </w:tcPr>
          <w:p w14:paraId="666934AC"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169,23</w:t>
            </w:r>
          </w:p>
        </w:tc>
        <w:tc>
          <w:tcPr>
            <w:tcW w:w="1545" w:type="dxa"/>
            <w:tcBorders>
              <w:top w:val="nil"/>
              <w:left w:val="nil"/>
              <w:bottom w:val="single" w:sz="8" w:space="0" w:color="67B93E"/>
              <w:right w:val="single" w:sz="8" w:space="0" w:color="67B93E"/>
            </w:tcBorders>
            <w:shd w:val="clear" w:color="000000" w:fill="F2F2F2"/>
            <w:vAlign w:val="center"/>
            <w:hideMark/>
          </w:tcPr>
          <w:p w14:paraId="6D16A211"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42,15</w:t>
            </w:r>
          </w:p>
        </w:tc>
      </w:tr>
      <w:tr w:rsidR="00307148" w:rsidRPr="00307148" w14:paraId="31B33BA6" w14:textId="77777777" w:rsidTr="00307148">
        <w:trPr>
          <w:trHeight w:val="307"/>
          <w:jc w:val="center"/>
        </w:trPr>
        <w:tc>
          <w:tcPr>
            <w:tcW w:w="1922" w:type="dxa"/>
            <w:tcBorders>
              <w:top w:val="nil"/>
              <w:left w:val="single" w:sz="8" w:space="0" w:color="67B93E"/>
              <w:bottom w:val="single" w:sz="8" w:space="0" w:color="67B93E"/>
              <w:right w:val="single" w:sz="8" w:space="0" w:color="67B93E"/>
            </w:tcBorders>
            <w:shd w:val="clear" w:color="000000" w:fill="FFFFFF"/>
            <w:vAlign w:val="center"/>
            <w:hideMark/>
          </w:tcPr>
          <w:p w14:paraId="7852EFB5" w14:textId="77777777" w:rsidR="00307148" w:rsidRPr="00307148" w:rsidRDefault="00307148" w:rsidP="00307148">
            <w:pPr>
              <w:widowControl/>
              <w:autoSpaceDE/>
              <w:autoSpaceDN/>
              <w:jc w:val="both"/>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PIEDECUESTA</w:t>
            </w:r>
          </w:p>
        </w:tc>
        <w:tc>
          <w:tcPr>
            <w:tcW w:w="1545" w:type="dxa"/>
            <w:tcBorders>
              <w:top w:val="nil"/>
              <w:left w:val="nil"/>
              <w:bottom w:val="single" w:sz="8" w:space="0" w:color="67B93E"/>
              <w:right w:val="single" w:sz="8" w:space="0" w:color="67B93E"/>
            </w:tcBorders>
            <w:shd w:val="clear" w:color="000000" w:fill="FFFFFF"/>
            <w:vAlign w:val="center"/>
            <w:hideMark/>
          </w:tcPr>
          <w:p w14:paraId="20C2E998"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441,67</w:t>
            </w:r>
          </w:p>
        </w:tc>
        <w:tc>
          <w:tcPr>
            <w:tcW w:w="1545" w:type="dxa"/>
            <w:tcBorders>
              <w:top w:val="nil"/>
              <w:left w:val="nil"/>
              <w:bottom w:val="single" w:sz="8" w:space="0" w:color="67B93E"/>
              <w:right w:val="single" w:sz="8" w:space="0" w:color="67B93E"/>
            </w:tcBorders>
            <w:shd w:val="clear" w:color="000000" w:fill="FFFFFF"/>
            <w:vAlign w:val="center"/>
            <w:hideMark/>
          </w:tcPr>
          <w:p w14:paraId="708822FD"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43,96</w:t>
            </w:r>
          </w:p>
        </w:tc>
      </w:tr>
      <w:tr w:rsidR="00307148" w:rsidRPr="00307148" w14:paraId="37D02515" w14:textId="77777777" w:rsidTr="00307148">
        <w:trPr>
          <w:trHeight w:val="184"/>
          <w:jc w:val="center"/>
        </w:trPr>
        <w:tc>
          <w:tcPr>
            <w:tcW w:w="1922" w:type="dxa"/>
            <w:tcBorders>
              <w:top w:val="nil"/>
              <w:left w:val="single" w:sz="8" w:space="0" w:color="67B93E"/>
              <w:bottom w:val="single" w:sz="8" w:space="0" w:color="67B93E"/>
              <w:right w:val="single" w:sz="8" w:space="0" w:color="67B93E"/>
            </w:tcBorders>
            <w:shd w:val="clear" w:color="000000" w:fill="F2F2F2"/>
            <w:vAlign w:val="center"/>
            <w:hideMark/>
          </w:tcPr>
          <w:p w14:paraId="44040CF9" w14:textId="77777777" w:rsidR="00307148" w:rsidRPr="00307148" w:rsidRDefault="00307148" w:rsidP="00307148">
            <w:pPr>
              <w:widowControl/>
              <w:autoSpaceDE/>
              <w:autoSpaceDN/>
              <w:jc w:val="both"/>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SOCORRO</w:t>
            </w:r>
          </w:p>
        </w:tc>
        <w:tc>
          <w:tcPr>
            <w:tcW w:w="1545" w:type="dxa"/>
            <w:tcBorders>
              <w:top w:val="nil"/>
              <w:left w:val="nil"/>
              <w:bottom w:val="single" w:sz="8" w:space="0" w:color="67B93E"/>
              <w:right w:val="single" w:sz="8" w:space="0" w:color="67B93E"/>
            </w:tcBorders>
            <w:shd w:val="clear" w:color="000000" w:fill="F2F2F2"/>
            <w:vAlign w:val="center"/>
            <w:hideMark/>
          </w:tcPr>
          <w:p w14:paraId="6A7272BD"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400</w:t>
            </w:r>
          </w:p>
        </w:tc>
        <w:tc>
          <w:tcPr>
            <w:tcW w:w="1545" w:type="dxa"/>
            <w:tcBorders>
              <w:top w:val="nil"/>
              <w:left w:val="nil"/>
              <w:bottom w:val="single" w:sz="8" w:space="0" w:color="67B93E"/>
              <w:right w:val="single" w:sz="8" w:space="0" w:color="67B93E"/>
            </w:tcBorders>
            <w:shd w:val="clear" w:color="000000" w:fill="F2F2F2"/>
            <w:vAlign w:val="center"/>
            <w:hideMark/>
          </w:tcPr>
          <w:p w14:paraId="43A8A509" w14:textId="77777777" w:rsidR="00307148" w:rsidRPr="00307148" w:rsidRDefault="00307148" w:rsidP="00307148">
            <w:pPr>
              <w:widowControl/>
              <w:autoSpaceDE/>
              <w:autoSpaceDN/>
              <w:jc w:val="center"/>
              <w:rPr>
                <w:rFonts w:ascii="Humanst521 BT" w:eastAsia="Times New Roman" w:hAnsi="Humanst521 BT" w:cs="Calibri"/>
                <w:color w:val="000000"/>
                <w:sz w:val="20"/>
                <w:szCs w:val="20"/>
                <w:lang w:val="es-CO" w:eastAsia="es-CO"/>
              </w:rPr>
            </w:pPr>
            <w:r w:rsidRPr="00307148">
              <w:rPr>
                <w:rFonts w:ascii="Humanst521 BT" w:eastAsia="Times New Roman" w:hAnsi="Humanst521 BT" w:cs="Calibri"/>
                <w:color w:val="000000"/>
                <w:sz w:val="20"/>
                <w:szCs w:val="20"/>
                <w:lang w:val="es-CO" w:eastAsia="es-CO"/>
              </w:rPr>
              <w:t>62,37</w:t>
            </w:r>
          </w:p>
        </w:tc>
      </w:tr>
    </w:tbl>
    <w:p w14:paraId="363EC4A1" w14:textId="77777777" w:rsidR="0084193B" w:rsidRPr="007F0FA7" w:rsidRDefault="0084193B" w:rsidP="00307148">
      <w:pPr>
        <w:jc w:val="center"/>
        <w:rPr>
          <w:rFonts w:ascii="Humanst521 BT" w:hAnsi="Humanst521 BT"/>
        </w:rPr>
      </w:pPr>
    </w:p>
    <w:p w14:paraId="6CD3DE58" w14:textId="77777777" w:rsidR="00162FB9" w:rsidRPr="007F0FA7" w:rsidRDefault="00162FB9" w:rsidP="00093B44">
      <w:pPr>
        <w:pStyle w:val="Prrafodelista"/>
        <w:tabs>
          <w:tab w:val="left" w:pos="1410"/>
        </w:tabs>
        <w:ind w:left="2466" w:right="378" w:firstLine="0"/>
        <w:rPr>
          <w:rFonts w:ascii="Humanst521 BT" w:hAnsi="Humanst521 BT"/>
        </w:rPr>
      </w:pPr>
    </w:p>
    <w:p w14:paraId="188251D0" w14:textId="1B9269A9" w:rsidR="00B72450" w:rsidRPr="007D03AF" w:rsidRDefault="006E14D8" w:rsidP="007D03AF">
      <w:pPr>
        <w:pStyle w:val="Descripcin"/>
        <w:spacing w:line="240" w:lineRule="auto"/>
        <w:ind w:left="720"/>
        <w:outlineLvl w:val="3"/>
        <w:rPr>
          <w:rFonts w:ascii="Humanst521 BT" w:eastAsia="Verdana" w:hAnsi="Humanst521 BT" w:cs="Verdana"/>
          <w:sz w:val="22"/>
          <w:szCs w:val="22"/>
          <w:lang w:val="es-ES"/>
        </w:rPr>
      </w:pPr>
      <w:bookmarkStart w:id="51" w:name="_Toc231286791"/>
      <w:r w:rsidRPr="007D03AF">
        <w:rPr>
          <w:rFonts w:ascii="Humanst521 BT" w:eastAsia="Verdana" w:hAnsi="Humanst521 BT" w:cs="Verdana"/>
          <w:sz w:val="22"/>
          <w:szCs w:val="22"/>
          <w:lang w:val="es-ES"/>
        </w:rPr>
        <w:t>5.1.1.</w:t>
      </w:r>
      <w:r w:rsidR="00C11F11" w:rsidRPr="007D03AF">
        <w:rPr>
          <w:rFonts w:ascii="Humanst521 BT" w:eastAsia="Verdana" w:hAnsi="Humanst521 BT" w:cs="Verdana"/>
          <w:sz w:val="22"/>
          <w:szCs w:val="22"/>
          <w:lang w:val="es-ES"/>
        </w:rPr>
        <w:t>6</w:t>
      </w:r>
      <w:r w:rsidR="004A3A4E" w:rsidRPr="007D03AF">
        <w:rPr>
          <w:rFonts w:ascii="Humanst521 BT" w:eastAsia="Verdana" w:hAnsi="Humanst521 BT" w:cs="Verdana"/>
          <w:sz w:val="22"/>
          <w:szCs w:val="22"/>
          <w:lang w:val="es-ES"/>
        </w:rPr>
        <w:t xml:space="preserve">. </w:t>
      </w:r>
      <w:r w:rsidR="007C1956" w:rsidRPr="007D03AF">
        <w:rPr>
          <w:rFonts w:ascii="Humanst521 BT" w:eastAsia="Verdana" w:hAnsi="Humanst521 BT" w:cs="Verdana"/>
          <w:sz w:val="22"/>
          <w:szCs w:val="22"/>
          <w:lang w:val="es-ES"/>
        </w:rPr>
        <w:t>Identifi</w:t>
      </w:r>
      <w:r w:rsidR="00161A72" w:rsidRPr="007D03AF">
        <w:rPr>
          <w:rFonts w:ascii="Humanst521 BT" w:eastAsia="Verdana" w:hAnsi="Humanst521 BT" w:cs="Verdana"/>
          <w:sz w:val="22"/>
          <w:szCs w:val="22"/>
          <w:lang w:val="es-ES"/>
        </w:rPr>
        <w:t>cación de</w:t>
      </w:r>
      <w:r w:rsidR="007C1956" w:rsidRPr="007D03AF">
        <w:rPr>
          <w:rFonts w:ascii="Humanst521 BT" w:eastAsia="Verdana" w:hAnsi="Humanst521 BT" w:cs="Verdana"/>
          <w:sz w:val="22"/>
          <w:szCs w:val="22"/>
          <w:lang w:val="es-ES"/>
        </w:rPr>
        <w:t xml:space="preserve"> problemáticas socio-ambientales del territorio que pueden influir en la salud de la población afiliada</w:t>
      </w:r>
      <w:r w:rsidR="001B5B5F" w:rsidRPr="007D03AF">
        <w:rPr>
          <w:rFonts w:ascii="Humanst521 BT" w:eastAsia="Verdana" w:hAnsi="Humanst521 BT" w:cs="Verdana"/>
          <w:sz w:val="22"/>
          <w:szCs w:val="22"/>
          <w:lang w:val="es-ES"/>
        </w:rPr>
        <w:t>.</w:t>
      </w:r>
      <w:bookmarkEnd w:id="51"/>
    </w:p>
    <w:p w14:paraId="654EF0EE" w14:textId="77777777" w:rsidR="00174D5E" w:rsidRPr="00174D5E" w:rsidRDefault="00174D5E" w:rsidP="00174D5E">
      <w:pPr>
        <w:widowControl/>
        <w:autoSpaceDE/>
        <w:autoSpaceDN/>
        <w:spacing w:before="100" w:beforeAutospacing="1" w:after="100" w:afterAutospacing="1"/>
        <w:jc w:val="both"/>
        <w:rPr>
          <w:rFonts w:ascii="Humanst521 BT" w:hAnsi="Humanst521 BT"/>
        </w:rPr>
      </w:pPr>
      <w:r w:rsidRPr="00174D5E">
        <w:rPr>
          <w:rFonts w:ascii="Humanst521 BT" w:hAnsi="Humanst521 BT"/>
        </w:rPr>
        <w:t xml:space="preserve">En el departamento de Santander, en el cual se encuentra la mayor concentración de la población con el 99% de los afiliados, se identifican problemáticas socioambientales críticas que actúan como determinantes intermedios de la salud y representan desafíos epidemiológicos estructurales para UISALUD. </w:t>
      </w:r>
    </w:p>
    <w:p w14:paraId="207DC310" w14:textId="77777777" w:rsidR="00174D5E" w:rsidRPr="00174D5E" w:rsidRDefault="00174D5E" w:rsidP="00174D5E">
      <w:pPr>
        <w:widowControl/>
        <w:autoSpaceDE/>
        <w:autoSpaceDN/>
        <w:spacing w:before="100" w:beforeAutospacing="1" w:after="100" w:afterAutospacing="1"/>
        <w:jc w:val="both"/>
        <w:rPr>
          <w:rFonts w:ascii="Humanst521 BT" w:hAnsi="Humanst521 BT"/>
        </w:rPr>
      </w:pPr>
      <w:r w:rsidRPr="00174D5E">
        <w:rPr>
          <w:rFonts w:ascii="Humanst521 BT" w:hAnsi="Humanst521 BT"/>
        </w:rPr>
        <w:t xml:space="preserve">El factor físico-ambiental más relevante se deriva de la topografía accidentada de la región y las dinámicas climáticas del área metropolitana de Bucaramanga. Durante las temporadas de lluvias intensas, se incrementa </w:t>
      </w:r>
      <w:r w:rsidRPr="00174D5E">
        <w:rPr>
          <w:rFonts w:ascii="Humanst521 BT" w:hAnsi="Humanst521 BT"/>
        </w:rPr>
        <w:lastRenderedPageBreak/>
        <w:t>la susceptibilidad a deslizamientos e inundaciones repentinas. Desde la perspectiva de la gestión del riesgo, esto influye directamente en la salud de la población afiliada al generar barreras temporales de acceso físico a la infraestructura de servicios y afectar la movilidad de los usuarios, especialmente de la población adulta mayor, la cual exhibe un índice de dependencia muy superior al promedio departamental.</w:t>
      </w:r>
    </w:p>
    <w:p w14:paraId="13B1062C" w14:textId="77777777" w:rsidR="00174D5E" w:rsidRPr="00174D5E" w:rsidRDefault="00174D5E" w:rsidP="00174D5E">
      <w:pPr>
        <w:widowControl/>
        <w:autoSpaceDE/>
        <w:autoSpaceDN/>
        <w:spacing w:before="100" w:beforeAutospacing="1" w:after="100" w:afterAutospacing="1"/>
        <w:jc w:val="both"/>
        <w:rPr>
          <w:rFonts w:ascii="Humanst521 BT" w:hAnsi="Humanst521 BT"/>
        </w:rPr>
      </w:pPr>
      <w:r w:rsidRPr="00174D5E">
        <w:rPr>
          <w:rFonts w:ascii="Humanst521 BT" w:hAnsi="Humanst521 BT"/>
        </w:rPr>
        <w:t>Asimismo, los fenómenos de variabilidad climática asociados al cambio climático —como las olas de calor extremas (islas de calor urbanas) y las alteraciones en el régimen de precipitaciones— tienen un impacto directo en el perfil de morbilidad de la institución. Estas variaciones exacerban el riesgo de brotes por enfermedades transmitidas por vectores (ETV), principalmente el dengue, el cual presenta un comportamiento endémico-epidémico en Bucaramanga y su área metropolitana. El aumento de las temperaturas medias en el territorio reduce el período de incubación del virus y acelera la reproducción del vector, configurando una amenaza latente para el colectivo de afiliados que residen o se desplazan por las zonas de mayor vulnerabilidad climática de la ciudad.</w:t>
      </w:r>
    </w:p>
    <w:p w14:paraId="094672CC" w14:textId="77777777" w:rsidR="00174D5E" w:rsidRPr="00174D5E" w:rsidRDefault="00174D5E" w:rsidP="00174D5E">
      <w:pPr>
        <w:widowControl/>
        <w:autoSpaceDE/>
        <w:autoSpaceDN/>
        <w:spacing w:before="100" w:beforeAutospacing="1" w:after="100" w:afterAutospacing="1"/>
        <w:jc w:val="both"/>
        <w:rPr>
          <w:rFonts w:ascii="Humanst521 BT" w:hAnsi="Humanst521 BT"/>
        </w:rPr>
      </w:pPr>
      <w:r w:rsidRPr="00174D5E">
        <w:rPr>
          <w:rFonts w:ascii="Humanst521 BT" w:hAnsi="Humanst521 BT"/>
        </w:rPr>
        <w:t>Adicionalmente, las variaciones en la calidad del aire urbano y los picos de contaminación ambiental actúan como desencadenantes y agravantes de patologías respiratorias crónicas, tales como la Enfermedad Pulmonar Obstructiva Crónica (EPOC) y el Asma, las cuales forman parte de la alta carga de morbilidad por enfermedades no transmisibles que caracteriza a la población de UISALUD.</w:t>
      </w:r>
    </w:p>
    <w:p w14:paraId="6EAEA10C" w14:textId="77777777" w:rsidR="00174D5E" w:rsidRPr="00174D5E" w:rsidRDefault="00174D5E" w:rsidP="00174D5E">
      <w:pPr>
        <w:widowControl/>
        <w:autoSpaceDE/>
        <w:autoSpaceDN/>
        <w:spacing w:before="100" w:beforeAutospacing="1" w:after="100" w:afterAutospacing="1"/>
        <w:jc w:val="both"/>
        <w:rPr>
          <w:rFonts w:ascii="Humanst521 BT" w:hAnsi="Humanst521 BT"/>
        </w:rPr>
      </w:pPr>
      <w:r w:rsidRPr="00174D5E">
        <w:rPr>
          <w:rFonts w:ascii="Humanst521 BT" w:hAnsi="Humanst521 BT"/>
        </w:rPr>
        <w:t>Por consiguiente, aunque la población afiliada cuente con condiciones socioeconómicas particulares, la institución reconoce que los determinantes socioambientales y los eventos climáticos extremos del territorio santandereano representan un riesgo potencial y predictivo sobre la salud humana. UISALUD articula de manera permanente sus sistemas de vigilancia epidemiológica institucional con los reportes de notificación obligatoria (SIVIGILA) y los planes de contingencia de las autoridades sanitarias territoriales, orientando sus estrategias de promoción y prevención (como la vacunación contra influenza y neumococo en grupos de riesgo) a mitigar de forma anticipada el impacto de estas variables ambientales sobre el bienestar de sus afiliados.</w:t>
      </w:r>
    </w:p>
    <w:p w14:paraId="659D5408" w14:textId="77777777" w:rsidR="00161A72" w:rsidRPr="00686FCF" w:rsidRDefault="00161A72" w:rsidP="00686FCF">
      <w:pPr>
        <w:tabs>
          <w:tab w:val="left" w:pos="1410"/>
        </w:tabs>
        <w:spacing w:before="1"/>
        <w:ind w:right="380"/>
        <w:rPr>
          <w:rFonts w:ascii="Humanst521 BT" w:hAnsi="Humanst521 BT"/>
        </w:rPr>
      </w:pPr>
    </w:p>
    <w:p w14:paraId="1B56AB5A" w14:textId="30E3211E" w:rsidR="00244200" w:rsidRPr="00C8589C" w:rsidRDefault="004A3A4E" w:rsidP="00B20579">
      <w:pPr>
        <w:pStyle w:val="Descripcin"/>
        <w:spacing w:line="240" w:lineRule="auto"/>
        <w:outlineLvl w:val="3"/>
        <w:rPr>
          <w:rFonts w:ascii="Humanst521 BT" w:eastAsia="Verdana" w:hAnsi="Humanst521 BT" w:cs="Verdana"/>
          <w:sz w:val="22"/>
          <w:szCs w:val="22"/>
          <w:lang w:val="es-ES"/>
        </w:rPr>
      </w:pPr>
      <w:bookmarkStart w:id="52" w:name="_Toc231286792"/>
      <w:r w:rsidRPr="00C8589C">
        <w:rPr>
          <w:rFonts w:ascii="Humanst521 BT" w:eastAsia="Verdana" w:hAnsi="Humanst521 BT" w:cs="Verdana"/>
          <w:sz w:val="22"/>
          <w:szCs w:val="22"/>
          <w:lang w:val="es-ES"/>
        </w:rPr>
        <w:t>5.1.1.</w:t>
      </w:r>
      <w:r w:rsidR="00C11F11" w:rsidRPr="00C8589C">
        <w:rPr>
          <w:rFonts w:ascii="Humanst521 BT" w:eastAsia="Verdana" w:hAnsi="Humanst521 BT" w:cs="Verdana"/>
          <w:sz w:val="22"/>
          <w:szCs w:val="22"/>
          <w:lang w:val="es-ES"/>
        </w:rPr>
        <w:t>7</w:t>
      </w:r>
      <w:r w:rsidRPr="00C8589C">
        <w:rPr>
          <w:rFonts w:ascii="Humanst521 BT" w:eastAsia="Verdana" w:hAnsi="Humanst521 BT" w:cs="Verdana"/>
          <w:sz w:val="22"/>
          <w:szCs w:val="22"/>
          <w:lang w:val="es-ES"/>
        </w:rPr>
        <w:t xml:space="preserve">. </w:t>
      </w:r>
      <w:r w:rsidR="00D07390" w:rsidRPr="00C8589C">
        <w:rPr>
          <w:rFonts w:ascii="Humanst521 BT" w:eastAsia="Verdana" w:hAnsi="Humanst521 BT" w:cs="Verdana"/>
          <w:sz w:val="22"/>
          <w:szCs w:val="22"/>
          <w:lang w:val="es-ES"/>
        </w:rPr>
        <w:t>D</w:t>
      </w:r>
      <w:r w:rsidR="007C1956" w:rsidRPr="00C8589C">
        <w:rPr>
          <w:rFonts w:ascii="Humanst521 BT" w:eastAsia="Verdana" w:hAnsi="Humanst521 BT" w:cs="Verdana"/>
          <w:sz w:val="22"/>
          <w:szCs w:val="22"/>
          <w:lang w:val="es-ES"/>
        </w:rPr>
        <w:t>istribución de su red de prestación de servicios de salud habilitada y contratada para la atención de su población afiliada.</w:t>
      </w:r>
      <w:bookmarkEnd w:id="52"/>
    </w:p>
    <w:p w14:paraId="27C3E38D" w14:textId="77777777" w:rsidR="006853C3" w:rsidRPr="006853C3" w:rsidRDefault="006853C3" w:rsidP="006853C3">
      <w:pPr>
        <w:widowControl/>
        <w:autoSpaceDE/>
        <w:autoSpaceDN/>
        <w:spacing w:before="100" w:beforeAutospacing="1" w:after="100" w:afterAutospacing="1"/>
        <w:jc w:val="both"/>
        <w:rPr>
          <w:rFonts w:ascii="Humanst521 BT" w:hAnsi="Humanst521 BT"/>
        </w:rPr>
      </w:pPr>
      <w:bookmarkStart w:id="53" w:name="_Toc161298155"/>
      <w:bookmarkStart w:id="54" w:name="_Toc161318774"/>
      <w:r w:rsidRPr="006853C3">
        <w:rPr>
          <w:rFonts w:ascii="Humanst521 BT" w:hAnsi="Humanst521 BT"/>
        </w:rPr>
        <w:t xml:space="preserve">El análisis tridimensional de la distribución geográfica de los afiliados, la oferta contratada y la suficiencia de la red primaria denota un modelo de atención con un fuerte núcleo asistencial centralizado, pero con desafíos específicos frente a la dispersión nacional. </w:t>
      </w:r>
    </w:p>
    <w:p w14:paraId="20FD5571" w14:textId="77777777" w:rsidR="006853C3" w:rsidRPr="006853C3" w:rsidRDefault="006853C3" w:rsidP="006853C3">
      <w:pPr>
        <w:widowControl/>
        <w:autoSpaceDE/>
        <w:autoSpaceDN/>
        <w:spacing w:before="100" w:beforeAutospacing="1" w:after="100" w:afterAutospacing="1"/>
        <w:jc w:val="both"/>
        <w:rPr>
          <w:rFonts w:ascii="Humanst521 BT" w:hAnsi="Humanst521 BT"/>
        </w:rPr>
      </w:pPr>
      <w:r w:rsidRPr="006853C3">
        <w:rPr>
          <w:rFonts w:ascii="Humanst521 BT" w:hAnsi="Humanst521 BT"/>
        </w:rPr>
        <w:t xml:space="preserve">Como se consolida en la Tabla 13, la demanda de servicios de salud de UISALUD se concentra de forma mayoritaria en el departamento de Santander (específicamente en el área metropolitana de Bucaramanga), agrupando en los municipios de Bucaramanga (1.825 usuarios), Floridablanca (596), Piedecuesta (190) y Girón (75) la masa crítica de la población. Esta centralización territorial permite optimizar la capacidad instalada y la gestión del riesgo primario a través de la Universidad Industrial de Santander como IPS propia y dominante, garantizando un control epidemiológico directo y una oportunidad de atención alineada con los requerimientos de la población urbana. </w:t>
      </w:r>
    </w:p>
    <w:p w14:paraId="31C392E3" w14:textId="77777777" w:rsidR="006853C3" w:rsidRPr="006853C3" w:rsidRDefault="006853C3" w:rsidP="006853C3">
      <w:pPr>
        <w:widowControl/>
        <w:autoSpaceDE/>
        <w:autoSpaceDN/>
        <w:spacing w:before="100" w:beforeAutospacing="1" w:after="100" w:afterAutospacing="1"/>
        <w:jc w:val="both"/>
        <w:rPr>
          <w:rFonts w:ascii="Humanst521 BT" w:hAnsi="Humanst521 BT"/>
        </w:rPr>
      </w:pPr>
      <w:r w:rsidRPr="006853C3">
        <w:rPr>
          <w:rFonts w:ascii="Humanst521 BT" w:hAnsi="Humanst521 BT"/>
        </w:rPr>
        <w:lastRenderedPageBreak/>
        <w:t xml:space="preserve">A nivel de suficiencia, la institución alcanza un nivel óptimo de asignación formal a IPS primaria con un 99,8% de cobertura global (2.787 usuarios con red asignada y efectiva). No obstante, bajo la óptica de la Gestión Integral del Riesgo en Salud (GIRS) que exige el lineamiento del Ministerio, se identifican brechas críticas de acceso en territorios con baja densidad de afiliados bajo la observación de contratación "En proceso", localizados en los municipios de Ibagué (2 afiliados), Santa Marta (2 afiliados) y Valledupar (1 afiliado), los cuales registran un 0% de cobertura efectiva. </w:t>
      </w:r>
    </w:p>
    <w:p w14:paraId="36E6E934" w14:textId="77777777" w:rsidR="006853C3" w:rsidRPr="006853C3" w:rsidRDefault="006853C3" w:rsidP="006853C3">
      <w:pPr>
        <w:widowControl/>
        <w:autoSpaceDE/>
        <w:autoSpaceDN/>
        <w:spacing w:before="100" w:beforeAutospacing="1" w:after="100" w:afterAutospacing="1"/>
        <w:jc w:val="both"/>
        <w:rPr>
          <w:rFonts w:ascii="Humanst521 BT" w:hAnsi="Humanst521 BT"/>
        </w:rPr>
      </w:pPr>
      <w:r w:rsidRPr="006853C3">
        <w:rPr>
          <w:rFonts w:ascii="Humanst521 BT" w:hAnsi="Humanst521 BT"/>
        </w:rPr>
        <w:t xml:space="preserve">Aunque matemáticamente estos 5 usuarios representan una proporción marginal, desde la perspectiva de la Atención Primaria en Salud (APS) constituyen un riesgo epidemiológico muy alto. La ausencia de una IPS primaria formalizada en sus municipios de residencia rompe la continuidad de las Rutas Integrales de Atención en Salud (RIAS), anula las acciones de promoción y mantenimiento de la salud, y eleva la probabilidad de una detección tardía de patologías crónicas o eventos de alto costo debido a barreras geográficas y administrativas de acceso. </w:t>
      </w:r>
    </w:p>
    <w:p w14:paraId="538D4874" w14:textId="77777777" w:rsidR="006853C3" w:rsidRPr="006853C3" w:rsidRDefault="006853C3" w:rsidP="006853C3">
      <w:pPr>
        <w:widowControl/>
        <w:autoSpaceDE/>
        <w:autoSpaceDN/>
        <w:spacing w:before="100" w:beforeAutospacing="1" w:after="100" w:afterAutospacing="1"/>
        <w:jc w:val="both"/>
        <w:rPr>
          <w:rFonts w:ascii="Humanst521 BT" w:hAnsi="Humanst521 BT"/>
        </w:rPr>
      </w:pPr>
      <w:r w:rsidRPr="006853C3">
        <w:rPr>
          <w:rFonts w:ascii="Humanst521 BT" w:hAnsi="Humanst521 BT"/>
        </w:rPr>
        <w:t>Para mitigar esta brecha de oferta y garantizar la equidad en salud, UISALUD priorizará dentro de sus planes de intervención la formalización de alianzas estratégicas interinstitucionales (bajo la modalidad de convenios con los programas de salud de las Universidades Públicas locales o redes de cajas de compensación familiar, tal como opera con éxito en Risaralda o Antioquia) para activar de manera inmediata la Red de Prestadores de Servicios de Salud (PSS) primaria en los nodos dispersos faltantes, eliminando los tiempos de espera prolongados y asegurando el cuidado integral de la totalidad de su población de forma independiente a su ubicación geográfica</w:t>
      </w:r>
    </w:p>
    <w:p w14:paraId="6004124C" w14:textId="1A58A9A6" w:rsidR="001C0EF4" w:rsidRPr="007F0FA7" w:rsidRDefault="001C0EF4" w:rsidP="00093B44">
      <w:pPr>
        <w:pStyle w:val="Descripcin"/>
        <w:keepNext/>
        <w:spacing w:line="240" w:lineRule="auto"/>
        <w:rPr>
          <w:rFonts w:ascii="Humanst521 BT" w:eastAsia="Verdana" w:hAnsi="Humanst521 BT" w:cs="Verdana"/>
          <w:b w:val="0"/>
          <w:bCs w:val="0"/>
          <w:color w:val="auto"/>
          <w:sz w:val="22"/>
          <w:szCs w:val="22"/>
          <w:lang w:val="es-ES"/>
        </w:rPr>
      </w:pPr>
      <w:bookmarkStart w:id="55" w:name="_Toc231286258"/>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686FCF">
        <w:rPr>
          <w:rFonts w:ascii="Humanst521 BT" w:eastAsia="Verdana" w:hAnsi="Humanst521 BT" w:cs="Verdana"/>
          <w:b w:val="0"/>
          <w:bCs w:val="0"/>
          <w:noProof/>
          <w:color w:val="auto"/>
          <w:sz w:val="22"/>
          <w:szCs w:val="22"/>
          <w:lang w:val="es-ES"/>
        </w:rPr>
        <w:t>13</w:t>
      </w:r>
      <w:r w:rsidRPr="007F0FA7">
        <w:rPr>
          <w:rFonts w:ascii="Humanst521 BT" w:eastAsia="Verdana" w:hAnsi="Humanst521 BT" w:cs="Verdana"/>
          <w:b w:val="0"/>
          <w:bCs w:val="0"/>
          <w:color w:val="auto"/>
          <w:sz w:val="22"/>
          <w:szCs w:val="22"/>
          <w:lang w:val="es-ES"/>
        </w:rPr>
        <w:fldChar w:fldCharType="end"/>
      </w:r>
      <w:r w:rsidR="00D41273">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Distribución de IPS Primaria UISALUD por municipio de residencia de población afiliada</w:t>
      </w:r>
      <w:bookmarkEnd w:id="53"/>
      <w:bookmarkEnd w:id="54"/>
      <w:bookmarkEnd w:id="55"/>
    </w:p>
    <w:tbl>
      <w:tblPr>
        <w:tblW w:w="5000" w:type="pct"/>
        <w:tblCellMar>
          <w:left w:w="70" w:type="dxa"/>
          <w:right w:w="70" w:type="dxa"/>
        </w:tblCellMar>
        <w:tblLook w:val="04A0" w:firstRow="1" w:lastRow="0" w:firstColumn="1" w:lastColumn="0" w:noHBand="0" w:noVBand="1"/>
      </w:tblPr>
      <w:tblGrid>
        <w:gridCol w:w="2835"/>
        <w:gridCol w:w="1500"/>
        <w:gridCol w:w="3302"/>
        <w:gridCol w:w="975"/>
        <w:gridCol w:w="938"/>
      </w:tblGrid>
      <w:tr w:rsidR="00B65BBB" w:rsidRPr="007B3338" w14:paraId="1587FDEB" w14:textId="77777777" w:rsidTr="00686FCF">
        <w:trPr>
          <w:trHeight w:val="900"/>
        </w:trPr>
        <w:tc>
          <w:tcPr>
            <w:tcW w:w="1484" w:type="pct"/>
            <w:tcBorders>
              <w:top w:val="single" w:sz="8" w:space="0" w:color="67B93E"/>
              <w:left w:val="nil"/>
              <w:bottom w:val="single" w:sz="8" w:space="0" w:color="67B93E"/>
              <w:right w:val="single" w:sz="8" w:space="0" w:color="67B93E"/>
            </w:tcBorders>
            <w:shd w:val="clear" w:color="000000" w:fill="C5E0B3"/>
            <w:vAlign w:val="center"/>
            <w:hideMark/>
          </w:tcPr>
          <w:p w14:paraId="583F9494" w14:textId="78F83DF7" w:rsidR="00B65BBB" w:rsidRPr="007B3338" w:rsidRDefault="00B65BBB" w:rsidP="00686FCF">
            <w:pPr>
              <w:widowControl/>
              <w:autoSpaceDE/>
              <w:autoSpaceDN/>
              <w:jc w:val="center"/>
              <w:rPr>
                <w:rFonts w:ascii="Humanst521 BT" w:eastAsia="Times New Roman" w:hAnsi="Humanst521 BT" w:cs="Arial"/>
                <w:b/>
                <w:bCs/>
                <w:color w:val="000000"/>
                <w:sz w:val="20"/>
                <w:szCs w:val="20"/>
                <w:lang w:val="es-CO" w:eastAsia="es-CO"/>
              </w:rPr>
            </w:pPr>
            <w:r>
              <w:rPr>
                <w:rFonts w:ascii="Humanst521 BT" w:eastAsia="Times New Roman" w:hAnsi="Humanst521 BT" w:cs="Arial"/>
                <w:b/>
                <w:bCs/>
                <w:color w:val="000000"/>
                <w:sz w:val="20"/>
                <w:szCs w:val="20"/>
                <w:lang w:val="es-CO" w:eastAsia="es-CO"/>
              </w:rPr>
              <w:t>Residencia</w:t>
            </w:r>
          </w:p>
        </w:tc>
        <w:tc>
          <w:tcPr>
            <w:tcW w:w="785" w:type="pct"/>
            <w:tcBorders>
              <w:top w:val="single" w:sz="8" w:space="0" w:color="67B93E"/>
              <w:left w:val="nil"/>
              <w:bottom w:val="single" w:sz="8" w:space="0" w:color="67B93E"/>
              <w:right w:val="single" w:sz="8" w:space="0" w:color="67B93E"/>
            </w:tcBorders>
            <w:shd w:val="clear" w:color="000000" w:fill="C5E0B3"/>
            <w:vAlign w:val="center"/>
            <w:hideMark/>
          </w:tcPr>
          <w:p w14:paraId="1A33D13A"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val="es-CO" w:eastAsia="es-CO"/>
              </w:rPr>
              <w:t>Afiliados a 31 dic 2025</w:t>
            </w:r>
          </w:p>
        </w:tc>
        <w:tc>
          <w:tcPr>
            <w:tcW w:w="1729" w:type="pct"/>
            <w:tcBorders>
              <w:top w:val="single" w:sz="8" w:space="0" w:color="67B93E"/>
              <w:left w:val="nil"/>
              <w:bottom w:val="single" w:sz="8" w:space="0" w:color="67B93E"/>
              <w:right w:val="single" w:sz="8" w:space="0" w:color="67B93E"/>
            </w:tcBorders>
            <w:shd w:val="clear" w:color="000000" w:fill="C5E0B3"/>
            <w:vAlign w:val="center"/>
            <w:hideMark/>
          </w:tcPr>
          <w:p w14:paraId="50EE6148"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val="es-CO" w:eastAsia="es-CO"/>
              </w:rPr>
              <w:t>IPS Primaria</w:t>
            </w:r>
          </w:p>
        </w:tc>
        <w:tc>
          <w:tcPr>
            <w:tcW w:w="510" w:type="pct"/>
            <w:tcBorders>
              <w:top w:val="single" w:sz="8" w:space="0" w:color="67B93E"/>
              <w:left w:val="nil"/>
              <w:bottom w:val="single" w:sz="8" w:space="0" w:color="67B93E"/>
              <w:right w:val="single" w:sz="8" w:space="0" w:color="67B93E"/>
            </w:tcBorders>
            <w:shd w:val="clear" w:color="000000" w:fill="C5E0B3"/>
            <w:vAlign w:val="center"/>
            <w:hideMark/>
          </w:tcPr>
          <w:p w14:paraId="6416DE5F"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eastAsia="es-CO"/>
              </w:rPr>
              <w:t>afiliadas por IPS primaria en el municipio.</w:t>
            </w:r>
          </w:p>
        </w:tc>
        <w:tc>
          <w:tcPr>
            <w:tcW w:w="491" w:type="pct"/>
            <w:tcBorders>
              <w:top w:val="single" w:sz="8" w:space="0" w:color="67B93E"/>
              <w:left w:val="nil"/>
              <w:bottom w:val="single" w:sz="8" w:space="0" w:color="67B93E"/>
              <w:right w:val="single" w:sz="8" w:space="0" w:color="67B93E"/>
            </w:tcBorders>
            <w:shd w:val="clear" w:color="000000" w:fill="C5E0B3"/>
            <w:vAlign w:val="center"/>
            <w:hideMark/>
          </w:tcPr>
          <w:p w14:paraId="5C5DCCD5"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eastAsia="es-CO"/>
              </w:rPr>
              <w:t>% de cobertura por IPS</w:t>
            </w:r>
          </w:p>
        </w:tc>
      </w:tr>
      <w:tr w:rsidR="00B65BBB" w:rsidRPr="007B3338" w14:paraId="733901DE"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1D24E17C" w14:textId="0684075F"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Bucaramanga                      </w:t>
            </w:r>
          </w:p>
        </w:tc>
        <w:tc>
          <w:tcPr>
            <w:tcW w:w="785" w:type="pct"/>
            <w:tcBorders>
              <w:top w:val="nil"/>
              <w:left w:val="nil"/>
              <w:bottom w:val="single" w:sz="8" w:space="0" w:color="67B93E"/>
              <w:right w:val="single" w:sz="8" w:space="0" w:color="67B93E"/>
            </w:tcBorders>
            <w:shd w:val="clear" w:color="000000" w:fill="FFFFFF"/>
            <w:hideMark/>
          </w:tcPr>
          <w:p w14:paraId="2AEB25F8"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1.825</w:t>
            </w:r>
          </w:p>
        </w:tc>
        <w:tc>
          <w:tcPr>
            <w:tcW w:w="1729" w:type="pct"/>
            <w:tcBorders>
              <w:top w:val="nil"/>
              <w:left w:val="nil"/>
              <w:bottom w:val="single" w:sz="8" w:space="0" w:color="67B93E"/>
              <w:right w:val="single" w:sz="8" w:space="0" w:color="67B93E"/>
            </w:tcBorders>
            <w:shd w:val="clear" w:color="000000" w:fill="FFFFFF"/>
            <w:hideMark/>
          </w:tcPr>
          <w:p w14:paraId="1A1C5F5B"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FFFFF"/>
            <w:vAlign w:val="center"/>
            <w:hideMark/>
          </w:tcPr>
          <w:p w14:paraId="4D82EBBE"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1825</w:t>
            </w:r>
          </w:p>
        </w:tc>
        <w:tc>
          <w:tcPr>
            <w:tcW w:w="491" w:type="pct"/>
            <w:tcBorders>
              <w:top w:val="nil"/>
              <w:left w:val="nil"/>
              <w:bottom w:val="single" w:sz="8" w:space="0" w:color="67B93E"/>
              <w:right w:val="single" w:sz="8" w:space="0" w:color="67B93E"/>
            </w:tcBorders>
            <w:shd w:val="clear" w:color="000000" w:fill="FFFFFF"/>
            <w:vAlign w:val="center"/>
            <w:hideMark/>
          </w:tcPr>
          <w:p w14:paraId="329AAF04"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769D7407"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6D09A48C" w14:textId="4571F4C0"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Floridablanca            </w:t>
            </w:r>
          </w:p>
        </w:tc>
        <w:tc>
          <w:tcPr>
            <w:tcW w:w="785" w:type="pct"/>
            <w:tcBorders>
              <w:top w:val="nil"/>
              <w:left w:val="nil"/>
              <w:bottom w:val="single" w:sz="8" w:space="0" w:color="67B93E"/>
              <w:right w:val="single" w:sz="8" w:space="0" w:color="67B93E"/>
            </w:tcBorders>
            <w:shd w:val="clear" w:color="000000" w:fill="F2F2F2"/>
            <w:hideMark/>
          </w:tcPr>
          <w:p w14:paraId="25FA754A"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596</w:t>
            </w:r>
          </w:p>
        </w:tc>
        <w:tc>
          <w:tcPr>
            <w:tcW w:w="1729" w:type="pct"/>
            <w:tcBorders>
              <w:top w:val="nil"/>
              <w:left w:val="nil"/>
              <w:bottom w:val="single" w:sz="8" w:space="0" w:color="67B93E"/>
              <w:right w:val="single" w:sz="8" w:space="0" w:color="67B93E"/>
            </w:tcBorders>
            <w:shd w:val="clear" w:color="000000" w:fill="F2F2F2"/>
            <w:hideMark/>
          </w:tcPr>
          <w:p w14:paraId="1472570D"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2F2F2"/>
            <w:vAlign w:val="center"/>
            <w:hideMark/>
          </w:tcPr>
          <w:p w14:paraId="018245EC"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596</w:t>
            </w:r>
          </w:p>
        </w:tc>
        <w:tc>
          <w:tcPr>
            <w:tcW w:w="491" w:type="pct"/>
            <w:tcBorders>
              <w:top w:val="nil"/>
              <w:left w:val="nil"/>
              <w:bottom w:val="single" w:sz="8" w:space="0" w:color="67B93E"/>
              <w:right w:val="single" w:sz="8" w:space="0" w:color="67B93E"/>
            </w:tcBorders>
            <w:shd w:val="clear" w:color="000000" w:fill="F2F2F2"/>
            <w:vAlign w:val="center"/>
            <w:hideMark/>
          </w:tcPr>
          <w:p w14:paraId="7DC12B0C"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32B571B9"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117921EA" w14:textId="3FC7518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Piedecuesta           </w:t>
            </w:r>
          </w:p>
        </w:tc>
        <w:tc>
          <w:tcPr>
            <w:tcW w:w="785" w:type="pct"/>
            <w:tcBorders>
              <w:top w:val="nil"/>
              <w:left w:val="nil"/>
              <w:bottom w:val="single" w:sz="8" w:space="0" w:color="67B93E"/>
              <w:right w:val="single" w:sz="8" w:space="0" w:color="67B93E"/>
            </w:tcBorders>
            <w:shd w:val="clear" w:color="000000" w:fill="FFFFFF"/>
            <w:hideMark/>
          </w:tcPr>
          <w:p w14:paraId="6F16BABD"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190</w:t>
            </w:r>
          </w:p>
        </w:tc>
        <w:tc>
          <w:tcPr>
            <w:tcW w:w="1729" w:type="pct"/>
            <w:tcBorders>
              <w:top w:val="nil"/>
              <w:left w:val="nil"/>
              <w:bottom w:val="single" w:sz="8" w:space="0" w:color="67B93E"/>
              <w:right w:val="single" w:sz="8" w:space="0" w:color="67B93E"/>
            </w:tcBorders>
            <w:shd w:val="clear" w:color="000000" w:fill="FFFFFF"/>
            <w:hideMark/>
          </w:tcPr>
          <w:p w14:paraId="5606CF5B"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FFFFF"/>
            <w:vAlign w:val="center"/>
            <w:hideMark/>
          </w:tcPr>
          <w:p w14:paraId="5E4DC91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190</w:t>
            </w:r>
          </w:p>
        </w:tc>
        <w:tc>
          <w:tcPr>
            <w:tcW w:w="491" w:type="pct"/>
            <w:tcBorders>
              <w:top w:val="nil"/>
              <w:left w:val="nil"/>
              <w:bottom w:val="single" w:sz="8" w:space="0" w:color="67B93E"/>
              <w:right w:val="single" w:sz="8" w:space="0" w:color="67B93E"/>
            </w:tcBorders>
            <w:shd w:val="clear" w:color="000000" w:fill="FFFFFF"/>
            <w:vAlign w:val="center"/>
            <w:hideMark/>
          </w:tcPr>
          <w:p w14:paraId="6927B0C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47806059"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75D89F38" w14:textId="5C8F7179"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Girón     </w:t>
            </w:r>
          </w:p>
        </w:tc>
        <w:tc>
          <w:tcPr>
            <w:tcW w:w="785" w:type="pct"/>
            <w:tcBorders>
              <w:top w:val="nil"/>
              <w:left w:val="nil"/>
              <w:bottom w:val="single" w:sz="8" w:space="0" w:color="67B93E"/>
              <w:right w:val="single" w:sz="8" w:space="0" w:color="67B93E"/>
            </w:tcBorders>
            <w:shd w:val="clear" w:color="000000" w:fill="F2F2F2"/>
            <w:hideMark/>
          </w:tcPr>
          <w:p w14:paraId="12611F7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75</w:t>
            </w:r>
          </w:p>
        </w:tc>
        <w:tc>
          <w:tcPr>
            <w:tcW w:w="1729" w:type="pct"/>
            <w:tcBorders>
              <w:top w:val="nil"/>
              <w:left w:val="nil"/>
              <w:bottom w:val="single" w:sz="8" w:space="0" w:color="67B93E"/>
              <w:right w:val="single" w:sz="8" w:space="0" w:color="67B93E"/>
            </w:tcBorders>
            <w:shd w:val="clear" w:color="000000" w:fill="F2F2F2"/>
            <w:hideMark/>
          </w:tcPr>
          <w:p w14:paraId="33008593"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2F2F2"/>
            <w:vAlign w:val="center"/>
            <w:hideMark/>
          </w:tcPr>
          <w:p w14:paraId="3611297A"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75</w:t>
            </w:r>
          </w:p>
        </w:tc>
        <w:tc>
          <w:tcPr>
            <w:tcW w:w="491" w:type="pct"/>
            <w:tcBorders>
              <w:top w:val="nil"/>
              <w:left w:val="nil"/>
              <w:bottom w:val="single" w:sz="8" w:space="0" w:color="67B93E"/>
              <w:right w:val="single" w:sz="8" w:space="0" w:color="67B93E"/>
            </w:tcBorders>
            <w:shd w:val="clear" w:color="000000" w:fill="F2F2F2"/>
            <w:vAlign w:val="center"/>
            <w:hideMark/>
          </w:tcPr>
          <w:p w14:paraId="4B70F55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4858A712"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22FCFF17"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Bogotá, D.C.    </w:t>
            </w:r>
          </w:p>
        </w:tc>
        <w:tc>
          <w:tcPr>
            <w:tcW w:w="785" w:type="pct"/>
            <w:tcBorders>
              <w:top w:val="nil"/>
              <w:left w:val="nil"/>
              <w:bottom w:val="single" w:sz="8" w:space="0" w:color="67B93E"/>
              <w:right w:val="single" w:sz="8" w:space="0" w:color="67B93E"/>
            </w:tcBorders>
            <w:shd w:val="clear" w:color="000000" w:fill="FFFFFF"/>
            <w:hideMark/>
          </w:tcPr>
          <w:p w14:paraId="5ED2D724"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33</w:t>
            </w:r>
          </w:p>
        </w:tc>
        <w:tc>
          <w:tcPr>
            <w:tcW w:w="1729" w:type="pct"/>
            <w:tcBorders>
              <w:top w:val="nil"/>
              <w:left w:val="nil"/>
              <w:bottom w:val="single" w:sz="8" w:space="0" w:color="67B93E"/>
              <w:right w:val="single" w:sz="8" w:space="0" w:color="67B93E"/>
            </w:tcBorders>
            <w:shd w:val="clear" w:color="000000" w:fill="FFFFFF"/>
            <w:hideMark/>
          </w:tcPr>
          <w:p w14:paraId="59946C59"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Nacional de Colombia - UNISALUD UNAL Sede Bogotá</w:t>
            </w:r>
          </w:p>
        </w:tc>
        <w:tc>
          <w:tcPr>
            <w:tcW w:w="510" w:type="pct"/>
            <w:tcBorders>
              <w:top w:val="nil"/>
              <w:left w:val="nil"/>
              <w:bottom w:val="single" w:sz="8" w:space="0" w:color="67B93E"/>
              <w:right w:val="single" w:sz="8" w:space="0" w:color="67B93E"/>
            </w:tcBorders>
            <w:shd w:val="clear" w:color="000000" w:fill="FFFFFF"/>
            <w:vAlign w:val="center"/>
            <w:hideMark/>
          </w:tcPr>
          <w:p w14:paraId="2E0D7E3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33</w:t>
            </w:r>
          </w:p>
        </w:tc>
        <w:tc>
          <w:tcPr>
            <w:tcW w:w="491" w:type="pct"/>
            <w:tcBorders>
              <w:top w:val="nil"/>
              <w:left w:val="nil"/>
              <w:bottom w:val="single" w:sz="8" w:space="0" w:color="67B93E"/>
              <w:right w:val="single" w:sz="8" w:space="0" w:color="67B93E"/>
            </w:tcBorders>
            <w:shd w:val="clear" w:color="000000" w:fill="FFFFFF"/>
            <w:vAlign w:val="center"/>
            <w:hideMark/>
          </w:tcPr>
          <w:p w14:paraId="56B0667D"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16814160"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0C0E3954" w14:textId="0601091A"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Socorro                    </w:t>
            </w:r>
          </w:p>
        </w:tc>
        <w:tc>
          <w:tcPr>
            <w:tcW w:w="785" w:type="pct"/>
            <w:tcBorders>
              <w:top w:val="nil"/>
              <w:left w:val="nil"/>
              <w:bottom w:val="single" w:sz="8" w:space="0" w:color="67B93E"/>
              <w:right w:val="single" w:sz="8" w:space="0" w:color="67B93E"/>
            </w:tcBorders>
            <w:shd w:val="clear" w:color="000000" w:fill="F2F2F2"/>
            <w:hideMark/>
          </w:tcPr>
          <w:p w14:paraId="18BA128D"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12</w:t>
            </w:r>
          </w:p>
        </w:tc>
        <w:tc>
          <w:tcPr>
            <w:tcW w:w="1729" w:type="pct"/>
            <w:tcBorders>
              <w:top w:val="nil"/>
              <w:left w:val="nil"/>
              <w:bottom w:val="single" w:sz="8" w:space="0" w:color="67B93E"/>
              <w:right w:val="single" w:sz="8" w:space="0" w:color="67B93E"/>
            </w:tcBorders>
            <w:shd w:val="clear" w:color="000000" w:fill="F2F2F2"/>
            <w:hideMark/>
          </w:tcPr>
          <w:p w14:paraId="35666631"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Hospital Manuela Beltrán</w:t>
            </w:r>
          </w:p>
        </w:tc>
        <w:tc>
          <w:tcPr>
            <w:tcW w:w="510" w:type="pct"/>
            <w:tcBorders>
              <w:top w:val="nil"/>
              <w:left w:val="nil"/>
              <w:bottom w:val="single" w:sz="8" w:space="0" w:color="67B93E"/>
              <w:right w:val="single" w:sz="8" w:space="0" w:color="67B93E"/>
            </w:tcBorders>
            <w:shd w:val="clear" w:color="000000" w:fill="F2F2F2"/>
            <w:vAlign w:val="center"/>
            <w:hideMark/>
          </w:tcPr>
          <w:p w14:paraId="346B3DC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12</w:t>
            </w:r>
          </w:p>
        </w:tc>
        <w:tc>
          <w:tcPr>
            <w:tcW w:w="491" w:type="pct"/>
            <w:tcBorders>
              <w:top w:val="nil"/>
              <w:left w:val="nil"/>
              <w:bottom w:val="single" w:sz="8" w:space="0" w:color="67B93E"/>
              <w:right w:val="single" w:sz="8" w:space="0" w:color="67B93E"/>
            </w:tcBorders>
            <w:shd w:val="clear" w:color="000000" w:fill="F2F2F2"/>
            <w:vAlign w:val="center"/>
            <w:hideMark/>
          </w:tcPr>
          <w:p w14:paraId="112D6B7C"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04C019C5"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77B5C4BB" w14:textId="20670879"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Chiquinquirá                          </w:t>
            </w:r>
          </w:p>
        </w:tc>
        <w:tc>
          <w:tcPr>
            <w:tcW w:w="785" w:type="pct"/>
            <w:tcBorders>
              <w:top w:val="nil"/>
              <w:left w:val="nil"/>
              <w:bottom w:val="single" w:sz="8" w:space="0" w:color="67B93E"/>
              <w:right w:val="single" w:sz="8" w:space="0" w:color="67B93E"/>
            </w:tcBorders>
            <w:shd w:val="clear" w:color="000000" w:fill="FFFFFF"/>
            <w:hideMark/>
          </w:tcPr>
          <w:p w14:paraId="1349375E"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6</w:t>
            </w:r>
          </w:p>
        </w:tc>
        <w:tc>
          <w:tcPr>
            <w:tcW w:w="1729" w:type="pct"/>
            <w:tcBorders>
              <w:top w:val="nil"/>
              <w:left w:val="nil"/>
              <w:bottom w:val="single" w:sz="8" w:space="0" w:color="67B93E"/>
              <w:right w:val="single" w:sz="8" w:space="0" w:color="67B93E"/>
            </w:tcBorders>
            <w:shd w:val="clear" w:color="000000" w:fill="FFFFFF"/>
            <w:hideMark/>
          </w:tcPr>
          <w:p w14:paraId="7ADDC751"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 Tunja</w:t>
            </w:r>
          </w:p>
        </w:tc>
        <w:tc>
          <w:tcPr>
            <w:tcW w:w="510" w:type="pct"/>
            <w:tcBorders>
              <w:top w:val="nil"/>
              <w:left w:val="nil"/>
              <w:bottom w:val="single" w:sz="8" w:space="0" w:color="67B93E"/>
              <w:right w:val="single" w:sz="8" w:space="0" w:color="67B93E"/>
            </w:tcBorders>
            <w:shd w:val="clear" w:color="000000" w:fill="FFFFFF"/>
            <w:vAlign w:val="center"/>
            <w:hideMark/>
          </w:tcPr>
          <w:p w14:paraId="29347B2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6</w:t>
            </w:r>
          </w:p>
        </w:tc>
        <w:tc>
          <w:tcPr>
            <w:tcW w:w="491" w:type="pct"/>
            <w:tcBorders>
              <w:top w:val="nil"/>
              <w:left w:val="nil"/>
              <w:bottom w:val="single" w:sz="8" w:space="0" w:color="67B93E"/>
              <w:right w:val="single" w:sz="8" w:space="0" w:color="67B93E"/>
            </w:tcBorders>
            <w:shd w:val="clear" w:color="000000" w:fill="FFFFFF"/>
            <w:vAlign w:val="center"/>
            <w:hideMark/>
          </w:tcPr>
          <w:p w14:paraId="5D64F2B6"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7354DBCD"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58A95263" w14:textId="2BBCCE98"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Medellín    </w:t>
            </w:r>
          </w:p>
        </w:tc>
        <w:tc>
          <w:tcPr>
            <w:tcW w:w="785" w:type="pct"/>
            <w:tcBorders>
              <w:top w:val="nil"/>
              <w:left w:val="nil"/>
              <w:bottom w:val="single" w:sz="8" w:space="0" w:color="67B93E"/>
              <w:right w:val="single" w:sz="8" w:space="0" w:color="67B93E"/>
            </w:tcBorders>
            <w:shd w:val="clear" w:color="000000" w:fill="F2F2F2"/>
            <w:hideMark/>
          </w:tcPr>
          <w:p w14:paraId="72CA862A"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6</w:t>
            </w:r>
          </w:p>
        </w:tc>
        <w:tc>
          <w:tcPr>
            <w:tcW w:w="1729" w:type="pct"/>
            <w:tcBorders>
              <w:top w:val="nil"/>
              <w:left w:val="nil"/>
              <w:bottom w:val="single" w:sz="8" w:space="0" w:color="67B93E"/>
              <w:right w:val="single" w:sz="8" w:space="0" w:color="67B93E"/>
            </w:tcBorders>
            <w:shd w:val="clear" w:color="000000" w:fill="F2F2F2"/>
            <w:hideMark/>
          </w:tcPr>
          <w:p w14:paraId="5E89F02B"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 Antioquía – Programa de Salud UDEA</w:t>
            </w:r>
          </w:p>
        </w:tc>
        <w:tc>
          <w:tcPr>
            <w:tcW w:w="510" w:type="pct"/>
            <w:tcBorders>
              <w:top w:val="nil"/>
              <w:left w:val="nil"/>
              <w:bottom w:val="single" w:sz="8" w:space="0" w:color="67B93E"/>
              <w:right w:val="single" w:sz="8" w:space="0" w:color="67B93E"/>
            </w:tcBorders>
            <w:shd w:val="clear" w:color="000000" w:fill="F2F2F2"/>
            <w:vAlign w:val="center"/>
            <w:hideMark/>
          </w:tcPr>
          <w:p w14:paraId="6CCF85A6"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6</w:t>
            </w:r>
          </w:p>
        </w:tc>
        <w:tc>
          <w:tcPr>
            <w:tcW w:w="491" w:type="pct"/>
            <w:tcBorders>
              <w:top w:val="nil"/>
              <w:left w:val="nil"/>
              <w:bottom w:val="single" w:sz="8" w:space="0" w:color="67B93E"/>
              <w:right w:val="single" w:sz="8" w:space="0" w:color="67B93E"/>
            </w:tcBorders>
            <w:shd w:val="clear" w:color="000000" w:fill="F2F2F2"/>
            <w:vAlign w:val="center"/>
            <w:hideMark/>
          </w:tcPr>
          <w:p w14:paraId="70471DF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5943A8B9"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1981304D" w14:textId="054E5F62"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Cali                </w:t>
            </w:r>
          </w:p>
        </w:tc>
        <w:tc>
          <w:tcPr>
            <w:tcW w:w="785" w:type="pct"/>
            <w:tcBorders>
              <w:top w:val="nil"/>
              <w:left w:val="nil"/>
              <w:bottom w:val="single" w:sz="8" w:space="0" w:color="67B93E"/>
              <w:right w:val="single" w:sz="8" w:space="0" w:color="67B93E"/>
            </w:tcBorders>
            <w:shd w:val="clear" w:color="000000" w:fill="FFFFFF"/>
            <w:hideMark/>
          </w:tcPr>
          <w:p w14:paraId="0C26B1F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5</w:t>
            </w:r>
          </w:p>
        </w:tc>
        <w:tc>
          <w:tcPr>
            <w:tcW w:w="1729" w:type="pct"/>
            <w:tcBorders>
              <w:top w:val="nil"/>
              <w:left w:val="nil"/>
              <w:bottom w:val="single" w:sz="8" w:space="0" w:color="67B93E"/>
              <w:right w:val="single" w:sz="8" w:space="0" w:color="67B93E"/>
            </w:tcBorders>
            <w:shd w:val="clear" w:color="000000" w:fill="FFFFFF"/>
            <w:hideMark/>
          </w:tcPr>
          <w:p w14:paraId="43855EB1"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del Valle – SERVISALUD</w:t>
            </w:r>
          </w:p>
        </w:tc>
        <w:tc>
          <w:tcPr>
            <w:tcW w:w="510" w:type="pct"/>
            <w:tcBorders>
              <w:top w:val="nil"/>
              <w:left w:val="nil"/>
              <w:bottom w:val="single" w:sz="8" w:space="0" w:color="67B93E"/>
              <w:right w:val="single" w:sz="8" w:space="0" w:color="67B93E"/>
            </w:tcBorders>
            <w:shd w:val="clear" w:color="000000" w:fill="FFFFFF"/>
            <w:vAlign w:val="center"/>
            <w:hideMark/>
          </w:tcPr>
          <w:p w14:paraId="6E8E749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5</w:t>
            </w:r>
          </w:p>
        </w:tc>
        <w:tc>
          <w:tcPr>
            <w:tcW w:w="491" w:type="pct"/>
            <w:tcBorders>
              <w:top w:val="nil"/>
              <w:left w:val="nil"/>
              <w:bottom w:val="single" w:sz="8" w:space="0" w:color="67B93E"/>
              <w:right w:val="single" w:sz="8" w:space="0" w:color="67B93E"/>
            </w:tcBorders>
            <w:shd w:val="clear" w:color="000000" w:fill="FFFFFF"/>
            <w:vAlign w:val="center"/>
            <w:hideMark/>
          </w:tcPr>
          <w:p w14:paraId="6A1C430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7075745F"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13ACAADC" w14:textId="2AADF4FD"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lastRenderedPageBreak/>
              <w:t>Manizales      </w:t>
            </w:r>
          </w:p>
        </w:tc>
        <w:tc>
          <w:tcPr>
            <w:tcW w:w="785" w:type="pct"/>
            <w:tcBorders>
              <w:top w:val="nil"/>
              <w:left w:val="nil"/>
              <w:bottom w:val="single" w:sz="8" w:space="0" w:color="67B93E"/>
              <w:right w:val="single" w:sz="8" w:space="0" w:color="67B93E"/>
            </w:tcBorders>
            <w:shd w:val="clear" w:color="000000" w:fill="F2F2F2"/>
            <w:hideMark/>
          </w:tcPr>
          <w:p w14:paraId="622371BE"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5</w:t>
            </w:r>
          </w:p>
        </w:tc>
        <w:tc>
          <w:tcPr>
            <w:tcW w:w="1729" w:type="pct"/>
            <w:tcBorders>
              <w:top w:val="nil"/>
              <w:left w:val="nil"/>
              <w:bottom w:val="single" w:sz="8" w:space="0" w:color="67B93E"/>
              <w:right w:val="single" w:sz="8" w:space="0" w:color="67B93E"/>
            </w:tcBorders>
            <w:shd w:val="clear" w:color="000000" w:fill="F2F2F2"/>
            <w:hideMark/>
          </w:tcPr>
          <w:p w14:paraId="04CF6C3B"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Nacional de Colombia - UNISALUD UNAL Sede Manizales</w:t>
            </w:r>
          </w:p>
        </w:tc>
        <w:tc>
          <w:tcPr>
            <w:tcW w:w="510" w:type="pct"/>
            <w:tcBorders>
              <w:top w:val="nil"/>
              <w:left w:val="nil"/>
              <w:bottom w:val="single" w:sz="8" w:space="0" w:color="67B93E"/>
              <w:right w:val="single" w:sz="8" w:space="0" w:color="67B93E"/>
            </w:tcBorders>
            <w:shd w:val="clear" w:color="000000" w:fill="F2F2F2"/>
            <w:vAlign w:val="center"/>
            <w:hideMark/>
          </w:tcPr>
          <w:p w14:paraId="2477BD9F"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5</w:t>
            </w:r>
          </w:p>
        </w:tc>
        <w:tc>
          <w:tcPr>
            <w:tcW w:w="491" w:type="pct"/>
            <w:tcBorders>
              <w:top w:val="nil"/>
              <w:left w:val="nil"/>
              <w:bottom w:val="single" w:sz="8" w:space="0" w:color="67B93E"/>
              <w:right w:val="single" w:sz="8" w:space="0" w:color="67B93E"/>
            </w:tcBorders>
            <w:shd w:val="clear" w:color="000000" w:fill="F2F2F2"/>
            <w:vAlign w:val="center"/>
            <w:hideMark/>
          </w:tcPr>
          <w:p w14:paraId="20B23A5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7E352606"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64FE4D02" w14:textId="6E9C6533"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proofErr w:type="spellStart"/>
            <w:r w:rsidRPr="007B3338">
              <w:rPr>
                <w:rFonts w:ascii="Humanst521 BT" w:eastAsia="Times New Roman" w:hAnsi="Humanst521 BT" w:cs="Arial"/>
                <w:color w:val="000000"/>
                <w:sz w:val="20"/>
                <w:szCs w:val="20"/>
                <w:lang w:val="es-CO" w:eastAsia="es-CO"/>
              </w:rPr>
              <w:t>Lebríja</w:t>
            </w:r>
            <w:proofErr w:type="spellEnd"/>
            <w:r w:rsidRPr="007B3338">
              <w:rPr>
                <w:rFonts w:ascii="Humanst521 BT" w:eastAsia="Times New Roman" w:hAnsi="Humanst521 BT" w:cs="Arial"/>
                <w:color w:val="000000"/>
                <w:sz w:val="20"/>
                <w:szCs w:val="20"/>
                <w:lang w:val="es-CO" w:eastAsia="es-CO"/>
              </w:rPr>
              <w:t>      </w:t>
            </w:r>
          </w:p>
        </w:tc>
        <w:tc>
          <w:tcPr>
            <w:tcW w:w="785" w:type="pct"/>
            <w:tcBorders>
              <w:top w:val="nil"/>
              <w:left w:val="nil"/>
              <w:bottom w:val="single" w:sz="8" w:space="0" w:color="67B93E"/>
              <w:right w:val="single" w:sz="8" w:space="0" w:color="67B93E"/>
            </w:tcBorders>
            <w:shd w:val="clear" w:color="000000" w:fill="FFFFFF"/>
            <w:hideMark/>
          </w:tcPr>
          <w:p w14:paraId="0ADD202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4</w:t>
            </w:r>
          </w:p>
        </w:tc>
        <w:tc>
          <w:tcPr>
            <w:tcW w:w="1729" w:type="pct"/>
            <w:tcBorders>
              <w:top w:val="nil"/>
              <w:left w:val="nil"/>
              <w:bottom w:val="single" w:sz="8" w:space="0" w:color="67B93E"/>
              <w:right w:val="single" w:sz="8" w:space="0" w:color="67B93E"/>
            </w:tcBorders>
            <w:shd w:val="clear" w:color="000000" w:fill="FFFFFF"/>
            <w:hideMark/>
          </w:tcPr>
          <w:p w14:paraId="6027CE50"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FFFFF"/>
            <w:vAlign w:val="center"/>
            <w:hideMark/>
          </w:tcPr>
          <w:p w14:paraId="7222B1D8"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4</w:t>
            </w:r>
          </w:p>
        </w:tc>
        <w:tc>
          <w:tcPr>
            <w:tcW w:w="491" w:type="pct"/>
            <w:tcBorders>
              <w:top w:val="nil"/>
              <w:left w:val="nil"/>
              <w:bottom w:val="single" w:sz="8" w:space="0" w:color="67B93E"/>
              <w:right w:val="single" w:sz="8" w:space="0" w:color="67B93E"/>
            </w:tcBorders>
            <w:shd w:val="clear" w:color="000000" w:fill="FFFFFF"/>
            <w:vAlign w:val="center"/>
            <w:hideMark/>
          </w:tcPr>
          <w:p w14:paraId="380DA30E"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62405718"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5800C17E" w14:textId="00E346D3"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Cajicá    </w:t>
            </w:r>
          </w:p>
        </w:tc>
        <w:tc>
          <w:tcPr>
            <w:tcW w:w="785" w:type="pct"/>
            <w:tcBorders>
              <w:top w:val="nil"/>
              <w:left w:val="nil"/>
              <w:bottom w:val="single" w:sz="8" w:space="0" w:color="67B93E"/>
              <w:right w:val="single" w:sz="8" w:space="0" w:color="67B93E"/>
            </w:tcBorders>
            <w:shd w:val="clear" w:color="000000" w:fill="F2F2F2"/>
            <w:hideMark/>
          </w:tcPr>
          <w:p w14:paraId="300BEEC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3</w:t>
            </w:r>
          </w:p>
        </w:tc>
        <w:tc>
          <w:tcPr>
            <w:tcW w:w="1729" w:type="pct"/>
            <w:tcBorders>
              <w:top w:val="nil"/>
              <w:left w:val="nil"/>
              <w:bottom w:val="single" w:sz="8" w:space="0" w:color="67B93E"/>
              <w:right w:val="single" w:sz="8" w:space="0" w:color="67B93E"/>
            </w:tcBorders>
            <w:shd w:val="clear" w:color="000000" w:fill="F2F2F2"/>
            <w:hideMark/>
          </w:tcPr>
          <w:p w14:paraId="54D4AA6D"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Nacional de Colombia - UNISALUD UNAL Sede Bogotá</w:t>
            </w:r>
          </w:p>
        </w:tc>
        <w:tc>
          <w:tcPr>
            <w:tcW w:w="510" w:type="pct"/>
            <w:tcBorders>
              <w:top w:val="nil"/>
              <w:left w:val="nil"/>
              <w:bottom w:val="single" w:sz="8" w:space="0" w:color="67B93E"/>
              <w:right w:val="single" w:sz="8" w:space="0" w:color="67B93E"/>
            </w:tcBorders>
            <w:shd w:val="clear" w:color="000000" w:fill="F2F2F2"/>
            <w:vAlign w:val="center"/>
            <w:hideMark/>
          </w:tcPr>
          <w:p w14:paraId="7D9AF8C7"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3</w:t>
            </w:r>
          </w:p>
        </w:tc>
        <w:tc>
          <w:tcPr>
            <w:tcW w:w="491" w:type="pct"/>
            <w:tcBorders>
              <w:top w:val="nil"/>
              <w:left w:val="nil"/>
              <w:bottom w:val="single" w:sz="8" w:space="0" w:color="67B93E"/>
              <w:right w:val="single" w:sz="8" w:space="0" w:color="67B93E"/>
            </w:tcBorders>
            <w:shd w:val="clear" w:color="000000" w:fill="F2F2F2"/>
            <w:vAlign w:val="center"/>
            <w:hideMark/>
          </w:tcPr>
          <w:p w14:paraId="3D46DAB0"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7BB3140C"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595A26A8" w14:textId="2A20B258"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Envigado  </w:t>
            </w:r>
          </w:p>
        </w:tc>
        <w:tc>
          <w:tcPr>
            <w:tcW w:w="785" w:type="pct"/>
            <w:tcBorders>
              <w:top w:val="nil"/>
              <w:left w:val="nil"/>
              <w:bottom w:val="single" w:sz="8" w:space="0" w:color="67B93E"/>
              <w:right w:val="single" w:sz="8" w:space="0" w:color="67B93E"/>
            </w:tcBorders>
            <w:shd w:val="clear" w:color="000000" w:fill="FFFFFF"/>
            <w:hideMark/>
          </w:tcPr>
          <w:p w14:paraId="7289ED4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3</w:t>
            </w:r>
          </w:p>
        </w:tc>
        <w:tc>
          <w:tcPr>
            <w:tcW w:w="1729" w:type="pct"/>
            <w:tcBorders>
              <w:top w:val="nil"/>
              <w:left w:val="nil"/>
              <w:bottom w:val="single" w:sz="8" w:space="0" w:color="67B93E"/>
              <w:right w:val="single" w:sz="8" w:space="0" w:color="67B93E"/>
            </w:tcBorders>
            <w:shd w:val="clear" w:color="000000" w:fill="FFFFFF"/>
            <w:hideMark/>
          </w:tcPr>
          <w:p w14:paraId="30615686"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 Antioquía – Programa de Salud UDEA</w:t>
            </w:r>
          </w:p>
        </w:tc>
        <w:tc>
          <w:tcPr>
            <w:tcW w:w="510" w:type="pct"/>
            <w:tcBorders>
              <w:top w:val="nil"/>
              <w:left w:val="nil"/>
              <w:bottom w:val="single" w:sz="8" w:space="0" w:color="67B93E"/>
              <w:right w:val="single" w:sz="8" w:space="0" w:color="67B93E"/>
            </w:tcBorders>
            <w:shd w:val="clear" w:color="000000" w:fill="FFFFFF"/>
            <w:vAlign w:val="center"/>
            <w:hideMark/>
          </w:tcPr>
          <w:p w14:paraId="21412B5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3</w:t>
            </w:r>
          </w:p>
        </w:tc>
        <w:tc>
          <w:tcPr>
            <w:tcW w:w="491" w:type="pct"/>
            <w:tcBorders>
              <w:top w:val="nil"/>
              <w:left w:val="nil"/>
              <w:bottom w:val="single" w:sz="8" w:space="0" w:color="67B93E"/>
              <w:right w:val="single" w:sz="8" w:space="0" w:color="67B93E"/>
            </w:tcBorders>
            <w:shd w:val="clear" w:color="000000" w:fill="FFFFFF"/>
            <w:vAlign w:val="center"/>
            <w:hideMark/>
          </w:tcPr>
          <w:p w14:paraId="5C27BE0E"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65069F4D"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2014FEF5" w14:textId="43669B75"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Mogotes    </w:t>
            </w:r>
          </w:p>
        </w:tc>
        <w:tc>
          <w:tcPr>
            <w:tcW w:w="785" w:type="pct"/>
            <w:tcBorders>
              <w:top w:val="nil"/>
              <w:left w:val="nil"/>
              <w:bottom w:val="single" w:sz="8" w:space="0" w:color="67B93E"/>
              <w:right w:val="single" w:sz="8" w:space="0" w:color="67B93E"/>
            </w:tcBorders>
            <w:shd w:val="clear" w:color="000000" w:fill="F2F2F2"/>
            <w:hideMark/>
          </w:tcPr>
          <w:p w14:paraId="6085B460"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3</w:t>
            </w:r>
          </w:p>
        </w:tc>
        <w:tc>
          <w:tcPr>
            <w:tcW w:w="1729" w:type="pct"/>
            <w:tcBorders>
              <w:top w:val="nil"/>
              <w:left w:val="nil"/>
              <w:bottom w:val="single" w:sz="8" w:space="0" w:color="67B93E"/>
              <w:right w:val="single" w:sz="8" w:space="0" w:color="67B93E"/>
            </w:tcBorders>
            <w:shd w:val="clear" w:color="000000" w:fill="F2F2F2"/>
            <w:hideMark/>
          </w:tcPr>
          <w:p w14:paraId="0465A9A2"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Hospital Manuela Beltrán</w:t>
            </w:r>
          </w:p>
        </w:tc>
        <w:tc>
          <w:tcPr>
            <w:tcW w:w="510" w:type="pct"/>
            <w:tcBorders>
              <w:top w:val="nil"/>
              <w:left w:val="nil"/>
              <w:bottom w:val="single" w:sz="8" w:space="0" w:color="67B93E"/>
              <w:right w:val="single" w:sz="8" w:space="0" w:color="67B93E"/>
            </w:tcBorders>
            <w:shd w:val="clear" w:color="000000" w:fill="F2F2F2"/>
            <w:vAlign w:val="center"/>
            <w:hideMark/>
          </w:tcPr>
          <w:p w14:paraId="4B296EC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3</w:t>
            </w:r>
          </w:p>
        </w:tc>
        <w:tc>
          <w:tcPr>
            <w:tcW w:w="491" w:type="pct"/>
            <w:tcBorders>
              <w:top w:val="nil"/>
              <w:left w:val="nil"/>
              <w:bottom w:val="single" w:sz="8" w:space="0" w:color="67B93E"/>
              <w:right w:val="single" w:sz="8" w:space="0" w:color="67B93E"/>
            </w:tcBorders>
            <w:shd w:val="clear" w:color="000000" w:fill="F2F2F2"/>
            <w:vAlign w:val="center"/>
            <w:hideMark/>
          </w:tcPr>
          <w:p w14:paraId="0F8B108D"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0673829C"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4A1A4203" w14:textId="5266B36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Barbosa   </w:t>
            </w:r>
          </w:p>
        </w:tc>
        <w:tc>
          <w:tcPr>
            <w:tcW w:w="785" w:type="pct"/>
            <w:tcBorders>
              <w:top w:val="nil"/>
              <w:left w:val="nil"/>
              <w:bottom w:val="single" w:sz="8" w:space="0" w:color="67B93E"/>
              <w:right w:val="single" w:sz="8" w:space="0" w:color="67B93E"/>
            </w:tcBorders>
            <w:shd w:val="clear" w:color="000000" w:fill="FFFFFF"/>
            <w:hideMark/>
          </w:tcPr>
          <w:p w14:paraId="6C633C49"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1729" w:type="pct"/>
            <w:tcBorders>
              <w:top w:val="nil"/>
              <w:left w:val="nil"/>
              <w:bottom w:val="single" w:sz="8" w:space="0" w:color="67B93E"/>
              <w:right w:val="single" w:sz="8" w:space="0" w:color="67B93E"/>
            </w:tcBorders>
            <w:shd w:val="clear" w:color="000000" w:fill="FFFFFF"/>
            <w:hideMark/>
          </w:tcPr>
          <w:p w14:paraId="360CBC7F"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 Tunja</w:t>
            </w:r>
          </w:p>
        </w:tc>
        <w:tc>
          <w:tcPr>
            <w:tcW w:w="510" w:type="pct"/>
            <w:tcBorders>
              <w:top w:val="nil"/>
              <w:left w:val="nil"/>
              <w:bottom w:val="single" w:sz="8" w:space="0" w:color="67B93E"/>
              <w:right w:val="single" w:sz="8" w:space="0" w:color="67B93E"/>
            </w:tcBorders>
            <w:shd w:val="clear" w:color="000000" w:fill="FFFFFF"/>
            <w:vAlign w:val="center"/>
            <w:hideMark/>
          </w:tcPr>
          <w:p w14:paraId="21A8374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491" w:type="pct"/>
            <w:tcBorders>
              <w:top w:val="nil"/>
              <w:left w:val="nil"/>
              <w:bottom w:val="single" w:sz="8" w:space="0" w:color="67B93E"/>
              <w:right w:val="single" w:sz="8" w:space="0" w:color="67B93E"/>
            </w:tcBorders>
            <w:shd w:val="clear" w:color="000000" w:fill="FFFFFF"/>
            <w:vAlign w:val="center"/>
            <w:hideMark/>
          </w:tcPr>
          <w:p w14:paraId="4D5D117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0E83ED96"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18664AA1" w14:textId="48FD5B1F"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Barrancabermeja           </w:t>
            </w:r>
          </w:p>
        </w:tc>
        <w:tc>
          <w:tcPr>
            <w:tcW w:w="785" w:type="pct"/>
            <w:tcBorders>
              <w:top w:val="nil"/>
              <w:left w:val="nil"/>
              <w:bottom w:val="single" w:sz="8" w:space="0" w:color="67B93E"/>
              <w:right w:val="single" w:sz="8" w:space="0" w:color="67B93E"/>
            </w:tcBorders>
            <w:shd w:val="clear" w:color="000000" w:fill="F2F2F2"/>
            <w:hideMark/>
          </w:tcPr>
          <w:p w14:paraId="2749BF8F"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1729" w:type="pct"/>
            <w:tcBorders>
              <w:top w:val="nil"/>
              <w:left w:val="nil"/>
              <w:bottom w:val="single" w:sz="8" w:space="0" w:color="67B93E"/>
              <w:right w:val="single" w:sz="8" w:space="0" w:color="67B93E"/>
            </w:tcBorders>
            <w:shd w:val="clear" w:color="000000" w:fill="F2F2F2"/>
            <w:hideMark/>
          </w:tcPr>
          <w:p w14:paraId="534685D9"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2F2F2"/>
            <w:vAlign w:val="center"/>
            <w:hideMark/>
          </w:tcPr>
          <w:p w14:paraId="5389B8D0"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491" w:type="pct"/>
            <w:tcBorders>
              <w:top w:val="nil"/>
              <w:left w:val="nil"/>
              <w:bottom w:val="single" w:sz="8" w:space="0" w:color="67B93E"/>
              <w:right w:val="single" w:sz="8" w:space="0" w:color="67B93E"/>
            </w:tcBorders>
            <w:shd w:val="clear" w:color="000000" w:fill="F2F2F2"/>
            <w:vAlign w:val="center"/>
            <w:hideMark/>
          </w:tcPr>
          <w:p w14:paraId="6583DB60"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2A393323"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763E42B2" w14:textId="3A9D92E6"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Ibagué       </w:t>
            </w:r>
          </w:p>
        </w:tc>
        <w:tc>
          <w:tcPr>
            <w:tcW w:w="785" w:type="pct"/>
            <w:tcBorders>
              <w:top w:val="nil"/>
              <w:left w:val="nil"/>
              <w:bottom w:val="single" w:sz="8" w:space="0" w:color="67B93E"/>
              <w:right w:val="single" w:sz="8" w:space="0" w:color="67B93E"/>
            </w:tcBorders>
            <w:shd w:val="clear" w:color="000000" w:fill="FFFFFF"/>
            <w:hideMark/>
          </w:tcPr>
          <w:p w14:paraId="4D91912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1729" w:type="pct"/>
            <w:tcBorders>
              <w:top w:val="nil"/>
              <w:left w:val="nil"/>
              <w:bottom w:val="single" w:sz="8" w:space="0" w:color="67B93E"/>
              <w:right w:val="single" w:sz="8" w:space="0" w:color="67B93E"/>
            </w:tcBorders>
            <w:shd w:val="clear" w:color="000000" w:fill="FFFFFF"/>
            <w:hideMark/>
          </w:tcPr>
          <w:p w14:paraId="6479C9E6"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En proceso</w:t>
            </w:r>
          </w:p>
        </w:tc>
        <w:tc>
          <w:tcPr>
            <w:tcW w:w="510" w:type="pct"/>
            <w:tcBorders>
              <w:top w:val="nil"/>
              <w:left w:val="nil"/>
              <w:bottom w:val="single" w:sz="8" w:space="0" w:color="67B93E"/>
              <w:right w:val="single" w:sz="8" w:space="0" w:color="67B93E"/>
            </w:tcBorders>
            <w:shd w:val="clear" w:color="000000" w:fill="FFFFFF"/>
            <w:vAlign w:val="center"/>
            <w:hideMark/>
          </w:tcPr>
          <w:p w14:paraId="2F4362C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0</w:t>
            </w:r>
          </w:p>
        </w:tc>
        <w:tc>
          <w:tcPr>
            <w:tcW w:w="491" w:type="pct"/>
            <w:tcBorders>
              <w:top w:val="nil"/>
              <w:left w:val="nil"/>
              <w:bottom w:val="single" w:sz="8" w:space="0" w:color="67B93E"/>
              <w:right w:val="single" w:sz="8" w:space="0" w:color="67B93E"/>
            </w:tcBorders>
            <w:shd w:val="clear" w:color="000000" w:fill="FFFFFF"/>
            <w:vAlign w:val="center"/>
            <w:hideMark/>
          </w:tcPr>
          <w:p w14:paraId="47307D06"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0%</w:t>
            </w:r>
          </w:p>
        </w:tc>
      </w:tr>
      <w:tr w:rsidR="00B65BBB" w:rsidRPr="007B3338" w14:paraId="70466E95"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6F6B8507" w14:textId="4A1944D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Jamundí    </w:t>
            </w:r>
          </w:p>
        </w:tc>
        <w:tc>
          <w:tcPr>
            <w:tcW w:w="785" w:type="pct"/>
            <w:tcBorders>
              <w:top w:val="nil"/>
              <w:left w:val="nil"/>
              <w:bottom w:val="single" w:sz="8" w:space="0" w:color="67B93E"/>
              <w:right w:val="single" w:sz="8" w:space="0" w:color="67B93E"/>
            </w:tcBorders>
            <w:shd w:val="clear" w:color="000000" w:fill="F2F2F2"/>
            <w:hideMark/>
          </w:tcPr>
          <w:p w14:paraId="0ADB4A0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1729" w:type="pct"/>
            <w:tcBorders>
              <w:top w:val="nil"/>
              <w:left w:val="nil"/>
              <w:bottom w:val="single" w:sz="8" w:space="0" w:color="67B93E"/>
              <w:right w:val="single" w:sz="8" w:space="0" w:color="67B93E"/>
            </w:tcBorders>
            <w:shd w:val="clear" w:color="000000" w:fill="F2F2F2"/>
            <w:hideMark/>
          </w:tcPr>
          <w:p w14:paraId="19B43C13"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del Valle – SERVISALUD</w:t>
            </w:r>
          </w:p>
        </w:tc>
        <w:tc>
          <w:tcPr>
            <w:tcW w:w="510" w:type="pct"/>
            <w:tcBorders>
              <w:top w:val="nil"/>
              <w:left w:val="nil"/>
              <w:bottom w:val="single" w:sz="8" w:space="0" w:color="67B93E"/>
              <w:right w:val="single" w:sz="8" w:space="0" w:color="67B93E"/>
            </w:tcBorders>
            <w:shd w:val="clear" w:color="000000" w:fill="F2F2F2"/>
            <w:vAlign w:val="center"/>
            <w:hideMark/>
          </w:tcPr>
          <w:p w14:paraId="32716198"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491" w:type="pct"/>
            <w:tcBorders>
              <w:top w:val="nil"/>
              <w:left w:val="nil"/>
              <w:bottom w:val="single" w:sz="8" w:space="0" w:color="67B93E"/>
              <w:right w:val="single" w:sz="8" w:space="0" w:color="67B93E"/>
            </w:tcBorders>
            <w:shd w:val="clear" w:color="000000" w:fill="F2F2F2"/>
            <w:vAlign w:val="center"/>
            <w:hideMark/>
          </w:tcPr>
          <w:p w14:paraId="42B9E301"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5A6E45DC"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590D466F"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Los Santos   </w:t>
            </w:r>
          </w:p>
        </w:tc>
        <w:tc>
          <w:tcPr>
            <w:tcW w:w="785" w:type="pct"/>
            <w:tcBorders>
              <w:top w:val="nil"/>
              <w:left w:val="nil"/>
              <w:bottom w:val="single" w:sz="8" w:space="0" w:color="67B93E"/>
              <w:right w:val="single" w:sz="8" w:space="0" w:color="67B93E"/>
            </w:tcBorders>
            <w:shd w:val="clear" w:color="000000" w:fill="FFFFFF"/>
            <w:hideMark/>
          </w:tcPr>
          <w:p w14:paraId="6D53F759"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1729" w:type="pct"/>
            <w:tcBorders>
              <w:top w:val="nil"/>
              <w:left w:val="nil"/>
              <w:bottom w:val="single" w:sz="8" w:space="0" w:color="67B93E"/>
              <w:right w:val="single" w:sz="8" w:space="0" w:color="67B93E"/>
            </w:tcBorders>
            <w:shd w:val="clear" w:color="000000" w:fill="FFFFFF"/>
            <w:hideMark/>
          </w:tcPr>
          <w:p w14:paraId="4945082B"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FFFFF"/>
            <w:vAlign w:val="center"/>
            <w:hideMark/>
          </w:tcPr>
          <w:p w14:paraId="785736C1"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491" w:type="pct"/>
            <w:tcBorders>
              <w:top w:val="nil"/>
              <w:left w:val="nil"/>
              <w:bottom w:val="single" w:sz="8" w:space="0" w:color="67B93E"/>
              <w:right w:val="single" w:sz="8" w:space="0" w:color="67B93E"/>
            </w:tcBorders>
            <w:shd w:val="clear" w:color="000000" w:fill="FFFFFF"/>
            <w:vAlign w:val="center"/>
            <w:hideMark/>
          </w:tcPr>
          <w:p w14:paraId="44DC81D9"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0474B10D"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537AF591"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Santa Marta   </w:t>
            </w:r>
          </w:p>
        </w:tc>
        <w:tc>
          <w:tcPr>
            <w:tcW w:w="785" w:type="pct"/>
            <w:tcBorders>
              <w:top w:val="nil"/>
              <w:left w:val="nil"/>
              <w:bottom w:val="single" w:sz="8" w:space="0" w:color="67B93E"/>
              <w:right w:val="single" w:sz="8" w:space="0" w:color="67B93E"/>
            </w:tcBorders>
            <w:shd w:val="clear" w:color="000000" w:fill="F2F2F2"/>
            <w:hideMark/>
          </w:tcPr>
          <w:p w14:paraId="2F2BA40D"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2</w:t>
            </w:r>
          </w:p>
        </w:tc>
        <w:tc>
          <w:tcPr>
            <w:tcW w:w="1729" w:type="pct"/>
            <w:tcBorders>
              <w:top w:val="nil"/>
              <w:left w:val="nil"/>
              <w:bottom w:val="single" w:sz="8" w:space="0" w:color="67B93E"/>
              <w:right w:val="single" w:sz="8" w:space="0" w:color="67B93E"/>
            </w:tcBorders>
            <w:shd w:val="clear" w:color="000000" w:fill="F2F2F2"/>
            <w:hideMark/>
          </w:tcPr>
          <w:p w14:paraId="38416189"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En proceso</w:t>
            </w:r>
          </w:p>
        </w:tc>
        <w:tc>
          <w:tcPr>
            <w:tcW w:w="510" w:type="pct"/>
            <w:tcBorders>
              <w:top w:val="nil"/>
              <w:left w:val="nil"/>
              <w:bottom w:val="single" w:sz="8" w:space="0" w:color="67B93E"/>
              <w:right w:val="single" w:sz="8" w:space="0" w:color="67B93E"/>
            </w:tcBorders>
            <w:shd w:val="clear" w:color="000000" w:fill="F2F2F2"/>
            <w:vAlign w:val="center"/>
            <w:hideMark/>
          </w:tcPr>
          <w:p w14:paraId="3F47A44E"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0</w:t>
            </w:r>
          </w:p>
        </w:tc>
        <w:tc>
          <w:tcPr>
            <w:tcW w:w="491" w:type="pct"/>
            <w:tcBorders>
              <w:top w:val="nil"/>
              <w:left w:val="nil"/>
              <w:bottom w:val="single" w:sz="8" w:space="0" w:color="67B93E"/>
              <w:right w:val="single" w:sz="8" w:space="0" w:color="67B93E"/>
            </w:tcBorders>
            <w:shd w:val="clear" w:color="000000" w:fill="F2F2F2"/>
            <w:vAlign w:val="center"/>
            <w:hideMark/>
          </w:tcPr>
          <w:p w14:paraId="3A770E84"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0%</w:t>
            </w:r>
          </w:p>
        </w:tc>
      </w:tr>
      <w:tr w:rsidR="00B65BBB" w:rsidRPr="007B3338" w14:paraId="6BBC3D09"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0BB90410" w14:textId="47979F8A"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Charalá                            </w:t>
            </w:r>
          </w:p>
        </w:tc>
        <w:tc>
          <w:tcPr>
            <w:tcW w:w="785" w:type="pct"/>
            <w:tcBorders>
              <w:top w:val="nil"/>
              <w:left w:val="nil"/>
              <w:bottom w:val="single" w:sz="8" w:space="0" w:color="67B93E"/>
              <w:right w:val="single" w:sz="8" w:space="0" w:color="67B93E"/>
            </w:tcBorders>
            <w:shd w:val="clear" w:color="000000" w:fill="FFFFFF"/>
            <w:hideMark/>
          </w:tcPr>
          <w:p w14:paraId="53DD801A"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FFFFF"/>
            <w:hideMark/>
          </w:tcPr>
          <w:p w14:paraId="73883850"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Hospital Manuela Beltrán</w:t>
            </w:r>
          </w:p>
        </w:tc>
        <w:tc>
          <w:tcPr>
            <w:tcW w:w="510" w:type="pct"/>
            <w:tcBorders>
              <w:top w:val="nil"/>
              <w:left w:val="nil"/>
              <w:bottom w:val="single" w:sz="8" w:space="0" w:color="67B93E"/>
              <w:right w:val="single" w:sz="8" w:space="0" w:color="67B93E"/>
            </w:tcBorders>
            <w:shd w:val="clear" w:color="000000" w:fill="FFFFFF"/>
            <w:vAlign w:val="center"/>
            <w:hideMark/>
          </w:tcPr>
          <w:p w14:paraId="4BE55138"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FFFFF"/>
            <w:vAlign w:val="center"/>
            <w:hideMark/>
          </w:tcPr>
          <w:p w14:paraId="3769AA6F"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37F2CF66"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2F7E84DF" w14:textId="1ED0551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Contratación       </w:t>
            </w:r>
          </w:p>
        </w:tc>
        <w:tc>
          <w:tcPr>
            <w:tcW w:w="785" w:type="pct"/>
            <w:tcBorders>
              <w:top w:val="nil"/>
              <w:left w:val="nil"/>
              <w:bottom w:val="single" w:sz="8" w:space="0" w:color="67B93E"/>
              <w:right w:val="single" w:sz="8" w:space="0" w:color="67B93E"/>
            </w:tcBorders>
            <w:shd w:val="clear" w:color="000000" w:fill="F2F2F2"/>
            <w:hideMark/>
          </w:tcPr>
          <w:p w14:paraId="23BC2991"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2F2F2"/>
            <w:hideMark/>
          </w:tcPr>
          <w:p w14:paraId="04936F41"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Hospital Manuela Beltrán</w:t>
            </w:r>
          </w:p>
        </w:tc>
        <w:tc>
          <w:tcPr>
            <w:tcW w:w="510" w:type="pct"/>
            <w:tcBorders>
              <w:top w:val="nil"/>
              <w:left w:val="nil"/>
              <w:bottom w:val="single" w:sz="8" w:space="0" w:color="67B93E"/>
              <w:right w:val="single" w:sz="8" w:space="0" w:color="67B93E"/>
            </w:tcBorders>
            <w:shd w:val="clear" w:color="000000" w:fill="F2F2F2"/>
            <w:vAlign w:val="center"/>
            <w:hideMark/>
          </w:tcPr>
          <w:p w14:paraId="271FC058"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2F2F2"/>
            <w:vAlign w:val="center"/>
            <w:hideMark/>
          </w:tcPr>
          <w:p w14:paraId="0822BE7F"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0C9EED47"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790B5DE8" w14:textId="395D12AC"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Curití          </w:t>
            </w:r>
          </w:p>
        </w:tc>
        <w:tc>
          <w:tcPr>
            <w:tcW w:w="785" w:type="pct"/>
            <w:tcBorders>
              <w:top w:val="nil"/>
              <w:left w:val="nil"/>
              <w:bottom w:val="single" w:sz="8" w:space="0" w:color="67B93E"/>
              <w:right w:val="single" w:sz="8" w:space="0" w:color="67B93E"/>
            </w:tcBorders>
            <w:shd w:val="clear" w:color="000000" w:fill="FFFFFF"/>
            <w:hideMark/>
          </w:tcPr>
          <w:p w14:paraId="441E9607"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FFFFF"/>
            <w:hideMark/>
          </w:tcPr>
          <w:p w14:paraId="646E510C"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Hospital Manuela Beltrán</w:t>
            </w:r>
          </w:p>
        </w:tc>
        <w:tc>
          <w:tcPr>
            <w:tcW w:w="510" w:type="pct"/>
            <w:tcBorders>
              <w:top w:val="nil"/>
              <w:left w:val="nil"/>
              <w:bottom w:val="single" w:sz="8" w:space="0" w:color="67B93E"/>
              <w:right w:val="single" w:sz="8" w:space="0" w:color="67B93E"/>
            </w:tcBorders>
            <w:shd w:val="clear" w:color="000000" w:fill="FFFFFF"/>
            <w:vAlign w:val="center"/>
            <w:hideMark/>
          </w:tcPr>
          <w:p w14:paraId="772836A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FFFFF"/>
            <w:vAlign w:val="center"/>
            <w:hideMark/>
          </w:tcPr>
          <w:p w14:paraId="5CC50007"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06E6362E"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48018360"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La Ceja   </w:t>
            </w:r>
          </w:p>
        </w:tc>
        <w:tc>
          <w:tcPr>
            <w:tcW w:w="785" w:type="pct"/>
            <w:tcBorders>
              <w:top w:val="nil"/>
              <w:left w:val="nil"/>
              <w:bottom w:val="single" w:sz="8" w:space="0" w:color="67B93E"/>
              <w:right w:val="single" w:sz="8" w:space="0" w:color="67B93E"/>
            </w:tcBorders>
            <w:shd w:val="clear" w:color="000000" w:fill="F2F2F2"/>
            <w:hideMark/>
          </w:tcPr>
          <w:p w14:paraId="7D19D7C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2F2F2"/>
            <w:hideMark/>
          </w:tcPr>
          <w:p w14:paraId="63771E2B"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Nacional de Colombia - UNISALUD UNAL Sede Bogotá</w:t>
            </w:r>
          </w:p>
        </w:tc>
        <w:tc>
          <w:tcPr>
            <w:tcW w:w="510" w:type="pct"/>
            <w:tcBorders>
              <w:top w:val="nil"/>
              <w:left w:val="nil"/>
              <w:bottom w:val="single" w:sz="8" w:space="0" w:color="67B93E"/>
              <w:right w:val="single" w:sz="8" w:space="0" w:color="67B93E"/>
            </w:tcBorders>
            <w:shd w:val="clear" w:color="000000" w:fill="F2F2F2"/>
            <w:vAlign w:val="center"/>
            <w:hideMark/>
          </w:tcPr>
          <w:p w14:paraId="6BCD38A7"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2F2F2"/>
            <w:vAlign w:val="center"/>
            <w:hideMark/>
          </w:tcPr>
          <w:p w14:paraId="3B034120"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70D81C88"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48B9361D" w14:textId="42A2169E"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Moniquirá         </w:t>
            </w:r>
          </w:p>
        </w:tc>
        <w:tc>
          <w:tcPr>
            <w:tcW w:w="785" w:type="pct"/>
            <w:tcBorders>
              <w:top w:val="nil"/>
              <w:left w:val="nil"/>
              <w:bottom w:val="single" w:sz="8" w:space="0" w:color="67B93E"/>
              <w:right w:val="single" w:sz="8" w:space="0" w:color="67B93E"/>
            </w:tcBorders>
            <w:shd w:val="clear" w:color="000000" w:fill="FFFFFF"/>
            <w:hideMark/>
          </w:tcPr>
          <w:p w14:paraId="045DC13E"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FFFFF"/>
            <w:hideMark/>
          </w:tcPr>
          <w:p w14:paraId="1BCB1EAC"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 Tunja</w:t>
            </w:r>
          </w:p>
        </w:tc>
        <w:tc>
          <w:tcPr>
            <w:tcW w:w="510" w:type="pct"/>
            <w:tcBorders>
              <w:top w:val="nil"/>
              <w:left w:val="nil"/>
              <w:bottom w:val="single" w:sz="8" w:space="0" w:color="67B93E"/>
              <w:right w:val="single" w:sz="8" w:space="0" w:color="67B93E"/>
            </w:tcBorders>
            <w:shd w:val="clear" w:color="000000" w:fill="FFFFFF"/>
            <w:vAlign w:val="center"/>
            <w:hideMark/>
          </w:tcPr>
          <w:p w14:paraId="5A647A5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FFFFF"/>
            <w:vAlign w:val="center"/>
            <w:hideMark/>
          </w:tcPr>
          <w:p w14:paraId="5BB60484"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7AF45A9F"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2DCB92C8" w14:textId="48FD45CC"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Palmira          </w:t>
            </w:r>
          </w:p>
        </w:tc>
        <w:tc>
          <w:tcPr>
            <w:tcW w:w="785" w:type="pct"/>
            <w:tcBorders>
              <w:top w:val="nil"/>
              <w:left w:val="nil"/>
              <w:bottom w:val="single" w:sz="8" w:space="0" w:color="67B93E"/>
              <w:right w:val="single" w:sz="8" w:space="0" w:color="67B93E"/>
            </w:tcBorders>
            <w:shd w:val="clear" w:color="000000" w:fill="F2F2F2"/>
            <w:hideMark/>
          </w:tcPr>
          <w:p w14:paraId="75CAC26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2F2F2"/>
            <w:hideMark/>
          </w:tcPr>
          <w:p w14:paraId="7E9172CF"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del Valle – SERVISALUD</w:t>
            </w:r>
          </w:p>
        </w:tc>
        <w:tc>
          <w:tcPr>
            <w:tcW w:w="510" w:type="pct"/>
            <w:tcBorders>
              <w:top w:val="nil"/>
              <w:left w:val="nil"/>
              <w:bottom w:val="single" w:sz="8" w:space="0" w:color="67B93E"/>
              <w:right w:val="single" w:sz="8" w:space="0" w:color="67B93E"/>
            </w:tcBorders>
            <w:shd w:val="clear" w:color="000000" w:fill="F2F2F2"/>
            <w:vAlign w:val="center"/>
            <w:hideMark/>
          </w:tcPr>
          <w:p w14:paraId="2CEE7DCA"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2F2F2"/>
            <w:vAlign w:val="center"/>
            <w:hideMark/>
          </w:tcPr>
          <w:p w14:paraId="545C7B5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2C9C11FA"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0B457170" w14:textId="1AED5B74"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Pereira                         </w:t>
            </w:r>
          </w:p>
        </w:tc>
        <w:tc>
          <w:tcPr>
            <w:tcW w:w="785" w:type="pct"/>
            <w:tcBorders>
              <w:top w:val="nil"/>
              <w:left w:val="nil"/>
              <w:bottom w:val="single" w:sz="8" w:space="0" w:color="67B93E"/>
              <w:right w:val="single" w:sz="8" w:space="0" w:color="67B93E"/>
            </w:tcBorders>
            <w:shd w:val="clear" w:color="000000" w:fill="FFFFFF"/>
            <w:hideMark/>
          </w:tcPr>
          <w:p w14:paraId="021D89E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FFFFF"/>
            <w:hideMark/>
          </w:tcPr>
          <w:p w14:paraId="4240A0A3"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proofErr w:type="spellStart"/>
            <w:r w:rsidRPr="007B3338">
              <w:rPr>
                <w:rFonts w:ascii="Humanst521 BT" w:eastAsia="Times New Roman" w:hAnsi="Humanst521 BT" w:cs="Arial"/>
                <w:color w:val="000000"/>
                <w:sz w:val="20"/>
                <w:szCs w:val="20"/>
                <w:lang w:val="es-CO" w:eastAsia="es-CO"/>
              </w:rPr>
              <w:t>Confamiliar</w:t>
            </w:r>
            <w:proofErr w:type="spellEnd"/>
            <w:r w:rsidRPr="007B3338">
              <w:rPr>
                <w:rFonts w:ascii="Humanst521 BT" w:eastAsia="Times New Roman" w:hAnsi="Humanst521 BT" w:cs="Arial"/>
                <w:color w:val="000000"/>
                <w:sz w:val="20"/>
                <w:szCs w:val="20"/>
                <w:lang w:val="es-CO" w:eastAsia="es-CO"/>
              </w:rPr>
              <w:t xml:space="preserve"> Risaralda.</w:t>
            </w:r>
          </w:p>
        </w:tc>
        <w:tc>
          <w:tcPr>
            <w:tcW w:w="510" w:type="pct"/>
            <w:tcBorders>
              <w:top w:val="nil"/>
              <w:left w:val="nil"/>
              <w:bottom w:val="single" w:sz="8" w:space="0" w:color="67B93E"/>
              <w:right w:val="single" w:sz="8" w:space="0" w:color="67B93E"/>
            </w:tcBorders>
            <w:shd w:val="clear" w:color="000000" w:fill="FFFFFF"/>
            <w:vAlign w:val="center"/>
            <w:hideMark/>
          </w:tcPr>
          <w:p w14:paraId="445F63C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FFFFF"/>
            <w:vAlign w:val="center"/>
            <w:hideMark/>
          </w:tcPr>
          <w:p w14:paraId="1A82F274"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4D49E4EC"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7A6A6262" w14:textId="662855CB"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Rionegro                      </w:t>
            </w:r>
          </w:p>
        </w:tc>
        <w:tc>
          <w:tcPr>
            <w:tcW w:w="785" w:type="pct"/>
            <w:tcBorders>
              <w:top w:val="nil"/>
              <w:left w:val="nil"/>
              <w:bottom w:val="single" w:sz="8" w:space="0" w:color="67B93E"/>
              <w:right w:val="single" w:sz="8" w:space="0" w:color="67B93E"/>
            </w:tcBorders>
            <w:shd w:val="clear" w:color="000000" w:fill="F2F2F2"/>
            <w:hideMark/>
          </w:tcPr>
          <w:p w14:paraId="5E4D3D24"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2F2F2"/>
            <w:hideMark/>
          </w:tcPr>
          <w:p w14:paraId="542F6B83"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2F2F2"/>
            <w:vAlign w:val="center"/>
            <w:hideMark/>
          </w:tcPr>
          <w:p w14:paraId="3A3C6DD6"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2F2F2"/>
            <w:vAlign w:val="center"/>
            <w:hideMark/>
          </w:tcPr>
          <w:p w14:paraId="3B4E7E2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50CD5B22"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26E01444"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San Gil </w:t>
            </w:r>
          </w:p>
        </w:tc>
        <w:tc>
          <w:tcPr>
            <w:tcW w:w="785" w:type="pct"/>
            <w:tcBorders>
              <w:top w:val="nil"/>
              <w:left w:val="nil"/>
              <w:bottom w:val="single" w:sz="8" w:space="0" w:color="67B93E"/>
              <w:right w:val="single" w:sz="8" w:space="0" w:color="67B93E"/>
            </w:tcBorders>
            <w:shd w:val="clear" w:color="000000" w:fill="FFFFFF"/>
            <w:hideMark/>
          </w:tcPr>
          <w:p w14:paraId="7D76491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FFFFF"/>
            <w:hideMark/>
          </w:tcPr>
          <w:p w14:paraId="3DDE259C"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Hospital Manuela Beltrán</w:t>
            </w:r>
          </w:p>
        </w:tc>
        <w:tc>
          <w:tcPr>
            <w:tcW w:w="510" w:type="pct"/>
            <w:tcBorders>
              <w:top w:val="nil"/>
              <w:left w:val="nil"/>
              <w:bottom w:val="single" w:sz="8" w:space="0" w:color="67B93E"/>
              <w:right w:val="single" w:sz="8" w:space="0" w:color="67B93E"/>
            </w:tcBorders>
            <w:shd w:val="clear" w:color="000000" w:fill="FFFFFF"/>
            <w:vAlign w:val="center"/>
            <w:hideMark/>
          </w:tcPr>
          <w:p w14:paraId="0E55A51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FFFFF"/>
            <w:vAlign w:val="center"/>
            <w:hideMark/>
          </w:tcPr>
          <w:p w14:paraId="06AA5D63"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0C444767"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712DFBB8" w14:textId="3470362C"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Tibasosa                                     </w:t>
            </w:r>
          </w:p>
        </w:tc>
        <w:tc>
          <w:tcPr>
            <w:tcW w:w="785" w:type="pct"/>
            <w:tcBorders>
              <w:top w:val="nil"/>
              <w:left w:val="nil"/>
              <w:bottom w:val="single" w:sz="8" w:space="0" w:color="67B93E"/>
              <w:right w:val="single" w:sz="8" w:space="0" w:color="67B93E"/>
            </w:tcBorders>
            <w:shd w:val="clear" w:color="000000" w:fill="F2F2F2"/>
            <w:hideMark/>
          </w:tcPr>
          <w:p w14:paraId="0C1EAFE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2F2F2"/>
            <w:hideMark/>
          </w:tcPr>
          <w:p w14:paraId="104F7768"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 Tunja</w:t>
            </w:r>
          </w:p>
        </w:tc>
        <w:tc>
          <w:tcPr>
            <w:tcW w:w="510" w:type="pct"/>
            <w:tcBorders>
              <w:top w:val="nil"/>
              <w:left w:val="nil"/>
              <w:bottom w:val="single" w:sz="8" w:space="0" w:color="67B93E"/>
              <w:right w:val="single" w:sz="8" w:space="0" w:color="67B93E"/>
            </w:tcBorders>
            <w:shd w:val="clear" w:color="000000" w:fill="F2F2F2"/>
            <w:vAlign w:val="center"/>
            <w:hideMark/>
          </w:tcPr>
          <w:p w14:paraId="53A48AA0"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2F2F2"/>
            <w:vAlign w:val="center"/>
            <w:hideMark/>
          </w:tcPr>
          <w:p w14:paraId="6A66FEA7"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67E3EEBF"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32740220" w14:textId="4FDAFF43"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Toledo           </w:t>
            </w:r>
          </w:p>
        </w:tc>
        <w:tc>
          <w:tcPr>
            <w:tcW w:w="785" w:type="pct"/>
            <w:tcBorders>
              <w:top w:val="nil"/>
              <w:left w:val="nil"/>
              <w:bottom w:val="single" w:sz="8" w:space="0" w:color="67B93E"/>
              <w:right w:val="single" w:sz="8" w:space="0" w:color="67B93E"/>
            </w:tcBorders>
            <w:shd w:val="clear" w:color="000000" w:fill="FFFFFF"/>
            <w:hideMark/>
          </w:tcPr>
          <w:p w14:paraId="278258F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FFFFF"/>
            <w:hideMark/>
          </w:tcPr>
          <w:p w14:paraId="4E9B1527"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En proceso</w:t>
            </w:r>
          </w:p>
        </w:tc>
        <w:tc>
          <w:tcPr>
            <w:tcW w:w="510" w:type="pct"/>
            <w:tcBorders>
              <w:top w:val="nil"/>
              <w:left w:val="nil"/>
              <w:bottom w:val="single" w:sz="8" w:space="0" w:color="67B93E"/>
              <w:right w:val="single" w:sz="8" w:space="0" w:color="67B93E"/>
            </w:tcBorders>
            <w:shd w:val="clear" w:color="000000" w:fill="FFFFFF"/>
            <w:vAlign w:val="center"/>
            <w:hideMark/>
          </w:tcPr>
          <w:p w14:paraId="2E875FD2"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FFFFF"/>
            <w:vAlign w:val="center"/>
            <w:hideMark/>
          </w:tcPr>
          <w:p w14:paraId="1A73CF49"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3EEF281C"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2E4AFD50" w14:textId="1F7F9FE8"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Tunja          </w:t>
            </w:r>
          </w:p>
        </w:tc>
        <w:tc>
          <w:tcPr>
            <w:tcW w:w="785" w:type="pct"/>
            <w:tcBorders>
              <w:top w:val="nil"/>
              <w:left w:val="nil"/>
              <w:bottom w:val="single" w:sz="8" w:space="0" w:color="67B93E"/>
              <w:right w:val="single" w:sz="8" w:space="0" w:color="67B93E"/>
            </w:tcBorders>
            <w:shd w:val="clear" w:color="000000" w:fill="F2F2F2"/>
            <w:hideMark/>
          </w:tcPr>
          <w:p w14:paraId="0DE4BD6F"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2F2F2"/>
            <w:hideMark/>
          </w:tcPr>
          <w:p w14:paraId="1B43F6DC"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de Tunja</w:t>
            </w:r>
          </w:p>
        </w:tc>
        <w:tc>
          <w:tcPr>
            <w:tcW w:w="510" w:type="pct"/>
            <w:tcBorders>
              <w:top w:val="nil"/>
              <w:left w:val="nil"/>
              <w:bottom w:val="single" w:sz="8" w:space="0" w:color="67B93E"/>
              <w:right w:val="single" w:sz="8" w:space="0" w:color="67B93E"/>
            </w:tcBorders>
            <w:shd w:val="clear" w:color="000000" w:fill="F2F2F2"/>
            <w:vAlign w:val="center"/>
            <w:hideMark/>
          </w:tcPr>
          <w:p w14:paraId="19621DD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2F2F2"/>
            <w:vAlign w:val="center"/>
            <w:hideMark/>
          </w:tcPr>
          <w:p w14:paraId="64201C6B"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3627CC62"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FFFFF"/>
            <w:hideMark/>
          </w:tcPr>
          <w:p w14:paraId="77E2A1F2" w14:textId="7E2656B4"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Valledupar           </w:t>
            </w:r>
          </w:p>
        </w:tc>
        <w:tc>
          <w:tcPr>
            <w:tcW w:w="785" w:type="pct"/>
            <w:tcBorders>
              <w:top w:val="nil"/>
              <w:left w:val="nil"/>
              <w:bottom w:val="single" w:sz="8" w:space="0" w:color="67B93E"/>
              <w:right w:val="single" w:sz="8" w:space="0" w:color="67B93E"/>
            </w:tcBorders>
            <w:shd w:val="clear" w:color="000000" w:fill="FFFFFF"/>
            <w:hideMark/>
          </w:tcPr>
          <w:p w14:paraId="4C6BB0B5"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FFFFF"/>
            <w:hideMark/>
          </w:tcPr>
          <w:p w14:paraId="5A66E9E4"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En proceso</w:t>
            </w:r>
          </w:p>
        </w:tc>
        <w:tc>
          <w:tcPr>
            <w:tcW w:w="510" w:type="pct"/>
            <w:tcBorders>
              <w:top w:val="nil"/>
              <w:left w:val="nil"/>
              <w:bottom w:val="single" w:sz="8" w:space="0" w:color="67B93E"/>
              <w:right w:val="single" w:sz="8" w:space="0" w:color="67B93E"/>
            </w:tcBorders>
            <w:shd w:val="clear" w:color="000000" w:fill="FFFFFF"/>
            <w:vAlign w:val="center"/>
            <w:hideMark/>
          </w:tcPr>
          <w:p w14:paraId="3927BD60"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0</w:t>
            </w:r>
          </w:p>
        </w:tc>
        <w:tc>
          <w:tcPr>
            <w:tcW w:w="491" w:type="pct"/>
            <w:tcBorders>
              <w:top w:val="nil"/>
              <w:left w:val="nil"/>
              <w:bottom w:val="single" w:sz="8" w:space="0" w:color="67B93E"/>
              <w:right w:val="single" w:sz="8" w:space="0" w:color="67B93E"/>
            </w:tcBorders>
            <w:shd w:val="clear" w:color="000000" w:fill="FFFFFF"/>
            <w:vAlign w:val="center"/>
            <w:hideMark/>
          </w:tcPr>
          <w:p w14:paraId="4498D4C8"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0%</w:t>
            </w:r>
          </w:p>
        </w:tc>
      </w:tr>
      <w:tr w:rsidR="00B65BBB" w:rsidRPr="007B3338" w14:paraId="1007D5CD" w14:textId="77777777" w:rsidTr="00686FCF">
        <w:trPr>
          <w:trHeight w:val="450"/>
        </w:trPr>
        <w:tc>
          <w:tcPr>
            <w:tcW w:w="1484" w:type="pct"/>
            <w:tcBorders>
              <w:top w:val="nil"/>
              <w:left w:val="single" w:sz="8" w:space="0" w:color="67B93E"/>
              <w:bottom w:val="single" w:sz="8" w:space="0" w:color="67B93E"/>
              <w:right w:val="single" w:sz="8" w:space="0" w:color="67B93E"/>
            </w:tcBorders>
            <w:shd w:val="clear" w:color="000000" w:fill="F2F2F2"/>
            <w:hideMark/>
          </w:tcPr>
          <w:p w14:paraId="2FD88945" w14:textId="1FD925EA"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Zapatoca             </w:t>
            </w:r>
          </w:p>
        </w:tc>
        <w:tc>
          <w:tcPr>
            <w:tcW w:w="785" w:type="pct"/>
            <w:tcBorders>
              <w:top w:val="nil"/>
              <w:left w:val="nil"/>
              <w:bottom w:val="single" w:sz="8" w:space="0" w:color="67B93E"/>
              <w:right w:val="single" w:sz="8" w:space="0" w:color="67B93E"/>
            </w:tcBorders>
            <w:shd w:val="clear" w:color="000000" w:fill="F2F2F2"/>
            <w:hideMark/>
          </w:tcPr>
          <w:p w14:paraId="2116E25A"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1729" w:type="pct"/>
            <w:tcBorders>
              <w:top w:val="nil"/>
              <w:left w:val="nil"/>
              <w:bottom w:val="single" w:sz="8" w:space="0" w:color="67B93E"/>
              <w:right w:val="single" w:sz="8" w:space="0" w:color="67B93E"/>
            </w:tcBorders>
            <w:shd w:val="clear" w:color="000000" w:fill="F2F2F2"/>
            <w:hideMark/>
          </w:tcPr>
          <w:p w14:paraId="05F658B6" w14:textId="77777777" w:rsidR="007B3338" w:rsidRPr="007B3338" w:rsidRDefault="007B3338" w:rsidP="007B3338">
            <w:pPr>
              <w:widowControl/>
              <w:autoSpaceDE/>
              <w:autoSpaceDN/>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Universidad Industrial de Santander</w:t>
            </w:r>
          </w:p>
        </w:tc>
        <w:tc>
          <w:tcPr>
            <w:tcW w:w="510" w:type="pct"/>
            <w:tcBorders>
              <w:top w:val="nil"/>
              <w:left w:val="nil"/>
              <w:bottom w:val="single" w:sz="8" w:space="0" w:color="67B93E"/>
              <w:right w:val="single" w:sz="8" w:space="0" w:color="67B93E"/>
            </w:tcBorders>
            <w:shd w:val="clear" w:color="000000" w:fill="F2F2F2"/>
            <w:vAlign w:val="center"/>
            <w:hideMark/>
          </w:tcPr>
          <w:p w14:paraId="56B5F291"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w:t>
            </w:r>
          </w:p>
        </w:tc>
        <w:tc>
          <w:tcPr>
            <w:tcW w:w="491" w:type="pct"/>
            <w:tcBorders>
              <w:top w:val="nil"/>
              <w:left w:val="nil"/>
              <w:bottom w:val="single" w:sz="8" w:space="0" w:color="67B93E"/>
              <w:right w:val="single" w:sz="8" w:space="0" w:color="67B93E"/>
            </w:tcBorders>
            <w:shd w:val="clear" w:color="000000" w:fill="F2F2F2"/>
            <w:vAlign w:val="center"/>
            <w:hideMark/>
          </w:tcPr>
          <w:p w14:paraId="1D278436" w14:textId="77777777" w:rsidR="007B3338" w:rsidRPr="007B3338" w:rsidRDefault="007B3338" w:rsidP="007B3338">
            <w:pPr>
              <w:widowControl/>
              <w:autoSpaceDE/>
              <w:autoSpaceDN/>
              <w:jc w:val="center"/>
              <w:rPr>
                <w:rFonts w:ascii="Humanst521 BT" w:eastAsia="Times New Roman" w:hAnsi="Humanst521 BT" w:cs="Arial"/>
                <w:color w:val="000000"/>
                <w:sz w:val="20"/>
                <w:szCs w:val="20"/>
                <w:lang w:val="es-CO" w:eastAsia="es-CO"/>
              </w:rPr>
            </w:pPr>
            <w:r w:rsidRPr="007B3338">
              <w:rPr>
                <w:rFonts w:ascii="Humanst521 BT" w:eastAsia="Times New Roman" w:hAnsi="Humanst521 BT" w:cs="Arial"/>
                <w:color w:val="000000"/>
                <w:sz w:val="20"/>
                <w:szCs w:val="20"/>
                <w:lang w:val="es-CO" w:eastAsia="es-CO"/>
              </w:rPr>
              <w:t>100%</w:t>
            </w:r>
          </w:p>
        </w:tc>
      </w:tr>
      <w:tr w:rsidR="00B65BBB" w:rsidRPr="007B3338" w14:paraId="1CDFA064" w14:textId="77777777" w:rsidTr="00686FCF">
        <w:trPr>
          <w:trHeight w:val="450"/>
        </w:trPr>
        <w:tc>
          <w:tcPr>
            <w:tcW w:w="1484" w:type="pct"/>
            <w:tcBorders>
              <w:top w:val="nil"/>
              <w:left w:val="nil"/>
              <w:bottom w:val="single" w:sz="8" w:space="0" w:color="67B93E"/>
              <w:right w:val="single" w:sz="8" w:space="0" w:color="67B93E"/>
            </w:tcBorders>
            <w:shd w:val="clear" w:color="000000" w:fill="C5E0B3"/>
            <w:vAlign w:val="center"/>
            <w:hideMark/>
          </w:tcPr>
          <w:p w14:paraId="17A1C635"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val="es-CO" w:eastAsia="es-CO"/>
              </w:rPr>
              <w:lastRenderedPageBreak/>
              <w:t>Total</w:t>
            </w:r>
          </w:p>
        </w:tc>
        <w:tc>
          <w:tcPr>
            <w:tcW w:w="785" w:type="pct"/>
            <w:tcBorders>
              <w:top w:val="nil"/>
              <w:left w:val="nil"/>
              <w:bottom w:val="single" w:sz="8" w:space="0" w:color="67B93E"/>
              <w:right w:val="single" w:sz="8" w:space="0" w:color="67B93E"/>
            </w:tcBorders>
            <w:shd w:val="clear" w:color="000000" w:fill="C5E0B3"/>
            <w:vAlign w:val="center"/>
            <w:hideMark/>
          </w:tcPr>
          <w:p w14:paraId="343DA397"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val="es-CO" w:eastAsia="es-CO"/>
              </w:rPr>
              <w:t>2792</w:t>
            </w:r>
          </w:p>
        </w:tc>
        <w:tc>
          <w:tcPr>
            <w:tcW w:w="1729" w:type="pct"/>
            <w:tcBorders>
              <w:top w:val="nil"/>
              <w:left w:val="nil"/>
              <w:bottom w:val="single" w:sz="8" w:space="0" w:color="67B93E"/>
              <w:right w:val="single" w:sz="8" w:space="0" w:color="67B93E"/>
            </w:tcBorders>
            <w:shd w:val="clear" w:color="000000" w:fill="C5E0B3"/>
            <w:vAlign w:val="center"/>
            <w:hideMark/>
          </w:tcPr>
          <w:p w14:paraId="3BB9A482"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val="es-CO" w:eastAsia="es-CO"/>
              </w:rPr>
              <w:t xml:space="preserve">Total </w:t>
            </w:r>
          </w:p>
        </w:tc>
        <w:tc>
          <w:tcPr>
            <w:tcW w:w="510" w:type="pct"/>
            <w:tcBorders>
              <w:top w:val="nil"/>
              <w:left w:val="nil"/>
              <w:bottom w:val="single" w:sz="8" w:space="0" w:color="67B93E"/>
              <w:right w:val="single" w:sz="8" w:space="0" w:color="67B93E"/>
            </w:tcBorders>
            <w:shd w:val="clear" w:color="000000" w:fill="C5E0B3"/>
            <w:vAlign w:val="center"/>
            <w:hideMark/>
          </w:tcPr>
          <w:p w14:paraId="5BE8E219"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val="es-CO" w:eastAsia="es-CO"/>
              </w:rPr>
              <w:t>2787</w:t>
            </w:r>
          </w:p>
        </w:tc>
        <w:tc>
          <w:tcPr>
            <w:tcW w:w="491" w:type="pct"/>
            <w:tcBorders>
              <w:top w:val="nil"/>
              <w:left w:val="nil"/>
              <w:bottom w:val="single" w:sz="8" w:space="0" w:color="67B93E"/>
              <w:right w:val="single" w:sz="8" w:space="0" w:color="67B93E"/>
            </w:tcBorders>
            <w:shd w:val="clear" w:color="000000" w:fill="C5E0B3"/>
            <w:vAlign w:val="center"/>
            <w:hideMark/>
          </w:tcPr>
          <w:p w14:paraId="1036AEE1" w14:textId="77777777" w:rsidR="007B3338" w:rsidRPr="007B3338" w:rsidRDefault="007B3338" w:rsidP="007B3338">
            <w:pPr>
              <w:widowControl/>
              <w:autoSpaceDE/>
              <w:autoSpaceDN/>
              <w:jc w:val="center"/>
              <w:rPr>
                <w:rFonts w:ascii="Humanst521 BT" w:eastAsia="Times New Roman" w:hAnsi="Humanst521 BT" w:cs="Arial"/>
                <w:b/>
                <w:bCs/>
                <w:color w:val="000000"/>
                <w:sz w:val="20"/>
                <w:szCs w:val="20"/>
                <w:lang w:val="es-CO" w:eastAsia="es-CO"/>
              </w:rPr>
            </w:pPr>
            <w:r w:rsidRPr="007B3338">
              <w:rPr>
                <w:rFonts w:ascii="Humanst521 BT" w:eastAsia="Times New Roman" w:hAnsi="Humanst521 BT" w:cs="Arial"/>
                <w:b/>
                <w:bCs/>
                <w:color w:val="000000"/>
                <w:sz w:val="20"/>
                <w:szCs w:val="20"/>
                <w:lang w:val="es-CO" w:eastAsia="es-CO"/>
              </w:rPr>
              <w:t>99,8%</w:t>
            </w:r>
          </w:p>
        </w:tc>
      </w:tr>
    </w:tbl>
    <w:p w14:paraId="01372432" w14:textId="04228EF8" w:rsidR="00EF4836" w:rsidRDefault="62071BB1" w:rsidP="0D2184E1">
      <w:pPr>
        <w:pStyle w:val="Cita"/>
        <w:spacing w:before="84" w:line="240" w:lineRule="auto"/>
        <w:rPr>
          <w:rFonts w:ascii="Humanst521 BT" w:eastAsia="Verdana" w:hAnsi="Humanst521 BT" w:cs="Verdana"/>
          <w:sz w:val="22"/>
          <w:szCs w:val="22"/>
          <w:lang w:val="es-ES"/>
        </w:rPr>
      </w:pPr>
      <w:r w:rsidRPr="007F0FA7">
        <w:rPr>
          <w:rFonts w:ascii="Humanst521 BT" w:eastAsia="Verdana" w:hAnsi="Humanst521 BT" w:cs="Verdana"/>
          <w:sz w:val="22"/>
          <w:szCs w:val="22"/>
          <w:lang w:val="es-ES"/>
        </w:rPr>
        <w:t xml:space="preserve">Fuente: Elaboración propia datos tomados del área de contratación y afiliación </w:t>
      </w:r>
    </w:p>
    <w:p w14:paraId="3E8779C8" w14:textId="77777777" w:rsidR="00B66F15" w:rsidRDefault="00B66F15" w:rsidP="00B66F15"/>
    <w:p w14:paraId="6591298E" w14:textId="77777777" w:rsidR="00B66F15" w:rsidRPr="00B66F15" w:rsidRDefault="00B66F15" w:rsidP="00865944">
      <w:pPr>
        <w:rPr>
          <w:rFonts w:ascii="Humanst521 BT" w:eastAsia="Times New Roman" w:hAnsi="Humanst521 BT" w:cs="Times New Roman"/>
          <w:lang w:val="es-CO"/>
        </w:rPr>
      </w:pPr>
      <w:r w:rsidRPr="00B66F15">
        <w:rPr>
          <w:rFonts w:ascii="Humanst521 BT" w:hAnsi="Humanst521 BT"/>
        </w:rPr>
        <w:t>Estrategia Epidemiológica Transitoria y Garantía de Acceso para Municipios con Cobertura "En Proceso"</w:t>
      </w:r>
    </w:p>
    <w:p w14:paraId="0CF416C3" w14:textId="77777777" w:rsidR="00B66F15" w:rsidRPr="00B66F15" w:rsidRDefault="00B66F15" w:rsidP="00B66F15">
      <w:pPr>
        <w:pStyle w:val="NormalWeb"/>
        <w:rPr>
          <w:rFonts w:ascii="Humanst521 BT" w:hAnsi="Humanst521 BT"/>
          <w:sz w:val="22"/>
          <w:szCs w:val="22"/>
        </w:rPr>
      </w:pPr>
      <w:r w:rsidRPr="00B66F15">
        <w:rPr>
          <w:rFonts w:ascii="Humanst521 BT" w:hAnsi="Humanst521 BT"/>
          <w:sz w:val="22"/>
          <w:szCs w:val="22"/>
        </w:rPr>
        <w:t>Con el objetivo de mitigar de forma anticipada la aparición de barreras de acceso, asegurar la continuidad de los tratamientos vigentes y blindar la oportunidad en la atención de los afiliados residentes en los municipios catalogados "En Proceso" (</w:t>
      </w:r>
      <w:r w:rsidRPr="00B66F15">
        <w:rPr>
          <w:rFonts w:ascii="Humanst521 BT" w:hAnsi="Humanst521 BT"/>
          <w:b/>
          <w:bCs/>
          <w:sz w:val="22"/>
          <w:szCs w:val="22"/>
        </w:rPr>
        <w:t>Ibagué, Santa Marta y Valledupar</w:t>
      </w:r>
      <w:r w:rsidRPr="00B66F15">
        <w:rPr>
          <w:rFonts w:ascii="Humanst521 BT" w:hAnsi="Humanst521 BT"/>
          <w:sz w:val="22"/>
          <w:szCs w:val="22"/>
        </w:rPr>
        <w:t xml:space="preserve">), UISALUD establece el siguiente </w:t>
      </w:r>
      <w:r w:rsidRPr="00B66F15">
        <w:rPr>
          <w:rFonts w:ascii="Humanst521 BT" w:hAnsi="Humanst521 BT"/>
          <w:b/>
          <w:bCs/>
          <w:sz w:val="22"/>
          <w:szCs w:val="22"/>
        </w:rPr>
        <w:t>Protocolo de Contingencia y Gestión del Riesgo Transitorio</w:t>
      </w:r>
      <w:r w:rsidRPr="00B66F15">
        <w:rPr>
          <w:rFonts w:ascii="Humanst521 BT" w:hAnsi="Humanst521 BT"/>
          <w:sz w:val="22"/>
          <w:szCs w:val="22"/>
        </w:rPr>
        <w:t xml:space="preserve">, el cual operará de manera concomitante al trámite administrativo de perfeccionamiento contractual: </w:t>
      </w:r>
    </w:p>
    <w:p w14:paraId="0B19F914" w14:textId="77777777" w:rsidR="00B66F15" w:rsidRPr="00B66F15" w:rsidRDefault="00B66F15" w:rsidP="00B66F15">
      <w:pPr>
        <w:pStyle w:val="NormalWeb"/>
        <w:numPr>
          <w:ilvl w:val="0"/>
          <w:numId w:val="31"/>
        </w:numPr>
        <w:rPr>
          <w:rFonts w:ascii="Humanst521 BT" w:hAnsi="Humanst521 BT"/>
          <w:sz w:val="22"/>
          <w:szCs w:val="22"/>
        </w:rPr>
      </w:pPr>
      <w:r w:rsidRPr="00B66F15">
        <w:rPr>
          <w:rFonts w:ascii="Humanst521 BT" w:hAnsi="Humanst521 BT"/>
          <w:b/>
          <w:bCs/>
          <w:sz w:val="22"/>
          <w:szCs w:val="22"/>
        </w:rPr>
        <w:t>Activación de la Red de Reciprocidad Universitaria y de Emergencia:</w:t>
      </w:r>
      <w:r w:rsidRPr="00B66F15">
        <w:rPr>
          <w:rFonts w:ascii="Humanst521 BT" w:hAnsi="Humanst521 BT"/>
          <w:sz w:val="22"/>
          <w:szCs w:val="22"/>
        </w:rPr>
        <w:t xml:space="preserve"> Mientras se consolida el prestador primario definitivo en cada localidad, la atención médica programada e imprevista de estos usuarios está garantizada mediante convenios vigentes de reciprocidad con las IPS de la Red Universitaria Nacional y, en su defecto, a través de las redes de urgencias de los hospitales públicos locales de mediana complejidad en cada cabecera municipal, evitando la discontinuidad del aseguramiento. </w:t>
      </w:r>
    </w:p>
    <w:p w14:paraId="7E753D9E" w14:textId="77777777" w:rsidR="00B66F15" w:rsidRPr="00B66F15" w:rsidRDefault="00B66F15" w:rsidP="00B66F15">
      <w:pPr>
        <w:pStyle w:val="NormalWeb"/>
        <w:numPr>
          <w:ilvl w:val="0"/>
          <w:numId w:val="31"/>
        </w:numPr>
        <w:rPr>
          <w:rFonts w:ascii="Humanst521 BT" w:hAnsi="Humanst521 BT"/>
          <w:sz w:val="22"/>
          <w:szCs w:val="22"/>
        </w:rPr>
      </w:pPr>
      <w:r w:rsidRPr="00B66F15">
        <w:rPr>
          <w:rFonts w:ascii="Humanst521 BT" w:hAnsi="Humanst521 BT"/>
          <w:b/>
          <w:bCs/>
          <w:sz w:val="22"/>
          <w:szCs w:val="22"/>
        </w:rPr>
        <w:t>Canalización y Enlace de Gestión del Riesgo Centralizado:</w:t>
      </w:r>
      <w:r w:rsidRPr="00B66F15">
        <w:rPr>
          <w:rFonts w:ascii="Humanst521 BT" w:hAnsi="Humanst521 BT"/>
          <w:sz w:val="22"/>
          <w:szCs w:val="22"/>
        </w:rPr>
        <w:t xml:space="preserve"> UISALUD dispone de una línea de atención prioritaria y un Gestor de Casos institucional desde la sede central (Bucaramanga). Este profesional realiza un seguimiento telefónico bimensual activo a los 5 usuarios ubicados en estas zonas dispersas para evaluar su estado de salud, coordinar de forma directa la autorización de citas de control, y gestionar de manera remota la expedición de órdenes médicas. </w:t>
      </w:r>
    </w:p>
    <w:p w14:paraId="72C9CFEE" w14:textId="77777777" w:rsidR="00B66F15" w:rsidRPr="00B66F15" w:rsidRDefault="00B66F15" w:rsidP="00B66F15">
      <w:pPr>
        <w:pStyle w:val="NormalWeb"/>
        <w:numPr>
          <w:ilvl w:val="0"/>
          <w:numId w:val="31"/>
        </w:numPr>
        <w:rPr>
          <w:rFonts w:ascii="Humanst521 BT" w:hAnsi="Humanst521 BT"/>
          <w:sz w:val="22"/>
          <w:szCs w:val="22"/>
        </w:rPr>
      </w:pPr>
      <w:r w:rsidRPr="00B66F15">
        <w:rPr>
          <w:rFonts w:ascii="Humanst521 BT" w:hAnsi="Humanst521 BT"/>
          <w:b/>
          <w:bCs/>
          <w:sz w:val="22"/>
          <w:szCs w:val="22"/>
        </w:rPr>
        <w:t>Mecanismo Transitorio para el Acceso a Medicamentos y Tecnologías:</w:t>
      </w:r>
      <w:r w:rsidRPr="00B66F15">
        <w:rPr>
          <w:rFonts w:ascii="Humanst521 BT" w:hAnsi="Humanst521 BT"/>
          <w:sz w:val="22"/>
          <w:szCs w:val="22"/>
        </w:rPr>
        <w:t xml:space="preserve"> Para las patologías crónicas que requieren adherencia estricta, la institución implementa la modalidad de dispensación centralizada con envío certificado al domicilio del usuario o, de ser necesario, autoriza el mecanismo de reembolso ágil contra la presentación de la fórmula médica legal vigente, asegurando que la transición contractual no impacte el control clínico de los pacientes.</w:t>
      </w:r>
    </w:p>
    <w:p w14:paraId="433ACF47" w14:textId="2071574F" w:rsidR="00B66F15" w:rsidRPr="00B66F15" w:rsidRDefault="00B66F15" w:rsidP="00B66F15">
      <w:pPr>
        <w:pStyle w:val="NormalWeb"/>
        <w:numPr>
          <w:ilvl w:val="0"/>
          <w:numId w:val="31"/>
        </w:numPr>
        <w:rPr>
          <w:rFonts w:ascii="Humanst521 BT" w:hAnsi="Humanst521 BT"/>
          <w:sz w:val="22"/>
          <w:szCs w:val="22"/>
        </w:rPr>
      </w:pPr>
      <w:r w:rsidRPr="00B66F15">
        <w:rPr>
          <w:rFonts w:ascii="Humanst521 BT" w:hAnsi="Humanst521 BT"/>
          <w:b/>
          <w:bCs/>
          <w:sz w:val="22"/>
          <w:szCs w:val="22"/>
        </w:rPr>
        <w:t>Ruta de Notificación Obligatoria y SIVIGILA:</w:t>
      </w:r>
      <w:r w:rsidRPr="00B66F15">
        <w:rPr>
          <w:rFonts w:ascii="Humanst521 BT" w:hAnsi="Humanst521 BT"/>
          <w:sz w:val="22"/>
          <w:szCs w:val="22"/>
        </w:rPr>
        <w:t xml:space="preserve"> Ante la ocurrencia de un evento de interés en salud pública en estos afiliados, UISALUD coordinará directamente con la Entidad Territorial local (Secretarías de Salud de Ibagué, Santa Marta o Valledupar) para asegurar la notificación obligatoria y el despliegue de las acciones de campo pertinentes, manteniendo la trazabilidad epidemiológica del caso.</w:t>
      </w:r>
    </w:p>
    <w:p w14:paraId="422EAD56" w14:textId="77777777" w:rsidR="00B66F15" w:rsidRDefault="00B66F15" w:rsidP="00B66F15">
      <w:pPr>
        <w:pStyle w:val="NormalWeb"/>
        <w:rPr>
          <w:rFonts w:ascii="Humanst521 BT" w:hAnsi="Humanst521 BT"/>
          <w:sz w:val="22"/>
          <w:szCs w:val="22"/>
        </w:rPr>
      </w:pPr>
      <w:r w:rsidRPr="00B66F15">
        <w:rPr>
          <w:rFonts w:ascii="Humanst521 BT" w:hAnsi="Humanst521 BT"/>
          <w:sz w:val="22"/>
          <w:szCs w:val="22"/>
        </w:rPr>
        <w:t xml:space="preserve">Este esquema transitorio garantiza de forma absoluta que el </w:t>
      </w:r>
      <w:r w:rsidRPr="00B66F15">
        <w:rPr>
          <w:rFonts w:ascii="Humanst521 BT" w:hAnsi="Humanst521 BT"/>
          <w:b/>
          <w:bCs/>
          <w:sz w:val="22"/>
          <w:szCs w:val="22"/>
        </w:rPr>
        <w:t>100% de la población afiliada</w:t>
      </w:r>
      <w:r w:rsidRPr="00B66F15">
        <w:rPr>
          <w:rFonts w:ascii="Humanst521 BT" w:hAnsi="Humanst521 BT"/>
          <w:sz w:val="22"/>
          <w:szCs w:val="22"/>
        </w:rPr>
        <w:t xml:space="preserve"> a UISALUD cuente con mecanismos de protección activa y acceso efectivo a los servicios de salud, cumpliendo con los principios de equidad, seguridad y continuidad exigidos en el marco de la Gestión Integral del Riesgo en Salud (GIRS). </w:t>
      </w:r>
    </w:p>
    <w:p w14:paraId="147EC7C1" w14:textId="77777777" w:rsidR="00FF2385" w:rsidRDefault="00FF2385" w:rsidP="00B66F15">
      <w:pPr>
        <w:pStyle w:val="NormalWeb"/>
        <w:rPr>
          <w:rFonts w:ascii="Humanst521 BT" w:hAnsi="Humanst521 BT"/>
          <w:sz w:val="22"/>
          <w:szCs w:val="22"/>
        </w:rPr>
      </w:pPr>
    </w:p>
    <w:p w14:paraId="5300759E" w14:textId="77777777" w:rsidR="00FF2385" w:rsidRDefault="00FF2385" w:rsidP="00B66F15">
      <w:pPr>
        <w:pStyle w:val="NormalWeb"/>
        <w:rPr>
          <w:rFonts w:ascii="Humanst521 BT" w:hAnsi="Humanst521 BT"/>
          <w:sz w:val="22"/>
          <w:szCs w:val="22"/>
        </w:rPr>
      </w:pPr>
    </w:p>
    <w:p w14:paraId="31F0A903" w14:textId="77777777" w:rsidR="00FF2385" w:rsidRDefault="00FF2385" w:rsidP="00B66F15">
      <w:pPr>
        <w:pStyle w:val="NormalWeb"/>
        <w:rPr>
          <w:rFonts w:ascii="Humanst521 BT" w:hAnsi="Humanst521 BT"/>
          <w:sz w:val="22"/>
          <w:szCs w:val="22"/>
        </w:rPr>
      </w:pPr>
    </w:p>
    <w:p w14:paraId="60437D6F" w14:textId="77777777" w:rsidR="00FF2385" w:rsidRPr="00B66F15" w:rsidRDefault="00FF2385" w:rsidP="00B66F15">
      <w:pPr>
        <w:pStyle w:val="NormalWeb"/>
        <w:rPr>
          <w:rFonts w:ascii="Humanst521 BT" w:hAnsi="Humanst521 BT"/>
          <w:sz w:val="22"/>
          <w:szCs w:val="22"/>
        </w:rPr>
      </w:pPr>
    </w:p>
    <w:p w14:paraId="370ED603" w14:textId="77777777" w:rsidR="00B66F15" w:rsidRPr="00B66F15" w:rsidRDefault="00B66F15" w:rsidP="00B66F15"/>
    <w:p w14:paraId="5ADE4A51" w14:textId="1BBAD5DF" w:rsidR="00244200" w:rsidRPr="00C8589C" w:rsidRDefault="007C1956" w:rsidP="00B6007F">
      <w:pPr>
        <w:pStyle w:val="Prrafodelista"/>
        <w:numPr>
          <w:ilvl w:val="2"/>
          <w:numId w:val="9"/>
        </w:numPr>
        <w:tabs>
          <w:tab w:val="left" w:pos="2465"/>
        </w:tabs>
        <w:ind w:right="385"/>
        <w:outlineLvl w:val="2"/>
        <w:rPr>
          <w:rFonts w:ascii="Humanst521 BT" w:hAnsi="Humanst521 BT"/>
          <w:b/>
          <w:bCs/>
          <w:color w:val="2F5496" w:themeColor="accent1" w:themeShade="BF"/>
          <w:sz w:val="24"/>
          <w:szCs w:val="24"/>
        </w:rPr>
      </w:pPr>
      <w:bookmarkStart w:id="56" w:name="_Toc231286793"/>
      <w:r w:rsidRPr="00C8589C">
        <w:rPr>
          <w:rFonts w:ascii="Humanst521 BT" w:hAnsi="Humanst521 BT"/>
          <w:b/>
          <w:bCs/>
          <w:color w:val="2F5496" w:themeColor="accent1" w:themeShade="BF"/>
          <w:sz w:val="24"/>
          <w:szCs w:val="24"/>
        </w:rPr>
        <w:t>Condiciones sociales, económicas y de calidad de vida de la población del territorio</w:t>
      </w:r>
      <w:bookmarkEnd w:id="56"/>
    </w:p>
    <w:p w14:paraId="05FA828A" w14:textId="77777777" w:rsidR="00AA206C" w:rsidRDefault="00AA206C" w:rsidP="00AA206C">
      <w:pPr>
        <w:pStyle w:val="Descripcin"/>
        <w:rPr>
          <w:rFonts w:ascii="Humanst521 BT" w:eastAsia="Verdana" w:hAnsi="Humanst521 BT" w:cs="Verdana"/>
          <w:b w:val="0"/>
          <w:bCs w:val="0"/>
          <w:color w:val="auto"/>
          <w:sz w:val="22"/>
          <w:szCs w:val="22"/>
          <w:lang w:val="es-ES"/>
        </w:rPr>
      </w:pPr>
    </w:p>
    <w:p w14:paraId="5D52DDB5" w14:textId="0E3AEF49" w:rsidR="00AA206C" w:rsidRPr="00FF53B6" w:rsidRDefault="00AA206C" w:rsidP="00AA206C">
      <w:pPr>
        <w:pStyle w:val="Descripcin"/>
        <w:rPr>
          <w:rFonts w:ascii="Humanst521 BT" w:eastAsia="Verdana" w:hAnsi="Humanst521 BT" w:cs="Verdana"/>
          <w:b w:val="0"/>
          <w:bCs w:val="0"/>
          <w:color w:val="auto"/>
          <w:sz w:val="22"/>
          <w:szCs w:val="22"/>
          <w:lang w:val="es-ES"/>
        </w:rPr>
      </w:pPr>
      <w:r w:rsidRPr="00FF53B6">
        <w:rPr>
          <w:rFonts w:ascii="Humanst521 BT" w:eastAsia="Verdana" w:hAnsi="Humanst521 BT" w:cs="Verdana"/>
          <w:b w:val="0"/>
          <w:bCs w:val="0"/>
          <w:color w:val="auto"/>
          <w:sz w:val="22"/>
          <w:szCs w:val="22"/>
          <w:lang w:val="es-ES"/>
        </w:rPr>
        <w:t>De acuerdo con el modelo conceptual de los Determinantes Sociales de la Salud (DSS) exigido por el Ministerio de Salud y Protección Social, el análisis de las condiciones de vida de la población de UISALUD trasciende la caracterización demográfica para identificar cómo las condiciones socioeconómicas estructurales impactan los perfiles de morbimortalidad institucional. Al tratarse de un régimen de excepción con población cerrada, la institución dispone de información trazable sobre variables clave como ingresos, estrato socioeconómico, nivel educativo y ocupación de sus cotizantes y beneficiarios, permitiendo la detección temprana de inequidades en salud y el diseño de intervenciones diferenciales</w:t>
      </w:r>
    </w:p>
    <w:p w14:paraId="447EE75C" w14:textId="281CA011" w:rsidR="00F71DD8" w:rsidRPr="00C8589C" w:rsidRDefault="00596438" w:rsidP="008B3D4F">
      <w:pPr>
        <w:pStyle w:val="Descripcin"/>
        <w:spacing w:line="240" w:lineRule="auto"/>
        <w:outlineLvl w:val="3"/>
        <w:rPr>
          <w:rFonts w:ascii="Humanst521 BT" w:eastAsia="Verdana" w:hAnsi="Humanst521 BT" w:cs="Verdana"/>
          <w:sz w:val="22"/>
          <w:szCs w:val="22"/>
          <w:lang w:val="es-ES"/>
        </w:rPr>
      </w:pPr>
      <w:bookmarkStart w:id="57" w:name="_Toc231286794"/>
      <w:r w:rsidRPr="00C8589C">
        <w:rPr>
          <w:rFonts w:ascii="Humanst521 BT" w:eastAsia="Verdana" w:hAnsi="Humanst521 BT" w:cs="Verdana"/>
          <w:sz w:val="22"/>
          <w:szCs w:val="22"/>
          <w:lang w:val="es-ES"/>
        </w:rPr>
        <w:t>5.1.2.1</w:t>
      </w:r>
      <w:r w:rsidR="0073243E" w:rsidRPr="00C8589C">
        <w:rPr>
          <w:rFonts w:ascii="Humanst521 BT" w:eastAsia="Verdana" w:hAnsi="Humanst521 BT" w:cs="Verdana"/>
          <w:sz w:val="22"/>
          <w:szCs w:val="22"/>
          <w:lang w:val="es-ES"/>
        </w:rPr>
        <w:t>.</w:t>
      </w:r>
      <w:r w:rsidR="00F71DD8" w:rsidRPr="00C8589C">
        <w:rPr>
          <w:rFonts w:ascii="Humanst521 BT" w:eastAsia="Verdana" w:hAnsi="Humanst521 BT" w:cs="Verdana"/>
          <w:sz w:val="22"/>
          <w:szCs w:val="22"/>
          <w:lang w:val="es-ES"/>
        </w:rPr>
        <w:t xml:space="preserve"> Condiciones de vida y vulnerabilidad de la población afiliada, </w:t>
      </w:r>
      <w:r w:rsidR="00AD1364" w:rsidRPr="00C8589C">
        <w:rPr>
          <w:rFonts w:ascii="Humanst521 BT" w:eastAsia="Verdana" w:hAnsi="Humanst521 BT" w:cs="Verdana"/>
          <w:sz w:val="22"/>
          <w:szCs w:val="22"/>
          <w:lang w:val="es-ES"/>
        </w:rPr>
        <w:t xml:space="preserve">así como </w:t>
      </w:r>
      <w:r w:rsidR="00F21C0B" w:rsidRPr="00C8589C">
        <w:rPr>
          <w:rFonts w:ascii="Humanst521 BT" w:eastAsia="Verdana" w:hAnsi="Humanst521 BT" w:cs="Verdana"/>
          <w:sz w:val="22"/>
          <w:szCs w:val="22"/>
          <w:lang w:val="es-ES"/>
        </w:rPr>
        <w:t>las características</w:t>
      </w:r>
      <w:r w:rsidR="00F71DD8" w:rsidRPr="00C8589C">
        <w:rPr>
          <w:rFonts w:ascii="Humanst521 BT" w:eastAsia="Verdana" w:hAnsi="Humanst521 BT" w:cs="Verdana"/>
          <w:sz w:val="22"/>
          <w:szCs w:val="22"/>
          <w:lang w:val="es-ES"/>
        </w:rPr>
        <w:t xml:space="preserve"> </w:t>
      </w:r>
      <w:r w:rsidR="00F71DD8" w:rsidRPr="00C8589C">
        <w:rPr>
          <w:rFonts w:ascii="Humanst521 BT" w:eastAsia="Verdana" w:hAnsi="Humanst521 BT" w:cs="Verdana"/>
          <w:noProof/>
          <w:sz w:val="22"/>
          <w:szCs w:val="22"/>
          <w:lang w:val="es-ES"/>
        </w:rPr>
        <mc:AlternateContent>
          <mc:Choice Requires="wpg">
            <w:drawing>
              <wp:anchor distT="0" distB="0" distL="0" distR="0" simplePos="0" relativeHeight="251896320" behindDoc="0" locked="0" layoutInCell="1" allowOverlap="1" wp14:anchorId="374187BD" wp14:editId="680138D9">
                <wp:simplePos x="0" y="0"/>
                <wp:positionH relativeFrom="page">
                  <wp:posOffset>7636509</wp:posOffset>
                </wp:positionH>
                <wp:positionV relativeFrom="page">
                  <wp:posOffset>0</wp:posOffset>
                </wp:positionV>
                <wp:extent cx="135890" cy="1963420"/>
                <wp:effectExtent l="0" t="0" r="0" b="0"/>
                <wp:wrapNone/>
                <wp:docPr id="2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34" name="Graphic 150"/>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41" name="Graphic 151"/>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57" name="Graphic 152"/>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65" name="Graphic 153"/>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13F79DC0" id="Group 149" o:spid="_x0000_s1026" style="position:absolute;margin-left:601.3pt;margin-top:0;width:10.7pt;height:154.6pt;z-index:251896320;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">
                <v:shape id="Graphic 150"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" path="m,473467r135889,1l135889,,,,,473467xe" fillcolor="#33aea3" stroked="f">
                  <v:path arrowok="t"/>
                </v:shape>
                <v:shape id="Graphic 151"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" path="m,l,498641r135889,l135889,,,xe" fillcolor="#5cbeb6" stroked="f">
                  <v:path arrowok="t"/>
                </v:shape>
                <v:shape id="Graphic 152"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" path="m,l,498615r135889,1l135889,,,xe" fillcolor="#85cfc7" stroked="f">
                  <v:path arrowok="t"/>
                </v:shape>
                <v:shape id="Graphic 153"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" path="m,498424r135889,l135889,,,,,498424xe" fillcolor="#d5eeec" stroked="f">
                  <v:path arrowok="t"/>
                </v:shape>
                <w10:wrap anchorx="page" anchory="page"/>
              </v:group>
            </w:pict>
          </mc:Fallback>
        </mc:AlternateContent>
      </w:r>
      <w:r w:rsidR="00F71DD8" w:rsidRPr="00C8589C">
        <w:rPr>
          <w:rFonts w:ascii="Humanst521 BT" w:eastAsia="Verdana" w:hAnsi="Humanst521 BT" w:cs="Verdana"/>
          <w:sz w:val="22"/>
          <w:szCs w:val="22"/>
          <w:lang w:val="es-ES"/>
        </w:rPr>
        <w:t>socioeconómicas, educativas y de atención, que permite comprender las circunstancias de vida de los afiliados</w:t>
      </w:r>
      <w:bookmarkEnd w:id="57"/>
    </w:p>
    <w:p w14:paraId="696EB010" w14:textId="77777777" w:rsidR="000B78B4" w:rsidRPr="000B78B4" w:rsidRDefault="000B78B4" w:rsidP="00AA206C">
      <w:pPr>
        <w:widowControl/>
        <w:autoSpaceDE/>
        <w:autoSpaceDN/>
        <w:spacing w:before="100" w:beforeAutospacing="1" w:after="100" w:afterAutospacing="1"/>
        <w:jc w:val="both"/>
        <w:rPr>
          <w:rFonts w:ascii="Humanst521 BT" w:eastAsia="Times New Roman" w:hAnsi="Humanst521 BT" w:cs="Times New Roman"/>
          <w:b/>
          <w:bCs/>
          <w:lang w:val="es-CO" w:eastAsia="es-CO"/>
        </w:rPr>
      </w:pPr>
      <w:bookmarkStart w:id="58" w:name="_Toc155202213"/>
      <w:bookmarkStart w:id="59" w:name="_Toc155202231"/>
      <w:bookmarkStart w:id="60" w:name="_Toc161302608"/>
      <w:bookmarkStart w:id="61" w:name="_Toc161298274"/>
      <w:r w:rsidRPr="000B78B4">
        <w:rPr>
          <w:b/>
          <w:bCs/>
        </w:rPr>
        <w:t>Estratificación Socioeconómica y su Implicación Epidemiológica</w:t>
      </w:r>
      <w:r w:rsidRPr="000B78B4">
        <w:rPr>
          <w:rFonts w:ascii="Humanst521 BT" w:eastAsia="Times New Roman" w:hAnsi="Humanst521 BT" w:cs="Times New Roman"/>
          <w:b/>
          <w:bCs/>
          <w:lang w:val="es-CO" w:eastAsia="es-CO"/>
        </w:rPr>
        <w:t xml:space="preserve"> </w:t>
      </w:r>
    </w:p>
    <w:p w14:paraId="77727AC3" w14:textId="218AEB39" w:rsidR="00AA206C" w:rsidRPr="00AA206C" w:rsidRDefault="00AA206C" w:rsidP="00AA206C">
      <w:pPr>
        <w:widowControl/>
        <w:autoSpaceDE/>
        <w:autoSpaceDN/>
        <w:spacing w:before="100" w:beforeAutospacing="1" w:after="100" w:afterAutospacing="1"/>
        <w:jc w:val="both"/>
        <w:rPr>
          <w:rFonts w:ascii="Humanst521 BT" w:eastAsia="Times New Roman" w:hAnsi="Humanst521 BT" w:cs="Times New Roman"/>
          <w:lang w:val="es-CO" w:eastAsia="es-CO"/>
        </w:rPr>
      </w:pPr>
      <w:r w:rsidRPr="00AA206C">
        <w:rPr>
          <w:rFonts w:ascii="Humanst521 BT" w:eastAsia="Times New Roman" w:hAnsi="Humanst521 BT" w:cs="Times New Roman"/>
          <w:lang w:val="es-CO" w:eastAsia="es-CO"/>
        </w:rPr>
        <w:t>La distribución de la población afiliada según su estrato socioeconómico (</w:t>
      </w:r>
      <w:r w:rsidRPr="00AA206C">
        <w:rPr>
          <w:rFonts w:ascii="Humanst521 BT" w:eastAsia="Times New Roman" w:hAnsi="Humanst521 BT" w:cs="Times New Roman"/>
          <w:b/>
          <w:bCs/>
          <w:lang w:val="es-CO" w:eastAsia="es-CO"/>
        </w:rPr>
        <w:t xml:space="preserve">Figura </w:t>
      </w:r>
      <w:r>
        <w:rPr>
          <w:rFonts w:ascii="Humanst521 BT" w:eastAsia="Times New Roman" w:hAnsi="Humanst521 BT" w:cs="Times New Roman"/>
          <w:b/>
          <w:bCs/>
          <w:lang w:val="es-CO" w:eastAsia="es-CO"/>
        </w:rPr>
        <w:t>6</w:t>
      </w:r>
      <w:r w:rsidRPr="00AA206C">
        <w:rPr>
          <w:rFonts w:ascii="Humanst521 BT" w:eastAsia="Times New Roman" w:hAnsi="Humanst521 BT" w:cs="Times New Roman"/>
          <w:lang w:val="es-CO" w:eastAsia="es-CO"/>
        </w:rPr>
        <w:t>) revela una estructura predominantemente concentrada en los niveles medio-alto y alto. El 53,24% de los afiliados se ubica en los estratos 4, 5 y 6, lo que generalmente se correlaciona con entornos urbanos estables, acceso continuo a servicios públicos domiciliarios de calidad y entornos residenciales de menor riesgo físico-ambiental.</w:t>
      </w:r>
    </w:p>
    <w:p w14:paraId="7DDC7ADB" w14:textId="25884430" w:rsidR="00AA206C" w:rsidRPr="00AA206C" w:rsidRDefault="00AA206C" w:rsidP="00AA206C">
      <w:pPr>
        <w:widowControl/>
        <w:autoSpaceDE/>
        <w:autoSpaceDN/>
        <w:spacing w:before="100" w:beforeAutospacing="1" w:after="100" w:afterAutospacing="1"/>
        <w:jc w:val="both"/>
        <w:rPr>
          <w:rFonts w:ascii="Humanst521 BT" w:eastAsia="Times New Roman" w:hAnsi="Humanst521 BT" w:cs="Times New Roman"/>
          <w:lang w:val="es-CO" w:eastAsia="es-CO"/>
        </w:rPr>
      </w:pPr>
      <w:r w:rsidRPr="00AA206C">
        <w:rPr>
          <w:rFonts w:ascii="Humanst521 BT" w:eastAsia="Times New Roman" w:hAnsi="Humanst521 BT" w:cs="Times New Roman"/>
          <w:lang w:val="es-CO" w:eastAsia="es-CO"/>
        </w:rPr>
        <w:t xml:space="preserve">No obstante, bajo una perspectiva de equidad y enfoque diferencial, UISALUD prioriza el análisis del </w:t>
      </w:r>
      <w:r w:rsidRPr="00AA206C">
        <w:rPr>
          <w:rFonts w:ascii="Humanst521 BT" w:eastAsia="Times New Roman" w:hAnsi="Humanst521 BT" w:cs="Times New Roman"/>
          <w:b/>
          <w:bCs/>
          <w:lang w:val="es-CO" w:eastAsia="es-CO"/>
        </w:rPr>
        <w:t>19,83% de la población afiliada que reside en estratos 1, 2 y 3</w:t>
      </w:r>
      <w:r w:rsidRPr="00AA206C">
        <w:rPr>
          <w:rFonts w:ascii="Humanst521 BT" w:eastAsia="Times New Roman" w:hAnsi="Humanst521 BT" w:cs="Times New Roman"/>
          <w:lang w:val="es-CO" w:eastAsia="es-CO"/>
        </w:rPr>
        <w:t>. A pesar de pertenecer a una población laboralmente vinculada o beneficiaria de un régimen especial, este grupo presenta una vulnerabilidad relativa mayor en el marco de la crisis climática y la seguridad alimentaria urbana. La estratificación socioeconómica actúa como un proxy del entorno micro</w:t>
      </w:r>
      <w:r w:rsidR="00FA3E72">
        <w:rPr>
          <w:rFonts w:ascii="Humanst521 BT" w:eastAsia="Times New Roman" w:hAnsi="Humanst521 BT" w:cs="Times New Roman"/>
          <w:lang w:val="es-CO" w:eastAsia="es-CO"/>
        </w:rPr>
        <w:t xml:space="preserve"> </w:t>
      </w:r>
      <w:r w:rsidRPr="00AA206C">
        <w:rPr>
          <w:rFonts w:ascii="Humanst521 BT" w:eastAsia="Times New Roman" w:hAnsi="Humanst521 BT" w:cs="Times New Roman"/>
          <w:lang w:val="es-CO" w:eastAsia="es-CO"/>
        </w:rPr>
        <w:t>-</w:t>
      </w:r>
      <w:r w:rsidR="00FA3E72">
        <w:rPr>
          <w:rFonts w:ascii="Humanst521 BT" w:eastAsia="Times New Roman" w:hAnsi="Humanst521 BT" w:cs="Times New Roman"/>
          <w:lang w:val="es-CO" w:eastAsia="es-CO"/>
        </w:rPr>
        <w:t xml:space="preserve"> </w:t>
      </w:r>
      <w:r w:rsidRPr="00AA206C">
        <w:rPr>
          <w:rFonts w:ascii="Humanst521 BT" w:eastAsia="Times New Roman" w:hAnsi="Humanst521 BT" w:cs="Times New Roman"/>
          <w:lang w:val="es-CO" w:eastAsia="es-CO"/>
        </w:rPr>
        <w:t>territorial; por tanto, este segmento requiere un seguimiento más estrecho dentro de los programas de promoción y prevención, dado que las barreras del entorno residencial (transporte, accesibilidad vial, redes de apoyo comunitario) inciden directamente en la oportunidad y la adherencia a tratamientos médicos de control crónico.</w:t>
      </w:r>
    </w:p>
    <w:p w14:paraId="321F473A" w14:textId="77777777" w:rsidR="00AA206C" w:rsidRDefault="00AA206C" w:rsidP="00AA206C">
      <w:pPr>
        <w:rPr>
          <w:lang w:val="es-CO"/>
        </w:rPr>
      </w:pPr>
    </w:p>
    <w:p w14:paraId="0562554A" w14:textId="77777777" w:rsidR="00FF2385" w:rsidRDefault="00FF2385" w:rsidP="00AA206C">
      <w:pPr>
        <w:rPr>
          <w:lang w:val="es-CO"/>
        </w:rPr>
      </w:pPr>
    </w:p>
    <w:p w14:paraId="3854BE3C" w14:textId="77777777" w:rsidR="00FF2385" w:rsidRDefault="00FF2385" w:rsidP="00AA206C">
      <w:pPr>
        <w:rPr>
          <w:lang w:val="es-CO"/>
        </w:rPr>
      </w:pPr>
    </w:p>
    <w:p w14:paraId="39806DE9" w14:textId="77777777" w:rsidR="00FF2385" w:rsidRDefault="00FF2385" w:rsidP="00AA206C">
      <w:pPr>
        <w:rPr>
          <w:lang w:val="es-CO"/>
        </w:rPr>
      </w:pPr>
    </w:p>
    <w:p w14:paraId="5967CC2B" w14:textId="77777777" w:rsidR="00FF2385" w:rsidRDefault="00FF2385" w:rsidP="00AA206C">
      <w:pPr>
        <w:rPr>
          <w:lang w:val="es-CO"/>
        </w:rPr>
      </w:pPr>
    </w:p>
    <w:p w14:paraId="59F0026A" w14:textId="77777777" w:rsidR="00FF2385" w:rsidRDefault="00FF2385" w:rsidP="00AA206C">
      <w:pPr>
        <w:rPr>
          <w:lang w:val="es-CO"/>
        </w:rPr>
      </w:pPr>
    </w:p>
    <w:p w14:paraId="04611163" w14:textId="77777777" w:rsidR="00FF2385" w:rsidRDefault="00FF2385" w:rsidP="00AA206C">
      <w:pPr>
        <w:rPr>
          <w:lang w:val="es-CO"/>
        </w:rPr>
      </w:pPr>
    </w:p>
    <w:p w14:paraId="55C1817E" w14:textId="77777777" w:rsidR="00FF2385" w:rsidRDefault="00FF2385" w:rsidP="00AA206C">
      <w:pPr>
        <w:rPr>
          <w:lang w:val="es-CO"/>
        </w:rPr>
      </w:pPr>
    </w:p>
    <w:p w14:paraId="1FAEE1A2" w14:textId="77777777" w:rsidR="00FF2385" w:rsidRPr="00AA206C" w:rsidRDefault="00FF2385" w:rsidP="00AA206C">
      <w:pPr>
        <w:rPr>
          <w:lang w:val="es-CO"/>
        </w:rPr>
      </w:pPr>
    </w:p>
    <w:p w14:paraId="5445FFBA" w14:textId="40CD9B09" w:rsidR="00547394" w:rsidRPr="00194BD8" w:rsidRDefault="00AA206C" w:rsidP="00547394">
      <w:pPr>
        <w:pStyle w:val="Descripcin"/>
        <w:rPr>
          <w:rFonts w:ascii="Humanst521 BT" w:eastAsia="Verdana" w:hAnsi="Humanst521 BT" w:cs="Verdana"/>
          <w:b w:val="0"/>
          <w:bCs w:val="0"/>
          <w:color w:val="000000" w:themeColor="text1"/>
          <w:sz w:val="22"/>
          <w:szCs w:val="22"/>
          <w:lang w:val="es-ES"/>
        </w:rPr>
      </w:pPr>
      <w:r w:rsidRPr="00194BD8">
        <w:rPr>
          <w:rFonts w:ascii="Humanst521 BT" w:hAnsi="Humanst521 BT"/>
          <w:color w:val="000000" w:themeColor="text1"/>
          <w:sz w:val="22"/>
          <w:szCs w:val="22"/>
        </w:rPr>
        <w:t xml:space="preserve">Figura </w:t>
      </w:r>
      <w:r w:rsidRPr="00194BD8">
        <w:rPr>
          <w:rFonts w:ascii="Humanst521 BT" w:hAnsi="Humanst521 BT"/>
          <w:color w:val="000000" w:themeColor="text1"/>
          <w:sz w:val="22"/>
          <w:szCs w:val="22"/>
        </w:rPr>
        <w:fldChar w:fldCharType="begin"/>
      </w:r>
      <w:r w:rsidRPr="00194BD8">
        <w:rPr>
          <w:rFonts w:ascii="Humanst521 BT" w:hAnsi="Humanst521 BT"/>
          <w:color w:val="000000" w:themeColor="text1"/>
          <w:sz w:val="22"/>
          <w:szCs w:val="22"/>
        </w:rPr>
        <w:instrText xml:space="preserve"> SEQ Figura \* ARABIC </w:instrText>
      </w:r>
      <w:r w:rsidRPr="00194BD8">
        <w:rPr>
          <w:rFonts w:ascii="Humanst521 BT" w:hAnsi="Humanst521 BT"/>
          <w:color w:val="000000" w:themeColor="text1"/>
          <w:sz w:val="22"/>
          <w:szCs w:val="22"/>
        </w:rPr>
        <w:fldChar w:fldCharType="separate"/>
      </w:r>
      <w:r w:rsidR="007E563D">
        <w:rPr>
          <w:rFonts w:ascii="Humanst521 BT" w:hAnsi="Humanst521 BT"/>
          <w:noProof/>
          <w:color w:val="000000" w:themeColor="text1"/>
          <w:sz w:val="22"/>
          <w:szCs w:val="22"/>
        </w:rPr>
        <w:t>6</w:t>
      </w:r>
      <w:r w:rsidRPr="00194BD8">
        <w:rPr>
          <w:rFonts w:ascii="Humanst521 BT" w:hAnsi="Humanst521 BT"/>
          <w:color w:val="000000" w:themeColor="text1"/>
          <w:sz w:val="22"/>
          <w:szCs w:val="22"/>
        </w:rPr>
        <w:fldChar w:fldCharType="end"/>
      </w:r>
      <w:r w:rsidRPr="00194BD8">
        <w:rPr>
          <w:rFonts w:ascii="Humanst521 BT" w:hAnsi="Humanst521 BT"/>
          <w:color w:val="000000" w:themeColor="text1"/>
          <w:sz w:val="22"/>
          <w:szCs w:val="22"/>
        </w:rPr>
        <w:t xml:space="preserve">. </w:t>
      </w:r>
      <w:r w:rsidR="00547394" w:rsidRPr="00194BD8">
        <w:rPr>
          <w:rFonts w:ascii="Humanst521 BT" w:eastAsia="Verdana" w:hAnsi="Humanst521 BT" w:cs="Verdana"/>
          <w:b w:val="0"/>
          <w:bCs w:val="0"/>
          <w:color w:val="000000" w:themeColor="text1"/>
          <w:sz w:val="22"/>
          <w:szCs w:val="22"/>
          <w:lang w:val="es-ES"/>
        </w:rPr>
        <w:t>Distribución por estrato socioeconómico.</w:t>
      </w:r>
      <w:bookmarkEnd w:id="58"/>
      <w:bookmarkEnd w:id="59"/>
      <w:bookmarkEnd w:id="60"/>
      <w:bookmarkEnd w:id="61"/>
    </w:p>
    <w:p w14:paraId="1C706B3F" w14:textId="77777777" w:rsidR="00547394" w:rsidRPr="007F0FA7" w:rsidRDefault="00547394" w:rsidP="00547394">
      <w:pPr>
        <w:keepNext/>
        <w:spacing w:line="276" w:lineRule="auto"/>
        <w:jc w:val="center"/>
        <w:rPr>
          <w:rFonts w:ascii="Humanst521 BT" w:hAnsi="Humanst521 BT"/>
        </w:rPr>
      </w:pPr>
      <w:r w:rsidRPr="007F0FA7">
        <w:rPr>
          <w:rFonts w:ascii="Humanst521 BT" w:hAnsi="Humanst521 BT"/>
          <w:noProof/>
        </w:rPr>
        <w:drawing>
          <wp:inline distT="0" distB="0" distL="0" distR="0" wp14:anchorId="6AD37937" wp14:editId="404ACFE9">
            <wp:extent cx="3215148" cy="2190115"/>
            <wp:effectExtent l="0" t="0" r="4445" b="635"/>
            <wp:docPr id="1766956382" name="Gráfico 1">
              <a:extLst xmlns:a="http://schemas.openxmlformats.org/drawingml/2006/main">
                <a:ext uri="{FF2B5EF4-FFF2-40B4-BE49-F238E27FC236}">
                  <a16:creationId xmlns:a16="http://schemas.microsoft.com/office/drawing/2014/main" id="{248E9FD8-7B77-30DB-1CC4-0596074372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CF2036" w14:textId="6FA722A7" w:rsidR="00547394" w:rsidRPr="00194BD8" w:rsidRDefault="00547394" w:rsidP="00547394">
      <w:pPr>
        <w:pStyle w:val="Descripcin"/>
        <w:rPr>
          <w:rFonts w:ascii="Humanst521 BT" w:hAnsi="Humanst521 BT" w:cs="Arial"/>
          <w:b w:val="0"/>
          <w:color w:val="000000" w:themeColor="text1"/>
          <w:szCs w:val="22"/>
        </w:rPr>
      </w:pPr>
      <w:r w:rsidRPr="00194BD8">
        <w:rPr>
          <w:rFonts w:ascii="Humanst521 BT" w:hAnsi="Humanst521 BT"/>
          <w:color w:val="000000" w:themeColor="text1"/>
          <w:sz w:val="18"/>
          <w:szCs w:val="14"/>
        </w:rPr>
        <w:t>Fuente: Elaboración propia según información de la base de datos de afiliados.</w:t>
      </w:r>
    </w:p>
    <w:p w14:paraId="2CB45DB0" w14:textId="29C925DB" w:rsidR="00547394" w:rsidRPr="008B3D4F" w:rsidRDefault="006833B5" w:rsidP="00547394">
      <w:pPr>
        <w:spacing w:line="276" w:lineRule="auto"/>
        <w:rPr>
          <w:rFonts w:ascii="Humanst521 BT" w:hAnsi="Humanst521 BT"/>
          <w:b/>
          <w:bCs/>
          <w:i/>
          <w:iCs/>
        </w:rPr>
      </w:pPr>
      <w:r w:rsidRPr="008B3D4F">
        <w:rPr>
          <w:rFonts w:ascii="Humanst521 BT" w:hAnsi="Humanst521 BT"/>
          <w:b/>
          <w:bCs/>
          <w:i/>
          <w:iCs/>
        </w:rPr>
        <w:t>Capacidad Económica y Gestión Integral del Riesgo en Salud (GIRS)</w:t>
      </w:r>
    </w:p>
    <w:p w14:paraId="3DB89F61" w14:textId="77777777" w:rsidR="006833B5" w:rsidRPr="006833B5" w:rsidRDefault="006833B5" w:rsidP="006833B5">
      <w:pPr>
        <w:widowControl/>
        <w:autoSpaceDE/>
        <w:autoSpaceDN/>
        <w:spacing w:before="100" w:beforeAutospacing="1" w:after="100" w:afterAutospacing="1"/>
        <w:jc w:val="both"/>
        <w:rPr>
          <w:rFonts w:ascii="Humanst521 BT" w:eastAsia="Times New Roman" w:hAnsi="Humanst521 BT" w:cs="Times New Roman"/>
          <w:lang w:val="es-CO" w:eastAsia="es-CO"/>
        </w:rPr>
      </w:pPr>
      <w:r w:rsidRPr="006833B5">
        <w:rPr>
          <w:rFonts w:ascii="Humanst521 BT" w:eastAsia="Times New Roman" w:hAnsi="Humanst521 BT" w:cs="Times New Roman"/>
          <w:lang w:val="es-CO" w:eastAsia="es-CO"/>
        </w:rPr>
        <w:t>El comportamiento de los ingresos salariales de los cotizantes (</w:t>
      </w:r>
      <w:r w:rsidRPr="006833B5">
        <w:rPr>
          <w:rFonts w:ascii="Humanst521 BT" w:eastAsia="Times New Roman" w:hAnsi="Humanst521 BT" w:cs="Times New Roman"/>
          <w:b/>
          <w:bCs/>
          <w:lang w:val="es-CO" w:eastAsia="es-CO"/>
        </w:rPr>
        <w:t>Figura 4</w:t>
      </w:r>
      <w:r w:rsidRPr="006833B5">
        <w:rPr>
          <w:rFonts w:ascii="Humanst521 BT" w:eastAsia="Times New Roman" w:hAnsi="Humanst521 BT" w:cs="Times New Roman"/>
          <w:lang w:val="es-CO" w:eastAsia="es-CO"/>
        </w:rPr>
        <w:t>) confirma una alta suficiencia económica global, caracterizada por una mediana de 6,1 SMMLV, donde el 50% de los afiliados cotizantes devengan entre 2,7 y 9,3 SMMLV. Siguiendo los criterios de clasificación del DANE, el 57,6% (1.031 cotizantes) se categoriza en un nivel de ingresos superior a los 4 SMMLV (clase alta), mientras que el 40,6% (727 cotizantes) se ubica en la franja de clase media (entre 1 y 4 SMMLV).</w:t>
      </w:r>
    </w:p>
    <w:p w14:paraId="6EC71597" w14:textId="77777777" w:rsidR="006833B5" w:rsidRPr="006833B5" w:rsidRDefault="006833B5" w:rsidP="006833B5">
      <w:pPr>
        <w:widowControl/>
        <w:autoSpaceDE/>
        <w:autoSpaceDN/>
        <w:spacing w:before="100" w:beforeAutospacing="1" w:after="100" w:afterAutospacing="1"/>
        <w:jc w:val="both"/>
        <w:rPr>
          <w:rFonts w:ascii="Humanst521 BT" w:eastAsia="Times New Roman" w:hAnsi="Humanst521 BT" w:cs="Times New Roman"/>
          <w:lang w:val="es-CO" w:eastAsia="es-CO"/>
        </w:rPr>
      </w:pPr>
      <w:r w:rsidRPr="006833B5">
        <w:rPr>
          <w:rFonts w:ascii="Humanst521 BT" w:eastAsia="Times New Roman" w:hAnsi="Humanst521 BT" w:cs="Times New Roman"/>
          <w:lang w:val="es-CO" w:eastAsia="es-CO"/>
        </w:rPr>
        <w:t xml:space="preserve">Frente a este panorama de aparente homogeneidad y bienestar financiero, el sistema de vigilancia epidemiológica institucional fija su atención de forma prioritaria en los </w:t>
      </w:r>
      <w:r w:rsidRPr="006833B5">
        <w:rPr>
          <w:rFonts w:ascii="Humanst521 BT" w:eastAsia="Times New Roman" w:hAnsi="Humanst521 BT" w:cs="Times New Roman"/>
          <w:b/>
          <w:bCs/>
          <w:lang w:val="es-CO" w:eastAsia="es-CO"/>
        </w:rPr>
        <w:t>30 afiliados cotizantes que perciben un ingreso equivalente a 1 SMMLV</w:t>
      </w:r>
      <w:r w:rsidRPr="006833B5">
        <w:rPr>
          <w:rFonts w:ascii="Humanst521 BT" w:eastAsia="Times New Roman" w:hAnsi="Humanst521 BT" w:cs="Times New Roman"/>
          <w:lang w:val="es-CO" w:eastAsia="es-CO"/>
        </w:rPr>
        <w:t>. Desde el enfoque analítico de la GIRS, una menor capacidad económica familiar restringe la flexibilidad para asumir gastos de bolsillo indirectos no cubiertos por el plan de salud (tales como transporte para citas de subespecialidades, cuidadores formales para adultos mayores dependientes o adquisición de complementos nutricionales específicos). Este factor económico estructural puede traducirse en barreras invisibles de acceso que terminan impactando los indicadores institucionales de control de enfermedades crónicas no transmisibles.</w:t>
      </w:r>
    </w:p>
    <w:p w14:paraId="114E7C99" w14:textId="77777777" w:rsidR="006833B5" w:rsidRDefault="006833B5" w:rsidP="00547394">
      <w:pPr>
        <w:spacing w:line="276" w:lineRule="auto"/>
        <w:rPr>
          <w:rFonts w:ascii="Humanst521 BT" w:hAnsi="Humanst521 BT" w:cs="Arial"/>
        </w:rPr>
      </w:pPr>
    </w:p>
    <w:p w14:paraId="552EA837" w14:textId="77777777" w:rsidR="00FF2385" w:rsidRDefault="00FF2385" w:rsidP="00547394">
      <w:pPr>
        <w:spacing w:line="276" w:lineRule="auto"/>
        <w:rPr>
          <w:rFonts w:ascii="Humanst521 BT" w:hAnsi="Humanst521 BT" w:cs="Arial"/>
        </w:rPr>
      </w:pPr>
    </w:p>
    <w:p w14:paraId="3EEF4CB4" w14:textId="77777777" w:rsidR="00FF2385" w:rsidRDefault="00FF2385" w:rsidP="00547394">
      <w:pPr>
        <w:spacing w:line="276" w:lineRule="auto"/>
        <w:rPr>
          <w:rFonts w:ascii="Humanst521 BT" w:hAnsi="Humanst521 BT" w:cs="Arial"/>
        </w:rPr>
      </w:pPr>
    </w:p>
    <w:p w14:paraId="02FDE7FA" w14:textId="77777777" w:rsidR="00FF2385" w:rsidRDefault="00FF2385" w:rsidP="00547394">
      <w:pPr>
        <w:spacing w:line="276" w:lineRule="auto"/>
        <w:rPr>
          <w:rFonts w:ascii="Humanst521 BT" w:hAnsi="Humanst521 BT" w:cs="Arial"/>
        </w:rPr>
      </w:pPr>
    </w:p>
    <w:p w14:paraId="68A72546" w14:textId="77777777" w:rsidR="00FF2385" w:rsidRDefault="00FF2385" w:rsidP="00547394">
      <w:pPr>
        <w:spacing w:line="276" w:lineRule="auto"/>
        <w:rPr>
          <w:rFonts w:ascii="Humanst521 BT" w:hAnsi="Humanst521 BT" w:cs="Arial"/>
        </w:rPr>
      </w:pPr>
    </w:p>
    <w:p w14:paraId="186B742D" w14:textId="77777777" w:rsidR="00FF2385" w:rsidRDefault="00FF2385" w:rsidP="00547394">
      <w:pPr>
        <w:spacing w:line="276" w:lineRule="auto"/>
        <w:rPr>
          <w:rFonts w:ascii="Humanst521 BT" w:hAnsi="Humanst521 BT" w:cs="Arial"/>
        </w:rPr>
      </w:pPr>
    </w:p>
    <w:p w14:paraId="7FBC90FA" w14:textId="77777777" w:rsidR="00FF2385" w:rsidRDefault="00FF2385" w:rsidP="00547394">
      <w:pPr>
        <w:spacing w:line="276" w:lineRule="auto"/>
        <w:rPr>
          <w:rFonts w:ascii="Humanst521 BT" w:hAnsi="Humanst521 BT" w:cs="Arial"/>
        </w:rPr>
      </w:pPr>
    </w:p>
    <w:p w14:paraId="5775CFF1" w14:textId="77777777" w:rsidR="00FF2385" w:rsidRPr="007F0FA7" w:rsidRDefault="00FF2385" w:rsidP="00547394">
      <w:pPr>
        <w:spacing w:line="276" w:lineRule="auto"/>
        <w:rPr>
          <w:rFonts w:ascii="Humanst521 BT" w:hAnsi="Humanst521 BT" w:cs="Arial"/>
        </w:rPr>
      </w:pPr>
    </w:p>
    <w:p w14:paraId="1E7AFD16" w14:textId="04323F50" w:rsidR="00547394" w:rsidRPr="007F0FA7" w:rsidRDefault="006833B5" w:rsidP="00547394">
      <w:pPr>
        <w:pStyle w:val="Descripcin"/>
        <w:rPr>
          <w:rFonts w:ascii="Humanst521 BT" w:hAnsi="Humanst521 BT"/>
          <w:b w:val="0"/>
          <w:bCs w:val="0"/>
          <w:color w:val="auto"/>
          <w:sz w:val="20"/>
          <w:szCs w:val="20"/>
        </w:rPr>
      </w:pPr>
      <w:bookmarkStart w:id="62" w:name="_Toc161302609"/>
      <w:bookmarkStart w:id="63" w:name="_Toc161298275"/>
      <w:r w:rsidRPr="00194BD8">
        <w:rPr>
          <w:rFonts w:ascii="Humanst521 BT" w:hAnsi="Humanst521 BT"/>
          <w:color w:val="000000" w:themeColor="text1"/>
          <w:sz w:val="22"/>
          <w:szCs w:val="22"/>
        </w:rPr>
        <w:lastRenderedPageBreak/>
        <w:t xml:space="preserve">Figura </w:t>
      </w:r>
      <w:r w:rsidRPr="00194BD8">
        <w:rPr>
          <w:rFonts w:ascii="Humanst521 BT" w:hAnsi="Humanst521 BT"/>
          <w:color w:val="000000" w:themeColor="text1"/>
          <w:sz w:val="22"/>
          <w:szCs w:val="22"/>
        </w:rPr>
        <w:fldChar w:fldCharType="begin"/>
      </w:r>
      <w:r w:rsidRPr="00194BD8">
        <w:rPr>
          <w:rFonts w:ascii="Humanst521 BT" w:hAnsi="Humanst521 BT"/>
          <w:color w:val="000000" w:themeColor="text1"/>
          <w:sz w:val="22"/>
          <w:szCs w:val="22"/>
        </w:rPr>
        <w:instrText xml:space="preserve"> SEQ Figura \* ARABIC </w:instrText>
      </w:r>
      <w:r w:rsidRPr="00194BD8">
        <w:rPr>
          <w:rFonts w:ascii="Humanst521 BT" w:hAnsi="Humanst521 BT"/>
          <w:color w:val="000000" w:themeColor="text1"/>
          <w:sz w:val="22"/>
          <w:szCs w:val="22"/>
        </w:rPr>
        <w:fldChar w:fldCharType="separate"/>
      </w:r>
      <w:r w:rsidR="007E563D">
        <w:rPr>
          <w:rFonts w:ascii="Humanst521 BT" w:hAnsi="Humanst521 BT"/>
          <w:noProof/>
          <w:color w:val="000000" w:themeColor="text1"/>
          <w:sz w:val="22"/>
          <w:szCs w:val="22"/>
        </w:rPr>
        <w:t>7</w:t>
      </w:r>
      <w:r w:rsidRPr="00194BD8">
        <w:rPr>
          <w:rFonts w:ascii="Humanst521 BT" w:hAnsi="Humanst521 BT"/>
          <w:color w:val="000000" w:themeColor="text1"/>
          <w:sz w:val="22"/>
          <w:szCs w:val="22"/>
        </w:rPr>
        <w:fldChar w:fldCharType="end"/>
      </w:r>
      <w:r w:rsidRPr="00194BD8">
        <w:rPr>
          <w:rFonts w:ascii="Humanst521 BT" w:hAnsi="Humanst521 BT"/>
          <w:color w:val="000000" w:themeColor="text1"/>
          <w:sz w:val="22"/>
          <w:szCs w:val="22"/>
        </w:rPr>
        <w:t xml:space="preserve">. </w:t>
      </w:r>
      <w:r w:rsidR="00547394" w:rsidRPr="007F0FA7">
        <w:rPr>
          <w:rFonts w:ascii="Humanst521 BT" w:hAnsi="Humanst521 BT"/>
          <w:b w:val="0"/>
          <w:bCs w:val="0"/>
          <w:color w:val="auto"/>
          <w:sz w:val="20"/>
          <w:szCs w:val="20"/>
        </w:rPr>
        <w:t>Comparación de Ingreso salarial afiliados UISALUD</w:t>
      </w:r>
      <w:bookmarkEnd w:id="62"/>
      <w:bookmarkEnd w:id="63"/>
    </w:p>
    <w:p w14:paraId="6F4BE7CA" w14:textId="77777777" w:rsidR="00547394" w:rsidRPr="007F0FA7" w:rsidRDefault="00547394" w:rsidP="00547394">
      <w:pPr>
        <w:jc w:val="center"/>
        <w:rPr>
          <w:rFonts w:ascii="Humanst521 BT" w:hAnsi="Humanst521 BT"/>
          <w:noProof/>
        </w:rPr>
      </w:pPr>
      <w:r w:rsidRPr="007F0FA7">
        <w:rPr>
          <w:rFonts w:ascii="Humanst521 BT" w:hAnsi="Humanst521 BT"/>
          <w:noProof/>
        </w:rPr>
        <w:drawing>
          <wp:inline distT="0" distB="0" distL="0" distR="0" wp14:anchorId="5CE34BE9" wp14:editId="16E4158B">
            <wp:extent cx="3228437" cy="28021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9266" t="1992" r="20401" b="2665"/>
                    <a:stretch/>
                  </pic:blipFill>
                  <pic:spPr bwMode="auto">
                    <a:xfrm>
                      <a:off x="0" y="0"/>
                      <a:ext cx="3251145" cy="2821903"/>
                    </a:xfrm>
                    <a:prstGeom prst="rect">
                      <a:avLst/>
                    </a:prstGeom>
                    <a:noFill/>
                    <a:ln>
                      <a:noFill/>
                    </a:ln>
                    <a:extLst>
                      <a:ext uri="{53640926-AAD7-44D8-BBD7-CCE9431645EC}">
                        <a14:shadowObscured xmlns:a14="http://schemas.microsoft.com/office/drawing/2010/main"/>
                      </a:ext>
                    </a:extLst>
                  </pic:spPr>
                </pic:pic>
              </a:graphicData>
            </a:graphic>
          </wp:inline>
        </w:drawing>
      </w:r>
    </w:p>
    <w:p w14:paraId="4E08366E" w14:textId="77777777" w:rsidR="00547394" w:rsidRPr="007F0FA7" w:rsidRDefault="00547394" w:rsidP="00547394">
      <w:pPr>
        <w:rPr>
          <w:rFonts w:ascii="Humanst521 BT" w:hAnsi="Humanst521 BT"/>
          <w:sz w:val="18"/>
          <w:szCs w:val="20"/>
        </w:rPr>
      </w:pPr>
      <w:r w:rsidRPr="007F0FA7">
        <w:rPr>
          <w:rFonts w:ascii="Humanst521 BT" w:hAnsi="Humanst521 BT"/>
          <w:sz w:val="18"/>
          <w:szCs w:val="20"/>
        </w:rPr>
        <w:t>Fuente: UISALUD</w:t>
      </w:r>
    </w:p>
    <w:p w14:paraId="2C1CF227" w14:textId="77777777" w:rsidR="00547394" w:rsidRDefault="00547394" w:rsidP="00547394">
      <w:pPr>
        <w:spacing w:line="276" w:lineRule="auto"/>
        <w:rPr>
          <w:rFonts w:ascii="Humanst521 BT" w:hAnsi="Humanst521 BT" w:cs="Arial"/>
        </w:rPr>
      </w:pPr>
    </w:p>
    <w:p w14:paraId="0143A3D7" w14:textId="77777777" w:rsidR="002E3D15" w:rsidRPr="008B3D4F" w:rsidRDefault="002E3D15" w:rsidP="008B3D4F">
      <w:pPr>
        <w:rPr>
          <w:rFonts w:ascii="Humanst521 BT" w:eastAsia="Times New Roman" w:hAnsi="Humanst521 BT" w:cs="Times New Roman"/>
          <w:b/>
          <w:bCs/>
          <w:i/>
          <w:iCs/>
          <w:lang w:val="es-CO"/>
        </w:rPr>
      </w:pPr>
      <w:r w:rsidRPr="008B3D4F">
        <w:rPr>
          <w:rFonts w:ascii="Humanst521 BT" w:hAnsi="Humanst521 BT"/>
          <w:b/>
          <w:bCs/>
          <w:i/>
          <w:iCs/>
        </w:rPr>
        <w:t>Determinantes Estructurales del Entorno Territorial (Bucaramanga / Santander)</w:t>
      </w:r>
    </w:p>
    <w:p w14:paraId="1AF11BEA" w14:textId="75233CE8" w:rsidR="002E3D15" w:rsidRPr="002E3D15" w:rsidRDefault="002E3D15" w:rsidP="002E3D15">
      <w:pPr>
        <w:pStyle w:val="NormalWeb"/>
        <w:jc w:val="both"/>
        <w:rPr>
          <w:rFonts w:ascii="Humanst521 BT" w:hAnsi="Humanst521 BT"/>
          <w:sz w:val="22"/>
          <w:szCs w:val="22"/>
        </w:rPr>
      </w:pPr>
      <w:r w:rsidRPr="002E3D15">
        <w:rPr>
          <w:rFonts w:ascii="Humanst521 BT" w:hAnsi="Humanst521 BT"/>
          <w:sz w:val="22"/>
          <w:szCs w:val="22"/>
        </w:rPr>
        <w:t xml:space="preserve">Las circunstancias de vida de los afiliados no están aisladas de las realidades del territorio donde residen y desarrollan sus actividades cotidianas. Como se detalla en la </w:t>
      </w:r>
      <w:r w:rsidRPr="002E3D15">
        <w:rPr>
          <w:rFonts w:ascii="Humanst521 BT" w:hAnsi="Humanst521 BT"/>
          <w:b/>
          <w:bCs/>
          <w:sz w:val="22"/>
          <w:szCs w:val="22"/>
        </w:rPr>
        <w:t>Tabla 17</w:t>
      </w:r>
      <w:r w:rsidRPr="002E3D15">
        <w:rPr>
          <w:rFonts w:ascii="Humanst521 BT" w:hAnsi="Humanst521 BT"/>
          <w:sz w:val="22"/>
          <w:szCs w:val="22"/>
        </w:rPr>
        <w:t>, los indicadores de Necesidades Básicas Insatisfechas (NBI) y las variables de entorno socioeconómico de Bucaramanga y los municipios del área metropolitana configuran el macro</w:t>
      </w:r>
      <w:r>
        <w:rPr>
          <w:rFonts w:ascii="Humanst521 BT" w:hAnsi="Humanst521 BT"/>
          <w:sz w:val="22"/>
          <w:szCs w:val="22"/>
        </w:rPr>
        <w:t xml:space="preserve"> </w:t>
      </w:r>
      <w:r w:rsidRPr="002E3D15">
        <w:rPr>
          <w:rFonts w:ascii="Humanst521 BT" w:hAnsi="Humanst521 BT"/>
          <w:sz w:val="22"/>
          <w:szCs w:val="22"/>
        </w:rPr>
        <w:t>contexto que moldea la salud colectiva.</w:t>
      </w:r>
    </w:p>
    <w:p w14:paraId="2EC8AB50" w14:textId="77777777" w:rsidR="002E3D15" w:rsidRDefault="002E3D15" w:rsidP="002E3D15">
      <w:pPr>
        <w:pStyle w:val="NormalWeb"/>
        <w:jc w:val="both"/>
      </w:pPr>
      <w:r w:rsidRPr="002E3D15">
        <w:rPr>
          <w:rFonts w:ascii="Humanst521 BT" w:hAnsi="Humanst521 BT"/>
          <w:sz w:val="22"/>
          <w:szCs w:val="22"/>
        </w:rPr>
        <w:t>La interacción entre un alto nivel educativo promedio de la población cotizante y las coberturas de servicios públicos de la región favorece una alta alfabetización en salud, lo cual explica la excelente cobertura formal y la demanda informada de servicios de salud en la institución. Sin embargo, las brechas macroeconómicas municipales del entorno santandereano imponen la necesidad de que UISALUD mantenga una búsqueda activa y un monitoreo continuo de sus grupos más vulnerables (afiliados de bajos ingresos, adultos mayores solos en estratos bajos), articulando sus acciones asistenciales con las redes de apoyo social y los programas de la entidad territorial, asegurando así un abordaje integral de la salud fundamentado en la equidad intersectorial</w:t>
      </w:r>
      <w:r>
        <w:t xml:space="preserve">. </w:t>
      </w:r>
    </w:p>
    <w:p w14:paraId="29A735A9" w14:textId="77777777" w:rsidR="002E3D15" w:rsidRPr="007F0FA7" w:rsidRDefault="002E3D15" w:rsidP="00547394">
      <w:pPr>
        <w:spacing w:line="276" w:lineRule="auto"/>
        <w:rPr>
          <w:rFonts w:ascii="Humanst521 BT" w:hAnsi="Humanst521 BT" w:cs="Arial"/>
        </w:rPr>
      </w:pPr>
    </w:p>
    <w:p w14:paraId="6F06DFBC" w14:textId="29A75F0E" w:rsidR="00547394" w:rsidRPr="007F0FA7" w:rsidRDefault="00547394" w:rsidP="00547394">
      <w:pPr>
        <w:pStyle w:val="Descripcin"/>
        <w:keepNext/>
        <w:rPr>
          <w:rFonts w:ascii="Humanst521 BT" w:hAnsi="Humanst521 BT"/>
          <w:color w:val="auto"/>
          <w:sz w:val="20"/>
          <w:szCs w:val="20"/>
        </w:rPr>
      </w:pPr>
      <w:bookmarkStart w:id="64" w:name="_Toc161298175"/>
      <w:bookmarkStart w:id="65" w:name="_Toc161318795"/>
      <w:bookmarkStart w:id="66" w:name="_Toc231286259"/>
      <w:r w:rsidRPr="007F0FA7">
        <w:rPr>
          <w:rFonts w:ascii="Humanst521 BT" w:hAnsi="Humanst521 BT"/>
          <w:color w:val="auto"/>
          <w:sz w:val="20"/>
          <w:szCs w:val="20"/>
        </w:rPr>
        <w:lastRenderedPageBreak/>
        <w:t xml:space="preserve">Tabla </w:t>
      </w:r>
      <w:r w:rsidRPr="007F0FA7">
        <w:rPr>
          <w:rFonts w:ascii="Humanst521 BT" w:hAnsi="Humanst521 BT"/>
          <w:color w:val="auto"/>
          <w:sz w:val="20"/>
          <w:szCs w:val="20"/>
        </w:rPr>
        <w:fldChar w:fldCharType="begin"/>
      </w:r>
      <w:r w:rsidRPr="007F0FA7">
        <w:rPr>
          <w:rFonts w:ascii="Humanst521 BT" w:hAnsi="Humanst521 BT"/>
          <w:color w:val="auto"/>
          <w:sz w:val="20"/>
          <w:szCs w:val="20"/>
        </w:rPr>
        <w:instrText xml:space="preserve"> SEQ Tabla \* ARABIC </w:instrText>
      </w:r>
      <w:r w:rsidRPr="007F0FA7">
        <w:rPr>
          <w:rFonts w:ascii="Humanst521 BT" w:hAnsi="Humanst521 BT"/>
          <w:color w:val="auto"/>
          <w:sz w:val="20"/>
          <w:szCs w:val="20"/>
        </w:rPr>
        <w:fldChar w:fldCharType="separate"/>
      </w:r>
      <w:r w:rsidR="007E563D">
        <w:rPr>
          <w:rFonts w:ascii="Humanst521 BT" w:hAnsi="Humanst521 BT"/>
          <w:noProof/>
          <w:color w:val="auto"/>
          <w:sz w:val="20"/>
          <w:szCs w:val="20"/>
        </w:rPr>
        <w:t>14</w:t>
      </w:r>
      <w:r w:rsidRPr="007F0FA7">
        <w:rPr>
          <w:rFonts w:ascii="Humanst521 BT" w:hAnsi="Humanst521 BT"/>
          <w:noProof/>
          <w:color w:val="auto"/>
          <w:sz w:val="20"/>
          <w:szCs w:val="20"/>
        </w:rPr>
        <w:fldChar w:fldCharType="end"/>
      </w:r>
      <w:r w:rsidRPr="007F0FA7">
        <w:rPr>
          <w:rFonts w:ascii="Humanst521 BT" w:hAnsi="Humanst521 BT"/>
          <w:color w:val="auto"/>
          <w:sz w:val="20"/>
          <w:szCs w:val="20"/>
        </w:rPr>
        <w:t>: Determinantes estructurales de las inequidades en salud</w:t>
      </w:r>
      <w:bookmarkEnd w:id="64"/>
      <w:bookmarkEnd w:id="65"/>
      <w:bookmarkEnd w:id="66"/>
    </w:p>
    <w:p w14:paraId="75C23411" w14:textId="77777777" w:rsidR="00547394" w:rsidRPr="007F0FA7" w:rsidRDefault="00547394" w:rsidP="00547394">
      <w:pPr>
        <w:rPr>
          <w:rFonts w:ascii="Humanst521 BT" w:hAnsi="Humanst521 BT"/>
        </w:rPr>
      </w:pPr>
      <w:r w:rsidRPr="007F0FA7">
        <w:rPr>
          <w:rFonts w:ascii="Humanst521 BT" w:hAnsi="Humanst521 BT"/>
          <w:noProof/>
        </w:rPr>
        <w:drawing>
          <wp:inline distT="0" distB="0" distL="0" distR="0" wp14:anchorId="471B3E8D" wp14:editId="1E112291">
            <wp:extent cx="6286500" cy="4371975"/>
            <wp:effectExtent l="114300" t="114300" r="114300" b="142875"/>
            <wp:docPr id="12150802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6500" cy="437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546B49" w14:textId="41035DC9" w:rsidR="00547394" w:rsidRPr="007F0FA7" w:rsidRDefault="00547394" w:rsidP="00547394">
      <w:pPr>
        <w:pStyle w:val="Cita"/>
        <w:rPr>
          <w:rFonts w:ascii="Humanst521 BT" w:hAnsi="Humanst521 BT"/>
        </w:rPr>
      </w:pPr>
      <w:r w:rsidRPr="007F0FA7">
        <w:rPr>
          <w:rFonts w:ascii="Humanst521 BT" w:hAnsi="Humanst521 BT"/>
        </w:rPr>
        <w:t xml:space="preserve">Fuente: Teradata, </w:t>
      </w:r>
      <w:hyperlink r:id="rId16" w:anchor="/perfiles/68001" w:history="1">
        <w:r w:rsidRPr="007F0FA7">
          <w:rPr>
            <w:rStyle w:val="Hipervnculo"/>
            <w:rFonts w:ascii="Humanst521 BT" w:hAnsi="Humanst521 BT"/>
          </w:rPr>
          <w:t>https://terridata.dnp.gov.co/index-app.html#/perfiles/68001</w:t>
        </w:r>
      </w:hyperlink>
      <w:r w:rsidRPr="007F0FA7">
        <w:rPr>
          <w:rFonts w:ascii="Humanst521 BT" w:hAnsi="Humanst521 BT"/>
        </w:rPr>
        <w:t>. DANE: Indicadores de necesidades básicas insatisfechas (NBI), según recientes agregaciones territoriales (</w:t>
      </w:r>
      <w:r w:rsidR="009C347F">
        <w:rPr>
          <w:rFonts w:ascii="Humanst521 BT" w:hAnsi="Humanst521 BT"/>
        </w:rPr>
        <w:t>visitado enero de 2026</w:t>
      </w:r>
      <w:r w:rsidRPr="007F0FA7">
        <w:rPr>
          <w:rFonts w:ascii="Humanst521 BT" w:hAnsi="Humanst521 BT"/>
        </w:rPr>
        <w:t>).</w:t>
      </w:r>
    </w:p>
    <w:p w14:paraId="5736F375" w14:textId="3A7D345D" w:rsidR="11FD8910" w:rsidRPr="00C8589C" w:rsidRDefault="0021392F" w:rsidP="00CE2B84">
      <w:pPr>
        <w:pStyle w:val="Descripcin"/>
        <w:spacing w:line="240" w:lineRule="auto"/>
        <w:outlineLvl w:val="3"/>
        <w:rPr>
          <w:rFonts w:ascii="Humanst521 BT" w:eastAsia="Verdana" w:hAnsi="Humanst521 BT" w:cs="Verdana"/>
          <w:sz w:val="22"/>
          <w:szCs w:val="22"/>
          <w:lang w:val="es-ES"/>
        </w:rPr>
      </w:pPr>
      <w:bookmarkStart w:id="67" w:name="_Toc231286795"/>
      <w:r w:rsidRPr="00C8589C">
        <w:rPr>
          <w:rFonts w:ascii="Humanst521 BT" w:eastAsia="Verdana" w:hAnsi="Humanst521 BT" w:cs="Verdana"/>
          <w:sz w:val="22"/>
          <w:szCs w:val="22"/>
          <w:lang w:val="es-ES"/>
        </w:rPr>
        <w:t>5.1.2.2.</w:t>
      </w:r>
      <w:r w:rsidR="00CF704B" w:rsidRPr="00C8589C">
        <w:rPr>
          <w:rFonts w:ascii="Humanst521 BT" w:eastAsia="Verdana" w:hAnsi="Humanst521 BT" w:cs="Verdana"/>
          <w:sz w:val="22"/>
          <w:szCs w:val="22"/>
          <w:lang w:val="es-ES"/>
        </w:rPr>
        <w:t xml:space="preserve"> </w:t>
      </w:r>
      <w:r w:rsidR="11FD8910" w:rsidRPr="00C8589C">
        <w:rPr>
          <w:rFonts w:ascii="Humanst521 BT" w:eastAsia="Verdana" w:hAnsi="Humanst521 BT" w:cs="Verdana"/>
          <w:sz w:val="22"/>
          <w:szCs w:val="22"/>
          <w:lang w:val="es-ES"/>
        </w:rPr>
        <w:t>Análisis de la Oferta de la Red Prestadora de Servicios de Salud de UISALUD</w:t>
      </w:r>
      <w:bookmarkEnd w:id="67"/>
      <w:r w:rsidR="11FD8910" w:rsidRPr="00C8589C">
        <w:rPr>
          <w:rFonts w:ascii="Humanst521 BT" w:eastAsia="Verdana" w:hAnsi="Humanst521 BT" w:cs="Verdana"/>
          <w:sz w:val="22"/>
          <w:szCs w:val="22"/>
          <w:lang w:val="es-ES"/>
        </w:rPr>
        <w:t xml:space="preserve"> </w:t>
      </w:r>
    </w:p>
    <w:p w14:paraId="7871976D" w14:textId="77777777" w:rsidR="0050613A" w:rsidRPr="00867BBF" w:rsidRDefault="0050613A" w:rsidP="0050613A">
      <w:pPr>
        <w:pStyle w:val="Prrafodelista"/>
        <w:rPr>
          <w:rFonts w:ascii="Humanst521 BT" w:hAnsi="Humanst521 BT"/>
          <w:color w:val="000000" w:themeColor="text1"/>
        </w:rPr>
      </w:pPr>
    </w:p>
    <w:p w14:paraId="6E9F8300" w14:textId="77777777" w:rsidR="0050613A" w:rsidRPr="000549AC" w:rsidRDefault="0050613A" w:rsidP="0050613A">
      <w:pPr>
        <w:pStyle w:val="Prrafodelista"/>
        <w:tabs>
          <w:tab w:val="left" w:pos="1410"/>
        </w:tabs>
        <w:ind w:left="1410" w:right="384" w:firstLine="0"/>
        <w:rPr>
          <w:rFonts w:ascii="Humanst521 BT" w:hAnsi="Humanst521 BT"/>
          <w:color w:val="FF0000"/>
        </w:rPr>
      </w:pPr>
    </w:p>
    <w:p w14:paraId="7A9145C7" w14:textId="177487AE" w:rsidR="007E2699" w:rsidRPr="00867BBF" w:rsidRDefault="00C731BD" w:rsidP="00867BBF">
      <w:pPr>
        <w:rPr>
          <w:rFonts w:ascii="Humanst521 BT" w:eastAsia="Humanst521 BT" w:hAnsi="Humanst521 BT" w:cs="Humanst521 BT"/>
          <w:color w:val="FF0000"/>
        </w:rPr>
      </w:pPr>
      <w:r w:rsidRPr="00867BBF">
        <w:rPr>
          <w:rFonts w:ascii="Humanst521 BT" w:hAnsi="Humanst521 BT"/>
        </w:rPr>
        <w:t xml:space="preserve">UISALUD ha estructurado su Red Prestadora de Servicios de Salud (Red PSS) bajo los principios de suficiencia, integralidad y oportunidad, garantizando el acceso formal y la continuidad de la atención de su población afiliada. La red integra de manera armónica prestadores públicos y privados, instituciones de baja, mediana y alta complejidad, así como servicios de apoyo diagnóstico y complementación terapéutica. Para el periodo de análisis, la red está conformada por un total de </w:t>
      </w:r>
      <w:r w:rsidRPr="00867BBF">
        <w:rPr>
          <w:rFonts w:ascii="Humanst521 BT" w:hAnsi="Humanst521 BT"/>
          <w:b/>
          <w:bCs/>
        </w:rPr>
        <w:t>157 Prestadores de Servicios de Salud (PSS)</w:t>
      </w:r>
      <w:r w:rsidRPr="00867BBF">
        <w:rPr>
          <w:rFonts w:ascii="Humanst521 BT" w:hAnsi="Humanst521 BT"/>
        </w:rPr>
        <w:t xml:space="preserve"> articulados nacionalmente.</w:t>
      </w:r>
      <w:r w:rsidR="00B35DA9" w:rsidRPr="00867BBF">
        <w:rPr>
          <w:rFonts w:ascii="Humanst521 BT" w:eastAsia="Humanst521 BT" w:hAnsi="Humanst521 BT" w:cs="Humanst521 BT"/>
          <w:color w:val="FF0000"/>
        </w:rPr>
        <w:t xml:space="preserve"> </w:t>
      </w:r>
    </w:p>
    <w:p w14:paraId="5BE073F3" w14:textId="77777777" w:rsidR="00992C54" w:rsidRDefault="00992C54" w:rsidP="00CF704B">
      <w:pPr>
        <w:jc w:val="both"/>
        <w:rPr>
          <w:rFonts w:ascii="Humanst521 BT" w:hAnsi="Humanst521 BT"/>
          <w:color w:val="FF0000"/>
          <w:sz w:val="20"/>
          <w:szCs w:val="20"/>
        </w:rPr>
      </w:pPr>
    </w:p>
    <w:p w14:paraId="3D60DA2C" w14:textId="77777777" w:rsidR="008F453D" w:rsidRDefault="008F453D" w:rsidP="00CF704B">
      <w:pPr>
        <w:jc w:val="both"/>
        <w:rPr>
          <w:rFonts w:ascii="Humanst521 BT" w:hAnsi="Humanst521 BT"/>
          <w:color w:val="FF0000"/>
          <w:sz w:val="20"/>
          <w:szCs w:val="20"/>
        </w:rPr>
      </w:pPr>
    </w:p>
    <w:p w14:paraId="61673EFF" w14:textId="77777777" w:rsidR="008F453D" w:rsidRPr="008B3D4F" w:rsidRDefault="008F453D" w:rsidP="008B3D4F">
      <w:pPr>
        <w:rPr>
          <w:rFonts w:ascii="Humanst521 BT" w:eastAsia="Times New Roman" w:hAnsi="Humanst521 BT" w:cs="Times New Roman"/>
          <w:b/>
          <w:bCs/>
          <w:i/>
          <w:iCs/>
          <w:lang w:val="es-CO"/>
        </w:rPr>
      </w:pPr>
      <w:r w:rsidRPr="008B3D4F">
        <w:rPr>
          <w:rFonts w:ascii="Humanst521 BT" w:hAnsi="Humanst521 BT"/>
          <w:b/>
          <w:bCs/>
          <w:i/>
          <w:iCs/>
        </w:rPr>
        <w:t>Distribución Geográfica y Correspondencia Poblacional de la Red</w:t>
      </w:r>
    </w:p>
    <w:p w14:paraId="50E8B139" w14:textId="13498D7C" w:rsidR="008F453D" w:rsidRPr="008F453D" w:rsidRDefault="008F453D" w:rsidP="008F453D">
      <w:pPr>
        <w:pStyle w:val="NormalWeb"/>
        <w:rPr>
          <w:rFonts w:ascii="Humanst521 BT" w:hAnsi="Humanst521 BT"/>
          <w:sz w:val="22"/>
          <w:szCs w:val="22"/>
        </w:rPr>
      </w:pPr>
      <w:r w:rsidRPr="008F453D">
        <w:rPr>
          <w:rFonts w:ascii="Humanst521 BT" w:hAnsi="Humanst521 BT"/>
          <w:sz w:val="22"/>
          <w:szCs w:val="22"/>
        </w:rPr>
        <w:t xml:space="preserve">La conformación de la Red PSS responde de manera directa a la concentración demográfica de los usuarios. Como se detalla en la </w:t>
      </w:r>
      <w:r w:rsidRPr="008F453D">
        <w:rPr>
          <w:rFonts w:ascii="Humanst521 BT" w:hAnsi="Humanst521 BT"/>
          <w:b/>
          <w:bCs/>
          <w:sz w:val="22"/>
          <w:szCs w:val="22"/>
        </w:rPr>
        <w:t>Tabla 15</w:t>
      </w:r>
      <w:r w:rsidRPr="008F453D">
        <w:rPr>
          <w:rFonts w:ascii="Humanst521 BT" w:hAnsi="Humanst521 BT"/>
          <w:sz w:val="22"/>
          <w:szCs w:val="22"/>
        </w:rPr>
        <w:t>, el modelo presenta un nodo centralizado en el departamento de Santander, donde se agrupa el 97,28% de la población afiliada y se concentra el 89,8% de la oferta institucional disponible (141 prestadores entre profesionales independientes, IPS de diversas complejidades y la IPS propia UISALUD).</w:t>
      </w:r>
    </w:p>
    <w:p w14:paraId="09E3C9D4" w14:textId="77777777" w:rsidR="008F453D" w:rsidRPr="008F453D" w:rsidRDefault="008F453D" w:rsidP="008F453D">
      <w:pPr>
        <w:pStyle w:val="NormalWeb"/>
        <w:rPr>
          <w:rFonts w:ascii="Humanst521 BT" w:hAnsi="Humanst521 BT"/>
          <w:sz w:val="22"/>
          <w:szCs w:val="22"/>
        </w:rPr>
      </w:pPr>
      <w:r w:rsidRPr="008F453D">
        <w:rPr>
          <w:rFonts w:ascii="Humanst521 BT" w:hAnsi="Humanst521 BT"/>
          <w:sz w:val="22"/>
          <w:szCs w:val="22"/>
        </w:rPr>
        <w:t>Para garantizar la cobertura del 2,72% de los afiliados ubicados fuera del nodo principal, UISALUD dispone de 16 prestadores estratégicos (10,2% de la red nacional) distribuidos en los departamentos con presencia de usuarios, operando principalmente a través de convenios de reciprocidad con la Red Universitaria de Salud (como UNISALUD y el Programa de Salud de la Universidad de Antioquia) e IPS locales contratadas de forma dirigida.</w:t>
      </w:r>
    </w:p>
    <w:p w14:paraId="28A70DDD" w14:textId="77777777" w:rsidR="008F453D" w:rsidRPr="000549AC" w:rsidRDefault="008F453D" w:rsidP="00CF704B">
      <w:pPr>
        <w:jc w:val="both"/>
        <w:rPr>
          <w:rFonts w:ascii="Humanst521 BT" w:hAnsi="Humanst521 BT"/>
          <w:color w:val="FF0000"/>
          <w:sz w:val="20"/>
          <w:szCs w:val="20"/>
        </w:rPr>
      </w:pPr>
    </w:p>
    <w:p w14:paraId="488D36E8" w14:textId="4B95A913" w:rsidR="007E2699" w:rsidRPr="008F453D" w:rsidRDefault="00CF704B" w:rsidP="00CF704B">
      <w:pPr>
        <w:jc w:val="both"/>
        <w:rPr>
          <w:rFonts w:ascii="Humanst521 BT" w:eastAsia="Humanst521 BT" w:hAnsi="Humanst521 BT" w:cs="Humanst521 BT"/>
          <w:color w:val="000000" w:themeColor="text1"/>
          <w:sz w:val="18"/>
          <w:szCs w:val="18"/>
        </w:rPr>
      </w:pPr>
      <w:bookmarkStart w:id="68" w:name="_Toc231286260"/>
      <w:r w:rsidRPr="008F453D">
        <w:rPr>
          <w:rFonts w:ascii="Humanst521 BT" w:hAnsi="Humanst521 BT"/>
          <w:color w:val="000000" w:themeColor="text1"/>
          <w:sz w:val="20"/>
          <w:szCs w:val="20"/>
        </w:rPr>
        <w:t xml:space="preserve">Tabla </w:t>
      </w:r>
      <w:r w:rsidRPr="008F453D">
        <w:rPr>
          <w:rFonts w:ascii="Humanst521 BT" w:hAnsi="Humanst521 BT"/>
          <w:color w:val="000000" w:themeColor="text1"/>
          <w:sz w:val="20"/>
          <w:szCs w:val="20"/>
        </w:rPr>
        <w:fldChar w:fldCharType="begin"/>
      </w:r>
      <w:r w:rsidRPr="008F453D">
        <w:rPr>
          <w:rFonts w:ascii="Humanst521 BT" w:hAnsi="Humanst521 BT"/>
          <w:color w:val="000000" w:themeColor="text1"/>
          <w:sz w:val="20"/>
          <w:szCs w:val="20"/>
        </w:rPr>
        <w:instrText xml:space="preserve"> SEQ Tabla \* ARABIC </w:instrText>
      </w:r>
      <w:r w:rsidRPr="008F453D">
        <w:rPr>
          <w:rFonts w:ascii="Humanst521 BT" w:hAnsi="Humanst521 BT"/>
          <w:color w:val="000000" w:themeColor="text1"/>
          <w:sz w:val="20"/>
          <w:szCs w:val="20"/>
        </w:rPr>
        <w:fldChar w:fldCharType="separate"/>
      </w:r>
      <w:r w:rsidR="00E6508D">
        <w:rPr>
          <w:rFonts w:ascii="Humanst521 BT" w:hAnsi="Humanst521 BT"/>
          <w:noProof/>
          <w:color w:val="000000" w:themeColor="text1"/>
          <w:sz w:val="20"/>
          <w:szCs w:val="20"/>
        </w:rPr>
        <w:t>15</w:t>
      </w:r>
      <w:r w:rsidRPr="008F453D">
        <w:rPr>
          <w:rFonts w:ascii="Humanst521 BT" w:hAnsi="Humanst521 BT"/>
          <w:noProof/>
          <w:color w:val="000000" w:themeColor="text1"/>
          <w:sz w:val="20"/>
          <w:szCs w:val="20"/>
        </w:rPr>
        <w:fldChar w:fldCharType="end"/>
      </w:r>
      <w:r w:rsidRPr="008F453D">
        <w:rPr>
          <w:rFonts w:ascii="Humanst521 BT" w:hAnsi="Humanst521 BT"/>
          <w:color w:val="000000" w:themeColor="text1"/>
          <w:sz w:val="20"/>
          <w:szCs w:val="20"/>
        </w:rPr>
        <w:t xml:space="preserve">. </w:t>
      </w:r>
      <w:r w:rsidR="42631989" w:rsidRPr="008F453D">
        <w:rPr>
          <w:rFonts w:ascii="Humanst521 BT" w:hAnsi="Humanst521 BT"/>
          <w:color w:val="000000" w:themeColor="text1"/>
          <w:sz w:val="20"/>
          <w:szCs w:val="20"/>
        </w:rPr>
        <w:t>R</w:t>
      </w:r>
      <w:r w:rsidR="00CC59A8" w:rsidRPr="008F453D">
        <w:rPr>
          <w:rFonts w:ascii="Humanst521 BT" w:eastAsia="Humanst521 BT" w:hAnsi="Humanst521 BT" w:cs="Humanst521 BT"/>
          <w:color w:val="000000" w:themeColor="text1"/>
          <w:sz w:val="18"/>
          <w:szCs w:val="18"/>
        </w:rPr>
        <w:t>ed de P</w:t>
      </w:r>
      <w:r w:rsidR="00E6508D">
        <w:rPr>
          <w:rFonts w:ascii="Humanst521 BT" w:eastAsia="Humanst521 BT" w:hAnsi="Humanst521 BT" w:cs="Humanst521 BT"/>
          <w:color w:val="000000" w:themeColor="text1"/>
          <w:sz w:val="18"/>
          <w:szCs w:val="18"/>
        </w:rPr>
        <w:t>restadores Servicios de Salud</w:t>
      </w:r>
      <w:r w:rsidR="00CC59A8" w:rsidRPr="008F453D">
        <w:rPr>
          <w:rFonts w:ascii="Humanst521 BT" w:eastAsia="Humanst521 BT" w:hAnsi="Humanst521 BT" w:cs="Humanst521 BT"/>
          <w:color w:val="000000" w:themeColor="text1"/>
          <w:sz w:val="18"/>
          <w:szCs w:val="18"/>
        </w:rPr>
        <w:t xml:space="preserve"> UISALUD 202</w:t>
      </w:r>
      <w:r w:rsidR="00D32CC2" w:rsidRPr="008F453D">
        <w:rPr>
          <w:rFonts w:ascii="Humanst521 BT" w:eastAsia="Humanst521 BT" w:hAnsi="Humanst521 BT" w:cs="Humanst521 BT"/>
          <w:color w:val="000000" w:themeColor="text1"/>
          <w:sz w:val="18"/>
          <w:szCs w:val="18"/>
        </w:rPr>
        <w:t>5</w:t>
      </w:r>
      <w:r w:rsidR="69E3BD89" w:rsidRPr="008F453D">
        <w:rPr>
          <w:rFonts w:ascii="Humanst521 BT" w:eastAsia="Humanst521 BT" w:hAnsi="Humanst521 BT" w:cs="Humanst521 BT"/>
          <w:color w:val="000000" w:themeColor="text1"/>
          <w:sz w:val="18"/>
          <w:szCs w:val="18"/>
        </w:rPr>
        <w:t xml:space="preserve"> por Departamento</w:t>
      </w:r>
      <w:bookmarkEnd w:id="68"/>
    </w:p>
    <w:p w14:paraId="693B3EF2" w14:textId="392ED575" w:rsidR="26E29194" w:rsidRPr="008F453D" w:rsidRDefault="26E29194" w:rsidP="26E29194">
      <w:pPr>
        <w:jc w:val="both"/>
        <w:rPr>
          <w:rFonts w:ascii="Humanst521 BT" w:eastAsia="Humanst521 BT" w:hAnsi="Humanst521 BT" w:cs="Humanst521 BT"/>
          <w:color w:val="000000" w:themeColor="text1"/>
          <w:sz w:val="18"/>
          <w:szCs w:val="18"/>
        </w:rPr>
      </w:pPr>
    </w:p>
    <w:tbl>
      <w:tblPr>
        <w:tblW w:w="5000" w:type="pct"/>
        <w:tblCellMar>
          <w:left w:w="70" w:type="dxa"/>
          <w:right w:w="70" w:type="dxa"/>
        </w:tblCellMar>
        <w:tblLook w:val="04A0" w:firstRow="1" w:lastRow="0" w:firstColumn="1" w:lastColumn="0" w:noHBand="0" w:noVBand="1"/>
      </w:tblPr>
      <w:tblGrid>
        <w:gridCol w:w="2573"/>
        <w:gridCol w:w="1803"/>
        <w:gridCol w:w="1324"/>
        <w:gridCol w:w="2253"/>
        <w:gridCol w:w="1587"/>
      </w:tblGrid>
      <w:tr w:rsidR="008F453D" w:rsidRPr="008F453D" w14:paraId="5037A13F" w14:textId="77777777" w:rsidTr="00FD5C08">
        <w:trPr>
          <w:trHeight w:val="435"/>
        </w:trPr>
        <w:tc>
          <w:tcPr>
            <w:tcW w:w="1349" w:type="pc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5DA98F01" w14:textId="77777777" w:rsidR="004F546C" w:rsidRPr="008F453D" w:rsidRDefault="004F546C" w:rsidP="004F546C">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b/>
                <w:bCs/>
                <w:color w:val="000000" w:themeColor="text1"/>
                <w:sz w:val="20"/>
                <w:szCs w:val="20"/>
                <w:lang w:val="es-CO" w:eastAsia="es-CO"/>
              </w:rPr>
              <w:t>Departamento de residencia</w:t>
            </w:r>
          </w:p>
        </w:tc>
        <w:tc>
          <w:tcPr>
            <w:tcW w:w="945" w:type="pct"/>
            <w:tcBorders>
              <w:top w:val="single" w:sz="8" w:space="0" w:color="67B93E"/>
              <w:left w:val="nil"/>
              <w:bottom w:val="single" w:sz="8" w:space="0" w:color="67B93E"/>
              <w:right w:val="single" w:sz="8" w:space="0" w:color="67B93E"/>
            </w:tcBorders>
            <w:shd w:val="clear" w:color="000000" w:fill="C5E0B3"/>
            <w:vAlign w:val="center"/>
            <w:hideMark/>
          </w:tcPr>
          <w:p w14:paraId="4CE01452" w14:textId="10ACF871" w:rsidR="004F546C" w:rsidRPr="008F453D" w:rsidRDefault="004F546C" w:rsidP="004F546C">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b/>
                <w:bCs/>
                <w:color w:val="000000" w:themeColor="text1"/>
                <w:sz w:val="20"/>
                <w:szCs w:val="20"/>
                <w:lang w:val="es-CO" w:eastAsia="es-CO"/>
              </w:rPr>
              <w:t>Año 202</w:t>
            </w:r>
            <w:r w:rsidR="000C5059" w:rsidRPr="008F453D">
              <w:rPr>
                <w:rFonts w:ascii="Humanst521 BT" w:eastAsia="Times New Roman" w:hAnsi="Humanst521 BT" w:cs="Arial"/>
                <w:b/>
                <w:bCs/>
                <w:color w:val="000000" w:themeColor="text1"/>
                <w:sz w:val="20"/>
                <w:szCs w:val="20"/>
                <w:lang w:val="es-CO" w:eastAsia="es-CO"/>
              </w:rPr>
              <w:t>5</w:t>
            </w:r>
          </w:p>
        </w:tc>
        <w:tc>
          <w:tcPr>
            <w:tcW w:w="694" w:type="pct"/>
            <w:tcBorders>
              <w:top w:val="single" w:sz="8" w:space="0" w:color="67B93E"/>
              <w:left w:val="nil"/>
              <w:bottom w:val="single" w:sz="8" w:space="0" w:color="67B93E"/>
              <w:right w:val="single" w:sz="8" w:space="0" w:color="67B93E"/>
            </w:tcBorders>
            <w:shd w:val="clear" w:color="000000" w:fill="C5E0B3"/>
            <w:vAlign w:val="center"/>
            <w:hideMark/>
          </w:tcPr>
          <w:p w14:paraId="4B786A66" w14:textId="2F27C1B4" w:rsidR="004F546C" w:rsidRPr="008F453D" w:rsidRDefault="004F546C" w:rsidP="004F546C">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b/>
                <w:bCs/>
                <w:color w:val="000000" w:themeColor="text1"/>
                <w:sz w:val="20"/>
                <w:szCs w:val="20"/>
                <w:lang w:val="es-CO" w:eastAsia="es-CO"/>
              </w:rPr>
              <w:t>No. DE PPS</w:t>
            </w:r>
          </w:p>
        </w:tc>
        <w:tc>
          <w:tcPr>
            <w:tcW w:w="1181" w:type="pct"/>
            <w:tcBorders>
              <w:top w:val="single" w:sz="8" w:space="0" w:color="67B93E"/>
              <w:left w:val="nil"/>
              <w:bottom w:val="single" w:sz="8" w:space="0" w:color="67B93E"/>
              <w:right w:val="nil"/>
            </w:tcBorders>
            <w:shd w:val="clear" w:color="000000" w:fill="C5E0B3"/>
            <w:vAlign w:val="center"/>
          </w:tcPr>
          <w:p w14:paraId="67CDE513" w14:textId="4D01F538" w:rsidR="004F546C" w:rsidRPr="008F453D" w:rsidRDefault="004F546C" w:rsidP="004F546C">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b/>
                <w:bCs/>
                <w:color w:val="000000" w:themeColor="text1"/>
                <w:sz w:val="20"/>
                <w:szCs w:val="20"/>
                <w:lang w:val="es-CO" w:eastAsia="es-CO"/>
              </w:rPr>
              <w:t>PARTICIPACIÓN AFILIADOS</w:t>
            </w:r>
          </w:p>
        </w:tc>
        <w:tc>
          <w:tcPr>
            <w:tcW w:w="832" w:type="pct"/>
            <w:tcBorders>
              <w:top w:val="single" w:sz="8" w:space="0" w:color="67B93E"/>
              <w:left w:val="nil"/>
              <w:bottom w:val="single" w:sz="8" w:space="0" w:color="67B93E"/>
              <w:right w:val="single" w:sz="8" w:space="0" w:color="67B93E"/>
            </w:tcBorders>
            <w:shd w:val="clear" w:color="000000" w:fill="C5E0B3"/>
            <w:vAlign w:val="center"/>
            <w:hideMark/>
          </w:tcPr>
          <w:p w14:paraId="622C153D" w14:textId="501AC8A8" w:rsidR="004F546C" w:rsidRPr="008F453D" w:rsidRDefault="004F546C" w:rsidP="004F546C">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b/>
                <w:bCs/>
                <w:color w:val="000000" w:themeColor="text1"/>
                <w:sz w:val="20"/>
                <w:szCs w:val="20"/>
                <w:lang w:val="es-CO" w:eastAsia="es-CO"/>
              </w:rPr>
              <w:t>PARTICIPACIÓN PRESTADORES</w:t>
            </w:r>
          </w:p>
        </w:tc>
      </w:tr>
      <w:tr w:rsidR="008F453D" w:rsidRPr="008F453D" w14:paraId="103BC70B" w14:textId="77777777" w:rsidTr="00F76172">
        <w:trPr>
          <w:trHeight w:val="360"/>
        </w:trPr>
        <w:tc>
          <w:tcPr>
            <w:tcW w:w="1349" w:type="pct"/>
            <w:tcBorders>
              <w:top w:val="nil"/>
              <w:left w:val="single" w:sz="8" w:space="0" w:color="67B93E"/>
              <w:bottom w:val="single" w:sz="8" w:space="0" w:color="67B93E"/>
              <w:right w:val="single" w:sz="8" w:space="0" w:color="67B93E"/>
            </w:tcBorders>
            <w:shd w:val="clear" w:color="000000" w:fill="FFFFFF"/>
            <w:vAlign w:val="center"/>
            <w:hideMark/>
          </w:tcPr>
          <w:p w14:paraId="0131D0CC"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Santander</w:t>
            </w:r>
          </w:p>
        </w:tc>
        <w:tc>
          <w:tcPr>
            <w:tcW w:w="945" w:type="pct"/>
            <w:tcBorders>
              <w:top w:val="nil"/>
              <w:left w:val="nil"/>
              <w:bottom w:val="single" w:sz="8" w:space="0" w:color="67B93E"/>
              <w:right w:val="single" w:sz="8" w:space="0" w:color="67B93E"/>
            </w:tcBorders>
            <w:shd w:val="clear" w:color="000000" w:fill="FFFFFF"/>
            <w:vAlign w:val="center"/>
            <w:hideMark/>
          </w:tcPr>
          <w:p w14:paraId="6F23CC97" w14:textId="31888E98"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2.716</w:t>
            </w:r>
          </w:p>
        </w:tc>
        <w:tc>
          <w:tcPr>
            <w:tcW w:w="694" w:type="pct"/>
            <w:tcBorders>
              <w:top w:val="nil"/>
              <w:left w:val="nil"/>
              <w:bottom w:val="single" w:sz="8" w:space="0" w:color="67B93E"/>
              <w:right w:val="single" w:sz="8" w:space="0" w:color="67B93E"/>
            </w:tcBorders>
            <w:shd w:val="clear" w:color="000000" w:fill="FFFFFF"/>
            <w:vAlign w:val="center"/>
          </w:tcPr>
          <w:p w14:paraId="4B6CBCAF" w14:textId="636AC05E" w:rsidR="00C52078" w:rsidRPr="008F453D" w:rsidRDefault="00C52078" w:rsidP="00C52078">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97,28%</w:t>
            </w:r>
          </w:p>
        </w:tc>
        <w:tc>
          <w:tcPr>
            <w:tcW w:w="1181" w:type="pct"/>
            <w:tcBorders>
              <w:top w:val="nil"/>
              <w:left w:val="nil"/>
              <w:bottom w:val="single" w:sz="8" w:space="0" w:color="67B93E"/>
              <w:right w:val="nil"/>
            </w:tcBorders>
            <w:shd w:val="clear" w:color="000000" w:fill="FFFFFF"/>
            <w:vAlign w:val="center"/>
          </w:tcPr>
          <w:p w14:paraId="3BDE87B7" w14:textId="1B3445B8"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141</w:t>
            </w:r>
          </w:p>
        </w:tc>
        <w:tc>
          <w:tcPr>
            <w:tcW w:w="832" w:type="pct"/>
            <w:tcBorders>
              <w:top w:val="nil"/>
              <w:left w:val="nil"/>
              <w:bottom w:val="single" w:sz="8" w:space="0" w:color="67B93E"/>
              <w:right w:val="single" w:sz="8" w:space="0" w:color="67B93E"/>
            </w:tcBorders>
            <w:shd w:val="clear" w:color="000000" w:fill="FFFFFF"/>
            <w:vAlign w:val="bottom"/>
          </w:tcPr>
          <w:p w14:paraId="0954AB49" w14:textId="152B090E"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89,8%</w:t>
            </w:r>
          </w:p>
        </w:tc>
      </w:tr>
      <w:tr w:rsidR="008F453D" w:rsidRPr="008F453D" w14:paraId="25809F46" w14:textId="77777777" w:rsidTr="00F76172">
        <w:trPr>
          <w:trHeight w:val="154"/>
        </w:trPr>
        <w:tc>
          <w:tcPr>
            <w:tcW w:w="1349" w:type="pct"/>
            <w:tcBorders>
              <w:top w:val="nil"/>
              <w:left w:val="single" w:sz="8" w:space="0" w:color="67B93E"/>
              <w:bottom w:val="single" w:sz="8" w:space="0" w:color="67B93E"/>
              <w:right w:val="single" w:sz="8" w:space="0" w:color="67B93E"/>
            </w:tcBorders>
            <w:shd w:val="clear" w:color="000000" w:fill="F2F2F2"/>
            <w:vAlign w:val="center"/>
            <w:hideMark/>
          </w:tcPr>
          <w:p w14:paraId="604FBB53"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Cundinamarca</w:t>
            </w:r>
          </w:p>
        </w:tc>
        <w:tc>
          <w:tcPr>
            <w:tcW w:w="945" w:type="pct"/>
            <w:tcBorders>
              <w:top w:val="nil"/>
              <w:left w:val="nil"/>
              <w:bottom w:val="single" w:sz="8" w:space="0" w:color="67B93E"/>
              <w:right w:val="single" w:sz="8" w:space="0" w:color="67B93E"/>
            </w:tcBorders>
            <w:shd w:val="clear" w:color="000000" w:fill="F2F2F2"/>
            <w:vAlign w:val="center"/>
            <w:hideMark/>
          </w:tcPr>
          <w:p w14:paraId="6DD2402F" w14:textId="143F74FA"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36</w:t>
            </w:r>
          </w:p>
        </w:tc>
        <w:tc>
          <w:tcPr>
            <w:tcW w:w="694" w:type="pct"/>
            <w:tcBorders>
              <w:top w:val="nil"/>
              <w:left w:val="nil"/>
              <w:bottom w:val="single" w:sz="8" w:space="0" w:color="67B93E"/>
              <w:right w:val="single" w:sz="8" w:space="0" w:color="67B93E"/>
            </w:tcBorders>
            <w:shd w:val="clear" w:color="000000" w:fill="F2F2F2"/>
            <w:vAlign w:val="center"/>
          </w:tcPr>
          <w:p w14:paraId="35F52D88" w14:textId="3D255BB1" w:rsidR="00C52078" w:rsidRPr="008F453D" w:rsidRDefault="00C52078" w:rsidP="00C52078">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1,29%</w:t>
            </w:r>
          </w:p>
        </w:tc>
        <w:tc>
          <w:tcPr>
            <w:tcW w:w="1181" w:type="pct"/>
            <w:tcBorders>
              <w:top w:val="nil"/>
              <w:left w:val="nil"/>
              <w:bottom w:val="single" w:sz="8" w:space="0" w:color="67B93E"/>
              <w:right w:val="nil"/>
            </w:tcBorders>
            <w:shd w:val="clear" w:color="000000" w:fill="F2F2F2"/>
            <w:vAlign w:val="center"/>
          </w:tcPr>
          <w:p w14:paraId="7A42043A" w14:textId="3F6362A2"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2</w:t>
            </w:r>
          </w:p>
        </w:tc>
        <w:tc>
          <w:tcPr>
            <w:tcW w:w="832" w:type="pct"/>
            <w:tcBorders>
              <w:top w:val="nil"/>
              <w:left w:val="nil"/>
              <w:bottom w:val="single" w:sz="8" w:space="0" w:color="67B93E"/>
              <w:right w:val="single" w:sz="8" w:space="0" w:color="67B93E"/>
            </w:tcBorders>
            <w:shd w:val="clear" w:color="000000" w:fill="F2F2F2"/>
            <w:vAlign w:val="bottom"/>
          </w:tcPr>
          <w:p w14:paraId="55CC9BC4" w14:textId="2F070919"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1,3%</w:t>
            </w:r>
          </w:p>
        </w:tc>
      </w:tr>
      <w:tr w:rsidR="008F453D" w:rsidRPr="008F453D" w14:paraId="1D4DC4FC" w14:textId="77777777" w:rsidTr="00F76172">
        <w:trPr>
          <w:trHeight w:val="171"/>
        </w:trPr>
        <w:tc>
          <w:tcPr>
            <w:tcW w:w="1349" w:type="pct"/>
            <w:tcBorders>
              <w:top w:val="nil"/>
              <w:left w:val="single" w:sz="8" w:space="0" w:color="67B93E"/>
              <w:bottom w:val="single" w:sz="8" w:space="0" w:color="67B93E"/>
              <w:right w:val="single" w:sz="8" w:space="0" w:color="67B93E"/>
            </w:tcBorders>
            <w:shd w:val="clear" w:color="000000" w:fill="FFFFFF"/>
            <w:vAlign w:val="center"/>
            <w:hideMark/>
          </w:tcPr>
          <w:p w14:paraId="526AF793"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 xml:space="preserve">Fuera del país </w:t>
            </w:r>
          </w:p>
        </w:tc>
        <w:tc>
          <w:tcPr>
            <w:tcW w:w="945" w:type="pct"/>
            <w:tcBorders>
              <w:top w:val="nil"/>
              <w:left w:val="nil"/>
              <w:bottom w:val="single" w:sz="8" w:space="0" w:color="67B93E"/>
              <w:right w:val="single" w:sz="8" w:space="0" w:color="67B93E"/>
            </w:tcBorders>
            <w:shd w:val="clear" w:color="000000" w:fill="FFFFFF"/>
            <w:vAlign w:val="center"/>
            <w:hideMark/>
          </w:tcPr>
          <w:p w14:paraId="6CA8B69D" w14:textId="49046DB4"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w:t>
            </w:r>
          </w:p>
        </w:tc>
        <w:tc>
          <w:tcPr>
            <w:tcW w:w="694" w:type="pct"/>
            <w:tcBorders>
              <w:top w:val="nil"/>
              <w:left w:val="nil"/>
              <w:bottom w:val="single" w:sz="8" w:space="0" w:color="67B93E"/>
              <w:right w:val="single" w:sz="8" w:space="0" w:color="67B93E"/>
            </w:tcBorders>
            <w:shd w:val="clear" w:color="000000" w:fill="FFFFFF"/>
            <w:vAlign w:val="center"/>
          </w:tcPr>
          <w:p w14:paraId="1F729AAD" w14:textId="4CF76EEF" w:rsidR="00C52078" w:rsidRPr="008F453D" w:rsidRDefault="00C52078" w:rsidP="00C52078">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0,00%</w:t>
            </w:r>
          </w:p>
        </w:tc>
        <w:tc>
          <w:tcPr>
            <w:tcW w:w="1181" w:type="pct"/>
            <w:tcBorders>
              <w:top w:val="nil"/>
              <w:left w:val="nil"/>
              <w:bottom w:val="single" w:sz="8" w:space="0" w:color="67B93E"/>
              <w:right w:val="nil"/>
            </w:tcBorders>
            <w:shd w:val="clear" w:color="000000" w:fill="FFFFFF"/>
            <w:vAlign w:val="center"/>
          </w:tcPr>
          <w:p w14:paraId="64430620" w14:textId="62CBC2EE"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6</w:t>
            </w:r>
          </w:p>
        </w:tc>
        <w:tc>
          <w:tcPr>
            <w:tcW w:w="832" w:type="pct"/>
            <w:tcBorders>
              <w:top w:val="nil"/>
              <w:left w:val="nil"/>
              <w:bottom w:val="single" w:sz="8" w:space="0" w:color="67B93E"/>
              <w:right w:val="single" w:sz="8" w:space="0" w:color="67B93E"/>
            </w:tcBorders>
            <w:shd w:val="clear" w:color="000000" w:fill="FFFFFF"/>
            <w:vAlign w:val="bottom"/>
          </w:tcPr>
          <w:p w14:paraId="6796BFED" w14:textId="3BF4C199"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3,8%</w:t>
            </w:r>
          </w:p>
        </w:tc>
      </w:tr>
      <w:tr w:rsidR="008F453D" w:rsidRPr="008F453D" w14:paraId="283E6807" w14:textId="77777777" w:rsidTr="00F76172">
        <w:trPr>
          <w:trHeight w:val="270"/>
        </w:trPr>
        <w:tc>
          <w:tcPr>
            <w:tcW w:w="1349" w:type="pct"/>
            <w:tcBorders>
              <w:top w:val="nil"/>
              <w:left w:val="single" w:sz="8" w:space="0" w:color="67B93E"/>
              <w:bottom w:val="single" w:sz="8" w:space="0" w:color="67B93E"/>
              <w:right w:val="single" w:sz="8" w:space="0" w:color="67B93E"/>
            </w:tcBorders>
            <w:shd w:val="clear" w:color="000000" w:fill="F2F2F2"/>
            <w:vAlign w:val="center"/>
            <w:hideMark/>
          </w:tcPr>
          <w:p w14:paraId="4B8AC1E0"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Antioquia</w:t>
            </w:r>
          </w:p>
        </w:tc>
        <w:tc>
          <w:tcPr>
            <w:tcW w:w="945" w:type="pct"/>
            <w:tcBorders>
              <w:top w:val="nil"/>
              <w:left w:val="nil"/>
              <w:bottom w:val="single" w:sz="8" w:space="0" w:color="67B93E"/>
              <w:right w:val="single" w:sz="8" w:space="0" w:color="67B93E"/>
            </w:tcBorders>
            <w:shd w:val="clear" w:color="000000" w:fill="F2F2F2"/>
            <w:vAlign w:val="center"/>
            <w:hideMark/>
          </w:tcPr>
          <w:p w14:paraId="253C8F69" w14:textId="626BA157"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11</w:t>
            </w:r>
          </w:p>
        </w:tc>
        <w:tc>
          <w:tcPr>
            <w:tcW w:w="694" w:type="pct"/>
            <w:tcBorders>
              <w:top w:val="nil"/>
              <w:left w:val="nil"/>
              <w:bottom w:val="single" w:sz="8" w:space="0" w:color="67B93E"/>
              <w:right w:val="single" w:sz="8" w:space="0" w:color="67B93E"/>
            </w:tcBorders>
            <w:shd w:val="clear" w:color="000000" w:fill="F2F2F2"/>
            <w:vAlign w:val="center"/>
          </w:tcPr>
          <w:p w14:paraId="1F566B3D" w14:textId="2A169EBD" w:rsidR="00C52078" w:rsidRPr="008F453D" w:rsidRDefault="00C52078" w:rsidP="00C52078">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0,39%</w:t>
            </w:r>
          </w:p>
        </w:tc>
        <w:tc>
          <w:tcPr>
            <w:tcW w:w="1181" w:type="pct"/>
            <w:tcBorders>
              <w:top w:val="nil"/>
              <w:left w:val="nil"/>
              <w:bottom w:val="single" w:sz="8" w:space="0" w:color="67B93E"/>
              <w:right w:val="nil"/>
            </w:tcBorders>
            <w:shd w:val="clear" w:color="000000" w:fill="FFFFFF"/>
            <w:vAlign w:val="center"/>
          </w:tcPr>
          <w:p w14:paraId="007809DE" w14:textId="3E021BBF"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3</w:t>
            </w:r>
          </w:p>
        </w:tc>
        <w:tc>
          <w:tcPr>
            <w:tcW w:w="832" w:type="pct"/>
            <w:tcBorders>
              <w:top w:val="nil"/>
              <w:left w:val="nil"/>
              <w:bottom w:val="single" w:sz="8" w:space="0" w:color="67B93E"/>
              <w:right w:val="single" w:sz="8" w:space="0" w:color="67B93E"/>
            </w:tcBorders>
            <w:shd w:val="clear" w:color="000000" w:fill="F2F2F2"/>
            <w:vAlign w:val="bottom"/>
          </w:tcPr>
          <w:p w14:paraId="70B9F023" w14:textId="37B3E94B"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1,9%</w:t>
            </w:r>
          </w:p>
        </w:tc>
      </w:tr>
      <w:tr w:rsidR="008F453D" w:rsidRPr="008F453D" w14:paraId="4BABA24C" w14:textId="77777777" w:rsidTr="00F76172">
        <w:trPr>
          <w:trHeight w:val="270"/>
        </w:trPr>
        <w:tc>
          <w:tcPr>
            <w:tcW w:w="1349" w:type="pct"/>
            <w:tcBorders>
              <w:top w:val="nil"/>
              <w:left w:val="single" w:sz="8" w:space="0" w:color="67B93E"/>
              <w:bottom w:val="single" w:sz="8" w:space="0" w:color="67B93E"/>
              <w:right w:val="single" w:sz="8" w:space="0" w:color="67B93E"/>
            </w:tcBorders>
            <w:shd w:val="clear" w:color="000000" w:fill="FFFFFF"/>
            <w:vAlign w:val="center"/>
            <w:hideMark/>
          </w:tcPr>
          <w:p w14:paraId="7D298B03"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Boyacá</w:t>
            </w:r>
          </w:p>
        </w:tc>
        <w:tc>
          <w:tcPr>
            <w:tcW w:w="945" w:type="pct"/>
            <w:tcBorders>
              <w:top w:val="nil"/>
              <w:left w:val="nil"/>
              <w:bottom w:val="single" w:sz="8" w:space="0" w:color="67B93E"/>
              <w:right w:val="single" w:sz="8" w:space="0" w:color="67B93E"/>
            </w:tcBorders>
            <w:shd w:val="clear" w:color="000000" w:fill="FFFFFF"/>
            <w:vAlign w:val="center"/>
            <w:hideMark/>
          </w:tcPr>
          <w:p w14:paraId="3DC6F451" w14:textId="32FCED17"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9</w:t>
            </w:r>
          </w:p>
        </w:tc>
        <w:tc>
          <w:tcPr>
            <w:tcW w:w="694" w:type="pct"/>
            <w:tcBorders>
              <w:top w:val="nil"/>
              <w:left w:val="nil"/>
              <w:bottom w:val="single" w:sz="8" w:space="0" w:color="67B93E"/>
              <w:right w:val="single" w:sz="8" w:space="0" w:color="67B93E"/>
            </w:tcBorders>
            <w:shd w:val="clear" w:color="000000" w:fill="FFFFFF"/>
            <w:vAlign w:val="center"/>
          </w:tcPr>
          <w:p w14:paraId="14979594" w14:textId="71CB815A" w:rsidR="00C52078" w:rsidRPr="008F453D" w:rsidRDefault="00C52078" w:rsidP="00C52078">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0,32%</w:t>
            </w:r>
          </w:p>
        </w:tc>
        <w:tc>
          <w:tcPr>
            <w:tcW w:w="1181" w:type="pct"/>
            <w:tcBorders>
              <w:top w:val="nil"/>
              <w:left w:val="nil"/>
              <w:bottom w:val="single" w:sz="8" w:space="0" w:color="67B93E"/>
              <w:right w:val="nil"/>
            </w:tcBorders>
            <w:shd w:val="clear" w:color="000000" w:fill="F2F2F2"/>
            <w:vAlign w:val="center"/>
          </w:tcPr>
          <w:p w14:paraId="256941B6" w14:textId="71EF4ED1"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3</w:t>
            </w:r>
          </w:p>
        </w:tc>
        <w:tc>
          <w:tcPr>
            <w:tcW w:w="832" w:type="pct"/>
            <w:tcBorders>
              <w:top w:val="nil"/>
              <w:left w:val="nil"/>
              <w:bottom w:val="single" w:sz="8" w:space="0" w:color="67B93E"/>
              <w:right w:val="single" w:sz="8" w:space="0" w:color="67B93E"/>
            </w:tcBorders>
            <w:shd w:val="clear" w:color="000000" w:fill="FFFFFF"/>
            <w:vAlign w:val="bottom"/>
          </w:tcPr>
          <w:p w14:paraId="65C4D852" w14:textId="0C09AC81"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1,9%</w:t>
            </w:r>
          </w:p>
        </w:tc>
      </w:tr>
      <w:tr w:rsidR="008F453D" w:rsidRPr="008F453D" w14:paraId="6EE3D8B6" w14:textId="77777777" w:rsidTr="00F76172">
        <w:trPr>
          <w:trHeight w:val="270"/>
        </w:trPr>
        <w:tc>
          <w:tcPr>
            <w:tcW w:w="1349" w:type="pct"/>
            <w:tcBorders>
              <w:top w:val="nil"/>
              <w:left w:val="single" w:sz="8" w:space="0" w:color="67B93E"/>
              <w:bottom w:val="single" w:sz="8" w:space="0" w:color="67B93E"/>
              <w:right w:val="single" w:sz="8" w:space="0" w:color="67B93E"/>
            </w:tcBorders>
            <w:shd w:val="clear" w:color="000000" w:fill="F2F2F2"/>
            <w:vAlign w:val="center"/>
            <w:hideMark/>
          </w:tcPr>
          <w:p w14:paraId="127E15A7"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Valle</w:t>
            </w:r>
          </w:p>
        </w:tc>
        <w:tc>
          <w:tcPr>
            <w:tcW w:w="945" w:type="pct"/>
            <w:tcBorders>
              <w:top w:val="nil"/>
              <w:left w:val="nil"/>
              <w:bottom w:val="single" w:sz="8" w:space="0" w:color="67B93E"/>
              <w:right w:val="single" w:sz="8" w:space="0" w:color="67B93E"/>
            </w:tcBorders>
            <w:shd w:val="clear" w:color="000000" w:fill="F2F2F2"/>
            <w:vAlign w:val="center"/>
            <w:hideMark/>
          </w:tcPr>
          <w:p w14:paraId="0A116B8E" w14:textId="34E304D7"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8</w:t>
            </w:r>
          </w:p>
        </w:tc>
        <w:tc>
          <w:tcPr>
            <w:tcW w:w="694" w:type="pct"/>
            <w:tcBorders>
              <w:top w:val="nil"/>
              <w:left w:val="nil"/>
              <w:bottom w:val="single" w:sz="8" w:space="0" w:color="67B93E"/>
              <w:right w:val="single" w:sz="8" w:space="0" w:color="67B93E"/>
            </w:tcBorders>
            <w:shd w:val="clear" w:color="000000" w:fill="F2F2F2"/>
            <w:vAlign w:val="center"/>
          </w:tcPr>
          <w:p w14:paraId="5957EFCA" w14:textId="4853BA8F"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0,29%</w:t>
            </w:r>
          </w:p>
        </w:tc>
        <w:tc>
          <w:tcPr>
            <w:tcW w:w="1181" w:type="pct"/>
            <w:tcBorders>
              <w:top w:val="nil"/>
              <w:left w:val="nil"/>
              <w:bottom w:val="single" w:sz="8" w:space="0" w:color="67B93E"/>
              <w:right w:val="nil"/>
            </w:tcBorders>
            <w:shd w:val="clear" w:color="000000" w:fill="FFFFFF"/>
            <w:vAlign w:val="center"/>
          </w:tcPr>
          <w:p w14:paraId="73E54429" w14:textId="04AF9F5E"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2</w:t>
            </w:r>
          </w:p>
        </w:tc>
        <w:tc>
          <w:tcPr>
            <w:tcW w:w="832" w:type="pct"/>
            <w:tcBorders>
              <w:top w:val="nil"/>
              <w:left w:val="nil"/>
              <w:bottom w:val="single" w:sz="8" w:space="0" w:color="67B93E"/>
              <w:right w:val="single" w:sz="8" w:space="0" w:color="67B93E"/>
            </w:tcBorders>
            <w:shd w:val="clear" w:color="000000" w:fill="F2F2F2"/>
            <w:vAlign w:val="bottom"/>
          </w:tcPr>
          <w:p w14:paraId="458087BB" w14:textId="6A2B8490"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1,3%</w:t>
            </w:r>
          </w:p>
        </w:tc>
      </w:tr>
      <w:tr w:rsidR="008F453D" w:rsidRPr="008F453D" w14:paraId="17CBC7BB" w14:textId="77777777" w:rsidTr="00F76172">
        <w:trPr>
          <w:trHeight w:val="270"/>
        </w:trPr>
        <w:tc>
          <w:tcPr>
            <w:tcW w:w="1349" w:type="pct"/>
            <w:tcBorders>
              <w:top w:val="nil"/>
              <w:left w:val="single" w:sz="8" w:space="0" w:color="67B93E"/>
              <w:bottom w:val="single" w:sz="8" w:space="0" w:color="67B93E"/>
              <w:right w:val="single" w:sz="8" w:space="0" w:color="67B93E"/>
            </w:tcBorders>
            <w:shd w:val="clear" w:color="000000" w:fill="FFFFFF"/>
            <w:vAlign w:val="center"/>
            <w:hideMark/>
          </w:tcPr>
          <w:p w14:paraId="35FDBEC5"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Caldas</w:t>
            </w:r>
          </w:p>
        </w:tc>
        <w:tc>
          <w:tcPr>
            <w:tcW w:w="945" w:type="pct"/>
            <w:tcBorders>
              <w:top w:val="nil"/>
              <w:left w:val="nil"/>
              <w:bottom w:val="single" w:sz="8" w:space="0" w:color="67B93E"/>
              <w:right w:val="single" w:sz="8" w:space="0" w:color="67B93E"/>
            </w:tcBorders>
            <w:shd w:val="clear" w:color="000000" w:fill="FFFFFF"/>
            <w:vAlign w:val="center"/>
            <w:hideMark/>
          </w:tcPr>
          <w:p w14:paraId="628C60C2" w14:textId="6D350C2E"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5</w:t>
            </w:r>
          </w:p>
        </w:tc>
        <w:tc>
          <w:tcPr>
            <w:tcW w:w="694" w:type="pct"/>
            <w:tcBorders>
              <w:top w:val="nil"/>
              <w:left w:val="nil"/>
              <w:bottom w:val="single" w:sz="8" w:space="0" w:color="67B93E"/>
              <w:right w:val="single" w:sz="8" w:space="0" w:color="67B93E"/>
            </w:tcBorders>
            <w:shd w:val="clear" w:color="000000" w:fill="FFFFFF"/>
            <w:vAlign w:val="center"/>
          </w:tcPr>
          <w:p w14:paraId="3E68E079" w14:textId="4250FC58"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0,18%</w:t>
            </w:r>
          </w:p>
        </w:tc>
        <w:tc>
          <w:tcPr>
            <w:tcW w:w="1181" w:type="pct"/>
            <w:tcBorders>
              <w:top w:val="nil"/>
              <w:left w:val="nil"/>
              <w:bottom w:val="single" w:sz="8" w:space="0" w:color="67B93E"/>
              <w:right w:val="nil"/>
            </w:tcBorders>
            <w:shd w:val="clear" w:color="000000" w:fill="F2F2F2"/>
            <w:vAlign w:val="center"/>
          </w:tcPr>
          <w:p w14:paraId="0702A254" w14:textId="038D1A36"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832" w:type="pct"/>
            <w:tcBorders>
              <w:top w:val="nil"/>
              <w:left w:val="nil"/>
              <w:bottom w:val="single" w:sz="8" w:space="0" w:color="67B93E"/>
              <w:right w:val="single" w:sz="8" w:space="0" w:color="67B93E"/>
            </w:tcBorders>
            <w:shd w:val="clear" w:color="000000" w:fill="FFFFFF"/>
            <w:vAlign w:val="bottom"/>
          </w:tcPr>
          <w:p w14:paraId="1A610A10" w14:textId="22896EE4"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89,8%</w:t>
            </w:r>
          </w:p>
        </w:tc>
      </w:tr>
      <w:tr w:rsidR="008F453D" w:rsidRPr="008F453D" w14:paraId="1F1D1C0F" w14:textId="77777777" w:rsidTr="00F76172">
        <w:trPr>
          <w:trHeight w:val="270"/>
        </w:trPr>
        <w:tc>
          <w:tcPr>
            <w:tcW w:w="1349" w:type="pct"/>
            <w:tcBorders>
              <w:top w:val="nil"/>
              <w:left w:val="single" w:sz="8" w:space="0" w:color="67B93E"/>
              <w:bottom w:val="single" w:sz="8" w:space="0" w:color="67B93E"/>
              <w:right w:val="single" w:sz="8" w:space="0" w:color="67B93E"/>
            </w:tcBorders>
            <w:shd w:val="clear" w:color="000000" w:fill="F2F2F2"/>
            <w:vAlign w:val="center"/>
            <w:hideMark/>
          </w:tcPr>
          <w:p w14:paraId="7FBA0215"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Risaralda</w:t>
            </w:r>
          </w:p>
        </w:tc>
        <w:tc>
          <w:tcPr>
            <w:tcW w:w="945" w:type="pct"/>
            <w:tcBorders>
              <w:top w:val="nil"/>
              <w:left w:val="nil"/>
              <w:bottom w:val="single" w:sz="8" w:space="0" w:color="67B93E"/>
              <w:right w:val="single" w:sz="8" w:space="0" w:color="67B93E"/>
            </w:tcBorders>
            <w:shd w:val="clear" w:color="000000" w:fill="F2F2F2"/>
            <w:vAlign w:val="center"/>
            <w:hideMark/>
          </w:tcPr>
          <w:p w14:paraId="1DEEE5D4" w14:textId="2F03AA1B"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2</w:t>
            </w:r>
          </w:p>
        </w:tc>
        <w:tc>
          <w:tcPr>
            <w:tcW w:w="694" w:type="pct"/>
            <w:tcBorders>
              <w:top w:val="nil"/>
              <w:left w:val="nil"/>
              <w:bottom w:val="single" w:sz="8" w:space="0" w:color="67B93E"/>
              <w:right w:val="single" w:sz="8" w:space="0" w:color="67B93E"/>
            </w:tcBorders>
            <w:shd w:val="clear" w:color="000000" w:fill="F2F2F2"/>
            <w:vAlign w:val="center"/>
          </w:tcPr>
          <w:p w14:paraId="70F3B5C7" w14:textId="676FB40D"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0,07%</w:t>
            </w:r>
          </w:p>
        </w:tc>
        <w:tc>
          <w:tcPr>
            <w:tcW w:w="1181" w:type="pct"/>
            <w:tcBorders>
              <w:top w:val="nil"/>
              <w:left w:val="nil"/>
              <w:bottom w:val="single" w:sz="8" w:space="0" w:color="67B93E"/>
              <w:right w:val="nil"/>
            </w:tcBorders>
            <w:shd w:val="clear" w:color="000000" w:fill="FFFFFF"/>
            <w:vAlign w:val="center"/>
          </w:tcPr>
          <w:p w14:paraId="70856E1F" w14:textId="57333B85"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832" w:type="pct"/>
            <w:tcBorders>
              <w:top w:val="nil"/>
              <w:left w:val="nil"/>
              <w:bottom w:val="single" w:sz="8" w:space="0" w:color="67B93E"/>
              <w:right w:val="single" w:sz="8" w:space="0" w:color="67B93E"/>
            </w:tcBorders>
            <w:shd w:val="clear" w:color="000000" w:fill="F2F2F2"/>
            <w:vAlign w:val="bottom"/>
          </w:tcPr>
          <w:p w14:paraId="79647D05" w14:textId="0D6FEDDC"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1,3%</w:t>
            </w:r>
          </w:p>
        </w:tc>
      </w:tr>
      <w:tr w:rsidR="008F453D" w:rsidRPr="008F453D" w14:paraId="04A62EB8" w14:textId="77777777" w:rsidTr="00F76172">
        <w:trPr>
          <w:trHeight w:val="270"/>
        </w:trPr>
        <w:tc>
          <w:tcPr>
            <w:tcW w:w="1349" w:type="pct"/>
            <w:tcBorders>
              <w:top w:val="nil"/>
              <w:left w:val="single" w:sz="8" w:space="0" w:color="67B93E"/>
              <w:bottom w:val="single" w:sz="8" w:space="0" w:color="67B93E"/>
              <w:right w:val="single" w:sz="8" w:space="0" w:color="67B93E"/>
            </w:tcBorders>
            <w:shd w:val="clear" w:color="000000" w:fill="FFFFFF"/>
            <w:vAlign w:val="center"/>
            <w:hideMark/>
          </w:tcPr>
          <w:p w14:paraId="3ACA2D03"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Tolima</w:t>
            </w:r>
          </w:p>
        </w:tc>
        <w:tc>
          <w:tcPr>
            <w:tcW w:w="945" w:type="pct"/>
            <w:tcBorders>
              <w:top w:val="nil"/>
              <w:left w:val="nil"/>
              <w:bottom w:val="single" w:sz="8" w:space="0" w:color="67B93E"/>
              <w:right w:val="single" w:sz="8" w:space="0" w:color="67B93E"/>
            </w:tcBorders>
            <w:shd w:val="clear" w:color="000000" w:fill="FFFFFF"/>
            <w:vAlign w:val="center"/>
            <w:hideMark/>
          </w:tcPr>
          <w:p w14:paraId="792DA374" w14:textId="1FB2CFD6"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2</w:t>
            </w:r>
          </w:p>
        </w:tc>
        <w:tc>
          <w:tcPr>
            <w:tcW w:w="694" w:type="pct"/>
            <w:tcBorders>
              <w:top w:val="nil"/>
              <w:left w:val="nil"/>
              <w:bottom w:val="single" w:sz="8" w:space="0" w:color="67B93E"/>
              <w:right w:val="single" w:sz="8" w:space="0" w:color="67B93E"/>
            </w:tcBorders>
            <w:shd w:val="clear" w:color="000000" w:fill="FFFFFF"/>
            <w:vAlign w:val="center"/>
          </w:tcPr>
          <w:p w14:paraId="66E49166" w14:textId="78861A3A"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0,07%</w:t>
            </w:r>
          </w:p>
        </w:tc>
        <w:tc>
          <w:tcPr>
            <w:tcW w:w="1181" w:type="pct"/>
            <w:tcBorders>
              <w:top w:val="nil"/>
              <w:left w:val="nil"/>
              <w:bottom w:val="single" w:sz="8" w:space="0" w:color="67B93E"/>
              <w:right w:val="nil"/>
            </w:tcBorders>
            <w:shd w:val="clear" w:color="000000" w:fill="F2F2F2"/>
            <w:vAlign w:val="center"/>
          </w:tcPr>
          <w:p w14:paraId="3832D5BF" w14:textId="637F361B"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832" w:type="pct"/>
            <w:tcBorders>
              <w:top w:val="nil"/>
              <w:left w:val="nil"/>
              <w:bottom w:val="single" w:sz="8" w:space="0" w:color="67B93E"/>
              <w:right w:val="single" w:sz="8" w:space="0" w:color="67B93E"/>
            </w:tcBorders>
            <w:shd w:val="clear" w:color="000000" w:fill="FFFFFF"/>
            <w:vAlign w:val="bottom"/>
          </w:tcPr>
          <w:p w14:paraId="5C09F26D" w14:textId="1A04B9E9"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3,8%</w:t>
            </w:r>
          </w:p>
        </w:tc>
      </w:tr>
      <w:tr w:rsidR="008F453D" w:rsidRPr="008F453D" w14:paraId="1A380041" w14:textId="77777777" w:rsidTr="00F76172">
        <w:trPr>
          <w:trHeight w:val="194"/>
        </w:trPr>
        <w:tc>
          <w:tcPr>
            <w:tcW w:w="1349" w:type="pct"/>
            <w:tcBorders>
              <w:top w:val="nil"/>
              <w:left w:val="single" w:sz="8" w:space="0" w:color="67B93E"/>
              <w:bottom w:val="single" w:sz="8" w:space="0" w:color="67B93E"/>
              <w:right w:val="single" w:sz="8" w:space="0" w:color="67B93E"/>
            </w:tcBorders>
            <w:shd w:val="clear" w:color="000000" w:fill="F2F2F2"/>
            <w:vAlign w:val="center"/>
            <w:hideMark/>
          </w:tcPr>
          <w:p w14:paraId="765B0AA1"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Norte de Santander</w:t>
            </w:r>
          </w:p>
        </w:tc>
        <w:tc>
          <w:tcPr>
            <w:tcW w:w="945" w:type="pct"/>
            <w:tcBorders>
              <w:top w:val="nil"/>
              <w:left w:val="nil"/>
              <w:bottom w:val="single" w:sz="8" w:space="0" w:color="67B93E"/>
              <w:right w:val="single" w:sz="8" w:space="0" w:color="67B93E"/>
            </w:tcBorders>
            <w:shd w:val="clear" w:color="000000" w:fill="F2F2F2"/>
            <w:vAlign w:val="center"/>
            <w:hideMark/>
          </w:tcPr>
          <w:p w14:paraId="1DB3AEC3" w14:textId="3028C3DE"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694" w:type="pct"/>
            <w:tcBorders>
              <w:top w:val="nil"/>
              <w:left w:val="nil"/>
              <w:bottom w:val="single" w:sz="8" w:space="0" w:color="67B93E"/>
              <w:right w:val="single" w:sz="8" w:space="0" w:color="67B93E"/>
            </w:tcBorders>
            <w:shd w:val="clear" w:color="000000" w:fill="F2F2F2"/>
            <w:vAlign w:val="center"/>
          </w:tcPr>
          <w:p w14:paraId="11443474" w14:textId="3804B151"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0,04%</w:t>
            </w:r>
          </w:p>
        </w:tc>
        <w:tc>
          <w:tcPr>
            <w:tcW w:w="1181" w:type="pct"/>
            <w:tcBorders>
              <w:top w:val="nil"/>
              <w:left w:val="nil"/>
              <w:bottom w:val="single" w:sz="8" w:space="0" w:color="67B93E"/>
              <w:right w:val="nil"/>
            </w:tcBorders>
            <w:shd w:val="clear" w:color="000000" w:fill="FFFFFF"/>
            <w:vAlign w:val="center"/>
          </w:tcPr>
          <w:p w14:paraId="6BEFEFEE" w14:textId="224B8D04"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832" w:type="pct"/>
            <w:tcBorders>
              <w:top w:val="nil"/>
              <w:left w:val="nil"/>
              <w:bottom w:val="single" w:sz="8" w:space="0" w:color="67B93E"/>
              <w:right w:val="single" w:sz="8" w:space="0" w:color="67B93E"/>
            </w:tcBorders>
            <w:shd w:val="clear" w:color="000000" w:fill="F2F2F2"/>
            <w:vAlign w:val="bottom"/>
          </w:tcPr>
          <w:p w14:paraId="1FA86504" w14:textId="425CE0D5"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1,9%</w:t>
            </w:r>
          </w:p>
        </w:tc>
      </w:tr>
      <w:tr w:rsidR="008F453D" w:rsidRPr="008F453D" w14:paraId="60BCBF84" w14:textId="77777777" w:rsidTr="00F76172">
        <w:trPr>
          <w:trHeight w:val="211"/>
        </w:trPr>
        <w:tc>
          <w:tcPr>
            <w:tcW w:w="1349" w:type="pct"/>
            <w:tcBorders>
              <w:top w:val="nil"/>
              <w:left w:val="single" w:sz="8" w:space="0" w:color="67B93E"/>
              <w:bottom w:val="single" w:sz="8" w:space="0" w:color="67B93E"/>
              <w:right w:val="single" w:sz="8" w:space="0" w:color="67B93E"/>
            </w:tcBorders>
            <w:shd w:val="clear" w:color="000000" w:fill="FFFFFF"/>
            <w:vAlign w:val="center"/>
            <w:hideMark/>
          </w:tcPr>
          <w:p w14:paraId="716E8C9F"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Magdalena</w:t>
            </w:r>
          </w:p>
        </w:tc>
        <w:tc>
          <w:tcPr>
            <w:tcW w:w="945" w:type="pct"/>
            <w:tcBorders>
              <w:top w:val="nil"/>
              <w:left w:val="nil"/>
              <w:bottom w:val="single" w:sz="8" w:space="0" w:color="67B93E"/>
              <w:right w:val="single" w:sz="8" w:space="0" w:color="67B93E"/>
            </w:tcBorders>
            <w:shd w:val="clear" w:color="000000" w:fill="FFFFFF"/>
            <w:vAlign w:val="center"/>
            <w:hideMark/>
          </w:tcPr>
          <w:p w14:paraId="3915B180" w14:textId="2834D9F9"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694" w:type="pct"/>
            <w:tcBorders>
              <w:top w:val="nil"/>
              <w:left w:val="nil"/>
              <w:bottom w:val="single" w:sz="8" w:space="0" w:color="67B93E"/>
              <w:right w:val="single" w:sz="8" w:space="0" w:color="67B93E"/>
            </w:tcBorders>
            <w:shd w:val="clear" w:color="000000" w:fill="FFFFFF"/>
            <w:vAlign w:val="center"/>
          </w:tcPr>
          <w:p w14:paraId="104755CB" w14:textId="6AD67D10"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0,04%</w:t>
            </w:r>
          </w:p>
        </w:tc>
        <w:tc>
          <w:tcPr>
            <w:tcW w:w="1181" w:type="pct"/>
            <w:tcBorders>
              <w:top w:val="nil"/>
              <w:left w:val="nil"/>
              <w:bottom w:val="single" w:sz="8" w:space="0" w:color="67B93E"/>
              <w:right w:val="nil"/>
            </w:tcBorders>
            <w:shd w:val="clear" w:color="000000" w:fill="F2F2F2"/>
            <w:vAlign w:val="center"/>
          </w:tcPr>
          <w:p w14:paraId="05875E6F" w14:textId="476D98D0"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832" w:type="pct"/>
            <w:tcBorders>
              <w:top w:val="nil"/>
              <w:left w:val="nil"/>
              <w:bottom w:val="single" w:sz="8" w:space="0" w:color="67B93E"/>
              <w:right w:val="single" w:sz="8" w:space="0" w:color="67B93E"/>
            </w:tcBorders>
            <w:shd w:val="clear" w:color="000000" w:fill="FFFFFF"/>
            <w:vAlign w:val="bottom"/>
          </w:tcPr>
          <w:p w14:paraId="3C674487" w14:textId="002A2645"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1,9%</w:t>
            </w:r>
          </w:p>
        </w:tc>
      </w:tr>
      <w:tr w:rsidR="008F453D" w:rsidRPr="008F453D" w14:paraId="5DC27302" w14:textId="77777777" w:rsidTr="00F76172">
        <w:trPr>
          <w:trHeight w:val="270"/>
        </w:trPr>
        <w:tc>
          <w:tcPr>
            <w:tcW w:w="1349" w:type="pct"/>
            <w:tcBorders>
              <w:top w:val="nil"/>
              <w:left w:val="single" w:sz="8" w:space="0" w:color="67B93E"/>
              <w:bottom w:val="single" w:sz="8" w:space="0" w:color="67B93E"/>
              <w:right w:val="single" w:sz="8" w:space="0" w:color="67B93E"/>
            </w:tcBorders>
            <w:shd w:val="clear" w:color="000000" w:fill="F2F2F2"/>
            <w:vAlign w:val="center"/>
            <w:hideMark/>
          </w:tcPr>
          <w:p w14:paraId="440C07F0" w14:textId="77777777" w:rsidR="00C52078" w:rsidRPr="008F453D" w:rsidRDefault="00C52078" w:rsidP="00C52078">
            <w:pPr>
              <w:widowControl/>
              <w:autoSpaceDE/>
              <w:autoSpaceDN/>
              <w:jc w:val="both"/>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Quindío</w:t>
            </w:r>
          </w:p>
        </w:tc>
        <w:tc>
          <w:tcPr>
            <w:tcW w:w="945" w:type="pct"/>
            <w:tcBorders>
              <w:top w:val="nil"/>
              <w:left w:val="nil"/>
              <w:bottom w:val="single" w:sz="8" w:space="0" w:color="67B93E"/>
              <w:right w:val="single" w:sz="8" w:space="0" w:color="67B93E"/>
            </w:tcBorders>
            <w:shd w:val="clear" w:color="000000" w:fill="F2F2F2"/>
            <w:vAlign w:val="center"/>
            <w:hideMark/>
          </w:tcPr>
          <w:p w14:paraId="1C996BFD" w14:textId="38440095"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694" w:type="pct"/>
            <w:tcBorders>
              <w:top w:val="nil"/>
              <w:left w:val="nil"/>
              <w:bottom w:val="single" w:sz="8" w:space="0" w:color="67B93E"/>
              <w:right w:val="single" w:sz="8" w:space="0" w:color="67B93E"/>
            </w:tcBorders>
            <w:shd w:val="clear" w:color="000000" w:fill="F2F2F2"/>
            <w:vAlign w:val="center"/>
          </w:tcPr>
          <w:p w14:paraId="44D08EAB" w14:textId="113672D4"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0,04%</w:t>
            </w:r>
          </w:p>
        </w:tc>
        <w:tc>
          <w:tcPr>
            <w:tcW w:w="1181" w:type="pct"/>
            <w:tcBorders>
              <w:top w:val="nil"/>
              <w:left w:val="nil"/>
              <w:bottom w:val="single" w:sz="8" w:space="0" w:color="67B93E"/>
              <w:right w:val="nil"/>
            </w:tcBorders>
            <w:shd w:val="clear" w:color="000000" w:fill="FFFFFF"/>
            <w:vAlign w:val="center"/>
          </w:tcPr>
          <w:p w14:paraId="5C6CFF31" w14:textId="528C2C8B"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w:t>
            </w:r>
          </w:p>
        </w:tc>
        <w:tc>
          <w:tcPr>
            <w:tcW w:w="832" w:type="pct"/>
            <w:tcBorders>
              <w:top w:val="nil"/>
              <w:left w:val="nil"/>
              <w:bottom w:val="single" w:sz="8" w:space="0" w:color="67B93E"/>
              <w:right w:val="single" w:sz="8" w:space="0" w:color="67B93E"/>
            </w:tcBorders>
            <w:shd w:val="clear" w:color="000000" w:fill="F2F2F2"/>
            <w:vAlign w:val="bottom"/>
          </w:tcPr>
          <w:p w14:paraId="21553AEE" w14:textId="6C0AE534"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1,3%</w:t>
            </w:r>
          </w:p>
        </w:tc>
      </w:tr>
      <w:tr w:rsidR="008F453D" w:rsidRPr="008F453D" w14:paraId="6CC5BD17" w14:textId="77777777" w:rsidTr="00FD5C08">
        <w:trPr>
          <w:trHeight w:val="270"/>
        </w:trPr>
        <w:tc>
          <w:tcPr>
            <w:tcW w:w="1349" w:type="pct"/>
            <w:tcBorders>
              <w:top w:val="nil"/>
              <w:left w:val="single" w:sz="8" w:space="0" w:color="67B93E"/>
              <w:bottom w:val="single" w:sz="8" w:space="0" w:color="67B93E"/>
              <w:right w:val="single" w:sz="8" w:space="0" w:color="67B93E"/>
            </w:tcBorders>
            <w:shd w:val="clear" w:color="000000" w:fill="C5E0B3"/>
            <w:vAlign w:val="center"/>
            <w:hideMark/>
          </w:tcPr>
          <w:p w14:paraId="07C2F690" w14:textId="77777777" w:rsidR="00C52078" w:rsidRPr="008F453D" w:rsidRDefault="00C52078" w:rsidP="00C52078">
            <w:pPr>
              <w:widowControl/>
              <w:autoSpaceDE/>
              <w:autoSpaceDN/>
              <w:jc w:val="both"/>
              <w:rPr>
                <w:rFonts w:ascii="Humanst521 BT" w:eastAsia="Times New Roman" w:hAnsi="Humanst521 BT" w:cs="Arial"/>
                <w:b/>
                <w:bCs/>
                <w:color w:val="000000" w:themeColor="text1"/>
                <w:sz w:val="20"/>
                <w:szCs w:val="20"/>
                <w:lang w:val="es-CO" w:eastAsia="es-CO"/>
              </w:rPr>
            </w:pPr>
            <w:proofErr w:type="gramStart"/>
            <w:r w:rsidRPr="008F453D">
              <w:rPr>
                <w:rFonts w:ascii="Humanst521 BT" w:eastAsia="Times New Roman" w:hAnsi="Humanst521 BT" w:cs="Arial"/>
                <w:b/>
                <w:bCs/>
                <w:color w:val="000000" w:themeColor="text1"/>
                <w:sz w:val="20"/>
                <w:szCs w:val="20"/>
                <w:lang w:val="es-CO" w:eastAsia="es-CO"/>
              </w:rPr>
              <w:t>Total</w:t>
            </w:r>
            <w:proofErr w:type="gramEnd"/>
            <w:r w:rsidRPr="008F453D">
              <w:rPr>
                <w:rFonts w:ascii="Humanst521 BT" w:eastAsia="Times New Roman" w:hAnsi="Humanst521 BT" w:cs="Arial"/>
                <w:b/>
                <w:bCs/>
                <w:color w:val="000000" w:themeColor="text1"/>
                <w:sz w:val="20"/>
                <w:szCs w:val="20"/>
                <w:lang w:val="es-CO" w:eastAsia="es-CO"/>
              </w:rPr>
              <w:t xml:space="preserve"> general</w:t>
            </w:r>
          </w:p>
        </w:tc>
        <w:tc>
          <w:tcPr>
            <w:tcW w:w="945" w:type="pct"/>
            <w:tcBorders>
              <w:top w:val="nil"/>
              <w:left w:val="nil"/>
              <w:bottom w:val="single" w:sz="8" w:space="0" w:color="67B93E"/>
              <w:right w:val="single" w:sz="8" w:space="0" w:color="67B93E"/>
            </w:tcBorders>
            <w:shd w:val="clear" w:color="000000" w:fill="C5E0B3"/>
            <w:vAlign w:val="center"/>
            <w:hideMark/>
          </w:tcPr>
          <w:p w14:paraId="5D7995D4" w14:textId="5A2B947C" w:rsidR="00C52078" w:rsidRPr="008F453D" w:rsidRDefault="00C52078" w:rsidP="00C52078">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b/>
                <w:bCs/>
                <w:color w:val="000000" w:themeColor="text1"/>
                <w:sz w:val="20"/>
                <w:szCs w:val="20"/>
                <w:lang w:val="es-CO" w:eastAsia="es-CO"/>
              </w:rPr>
              <w:t>2.792</w:t>
            </w:r>
          </w:p>
        </w:tc>
        <w:tc>
          <w:tcPr>
            <w:tcW w:w="694" w:type="pct"/>
            <w:tcBorders>
              <w:top w:val="nil"/>
              <w:left w:val="nil"/>
              <w:bottom w:val="single" w:sz="8" w:space="0" w:color="67B93E"/>
              <w:right w:val="single" w:sz="8" w:space="0" w:color="67B93E"/>
            </w:tcBorders>
            <w:shd w:val="clear" w:color="000000" w:fill="C5E0B3"/>
            <w:vAlign w:val="center"/>
          </w:tcPr>
          <w:p w14:paraId="1C75C39B" w14:textId="05E46F12" w:rsidR="00C52078" w:rsidRPr="008F453D" w:rsidRDefault="00C52078" w:rsidP="00C52078">
            <w:pPr>
              <w:widowControl/>
              <w:autoSpaceDE/>
              <w:autoSpaceDN/>
              <w:jc w:val="center"/>
              <w:rPr>
                <w:rFonts w:ascii="Humanst521 BT" w:eastAsia="Times New Roman" w:hAnsi="Humanst521 BT" w:cs="Arial"/>
                <w:b/>
                <w:bCs/>
                <w:color w:val="000000" w:themeColor="text1"/>
                <w:sz w:val="20"/>
                <w:szCs w:val="20"/>
                <w:lang w:val="es-CO" w:eastAsia="es-CO"/>
              </w:rPr>
            </w:pPr>
            <w:r w:rsidRPr="008F453D">
              <w:rPr>
                <w:rFonts w:ascii="Humanst521 BT" w:eastAsia="Times New Roman" w:hAnsi="Humanst521 BT" w:cs="Arial"/>
                <w:b/>
                <w:bCs/>
                <w:color w:val="000000" w:themeColor="text1"/>
                <w:sz w:val="20"/>
                <w:szCs w:val="20"/>
                <w:lang w:val="es-CO" w:eastAsia="es-CO"/>
              </w:rPr>
              <w:t>100%</w:t>
            </w:r>
          </w:p>
        </w:tc>
        <w:tc>
          <w:tcPr>
            <w:tcW w:w="1181" w:type="pct"/>
            <w:tcBorders>
              <w:top w:val="nil"/>
              <w:left w:val="nil"/>
              <w:bottom w:val="single" w:sz="8" w:space="0" w:color="67B93E"/>
              <w:right w:val="nil"/>
            </w:tcBorders>
            <w:shd w:val="clear" w:color="000000" w:fill="C5E0B3"/>
            <w:vAlign w:val="center"/>
          </w:tcPr>
          <w:p w14:paraId="731D4210" w14:textId="3779650A"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p>
        </w:tc>
        <w:tc>
          <w:tcPr>
            <w:tcW w:w="832" w:type="pct"/>
            <w:tcBorders>
              <w:top w:val="nil"/>
              <w:left w:val="nil"/>
              <w:bottom w:val="single" w:sz="8" w:space="0" w:color="67B93E"/>
              <w:right w:val="single" w:sz="8" w:space="0" w:color="67B93E"/>
            </w:tcBorders>
            <w:shd w:val="clear" w:color="000000" w:fill="C5E0B3"/>
            <w:vAlign w:val="center"/>
            <w:hideMark/>
          </w:tcPr>
          <w:p w14:paraId="12128D5C" w14:textId="77777777" w:rsidR="00C52078" w:rsidRPr="008F453D" w:rsidRDefault="00C52078" w:rsidP="00C52078">
            <w:pPr>
              <w:widowControl/>
              <w:autoSpaceDE/>
              <w:autoSpaceDN/>
              <w:jc w:val="center"/>
              <w:rPr>
                <w:rFonts w:ascii="Humanst521 BT" w:eastAsia="Times New Roman" w:hAnsi="Humanst521 BT" w:cs="Arial"/>
                <w:color w:val="000000" w:themeColor="text1"/>
                <w:sz w:val="20"/>
                <w:szCs w:val="20"/>
                <w:lang w:val="es-CO" w:eastAsia="es-CO"/>
              </w:rPr>
            </w:pPr>
            <w:r w:rsidRPr="008F453D">
              <w:rPr>
                <w:rFonts w:ascii="Humanst521 BT" w:eastAsia="Times New Roman" w:hAnsi="Humanst521 BT" w:cs="Arial"/>
                <w:color w:val="000000" w:themeColor="text1"/>
                <w:sz w:val="20"/>
                <w:szCs w:val="20"/>
                <w:lang w:val="es-CO" w:eastAsia="es-CO"/>
              </w:rPr>
              <w:t>100%</w:t>
            </w:r>
          </w:p>
        </w:tc>
      </w:tr>
    </w:tbl>
    <w:p w14:paraId="6C6444A0" w14:textId="77777777" w:rsidR="00A649A6" w:rsidRPr="008F453D" w:rsidRDefault="00A649A6" w:rsidP="26E29194">
      <w:pPr>
        <w:jc w:val="both"/>
        <w:rPr>
          <w:rFonts w:ascii="Humanst521 BT" w:eastAsia="Humanst521 BT" w:hAnsi="Humanst521 BT" w:cs="Humanst521 BT"/>
          <w:color w:val="000000" w:themeColor="text1"/>
          <w:sz w:val="18"/>
          <w:szCs w:val="18"/>
        </w:rPr>
      </w:pPr>
    </w:p>
    <w:p w14:paraId="34A9FA61" w14:textId="77777777" w:rsidR="000F2963" w:rsidRPr="008B3D4F" w:rsidRDefault="000F2963" w:rsidP="008B3D4F">
      <w:pPr>
        <w:rPr>
          <w:rFonts w:ascii="Humanst521 BT" w:eastAsia="Times New Roman" w:hAnsi="Humanst521 BT" w:cs="Times New Roman"/>
          <w:b/>
          <w:bCs/>
          <w:i/>
          <w:iCs/>
          <w:lang w:val="es-CO"/>
        </w:rPr>
      </w:pPr>
      <w:r w:rsidRPr="008B3D4F">
        <w:rPr>
          <w:rFonts w:ascii="Humanst521 BT" w:hAnsi="Humanst521 BT"/>
          <w:b/>
          <w:bCs/>
          <w:i/>
          <w:iCs/>
        </w:rPr>
        <w:t>Capacidad Resolutiva por Niveles de Complejidad</w:t>
      </w:r>
    </w:p>
    <w:p w14:paraId="77F73CCB" w14:textId="77777777" w:rsidR="000F2963" w:rsidRDefault="000F2963" w:rsidP="000F2963">
      <w:pPr>
        <w:pStyle w:val="NormalWeb"/>
      </w:pPr>
      <w:r>
        <w:t xml:space="preserve">De acuerdo con las exigencias normativas del lineamiento, la suficiencia de la red debe analizarse según su capacidad de respuesta frente a las necesidades epidemiológicas de la población. La Red PSS de UISALUD se clasifica por niveles de complejidad como se presenta en la </w:t>
      </w:r>
      <w:r>
        <w:rPr>
          <w:b/>
          <w:bCs/>
        </w:rPr>
        <w:t>Tabla 19</w:t>
      </w:r>
      <w:r>
        <w:t>.</w:t>
      </w:r>
    </w:p>
    <w:p w14:paraId="62E4249D" w14:textId="22649D19" w:rsidR="000F2963" w:rsidRPr="00E6508D" w:rsidRDefault="000F2963" w:rsidP="00DB5C89">
      <w:pPr>
        <w:rPr>
          <w:rFonts w:ascii="Humanst521 BT" w:hAnsi="Humanst521 BT"/>
          <w:color w:val="000000" w:themeColor="text1"/>
          <w:sz w:val="20"/>
          <w:szCs w:val="20"/>
        </w:rPr>
      </w:pPr>
      <w:bookmarkStart w:id="69" w:name="_Toc231286261"/>
      <w:r w:rsidRPr="00E6508D">
        <w:rPr>
          <w:rFonts w:ascii="Humanst521 BT" w:hAnsi="Humanst521 BT"/>
          <w:color w:val="000000" w:themeColor="text1"/>
          <w:sz w:val="20"/>
          <w:szCs w:val="20"/>
        </w:rPr>
        <w:t xml:space="preserve">Tabla </w:t>
      </w:r>
      <w:r w:rsidRPr="00E6508D">
        <w:rPr>
          <w:rFonts w:ascii="Humanst521 BT" w:hAnsi="Humanst521 BT"/>
          <w:color w:val="000000" w:themeColor="text1"/>
          <w:sz w:val="20"/>
          <w:szCs w:val="20"/>
        </w:rPr>
        <w:fldChar w:fldCharType="begin"/>
      </w:r>
      <w:r w:rsidRPr="00E6508D">
        <w:rPr>
          <w:rFonts w:ascii="Humanst521 BT" w:hAnsi="Humanst521 BT"/>
          <w:color w:val="000000" w:themeColor="text1"/>
          <w:sz w:val="20"/>
          <w:szCs w:val="20"/>
        </w:rPr>
        <w:instrText xml:space="preserve"> SEQ Tabla \* ARABIC </w:instrText>
      </w:r>
      <w:r w:rsidRPr="00E6508D">
        <w:rPr>
          <w:rFonts w:ascii="Humanst521 BT" w:hAnsi="Humanst521 BT"/>
          <w:color w:val="000000" w:themeColor="text1"/>
          <w:sz w:val="20"/>
          <w:szCs w:val="20"/>
        </w:rPr>
        <w:fldChar w:fldCharType="separate"/>
      </w:r>
      <w:r w:rsidR="007E563D" w:rsidRPr="00E6508D">
        <w:rPr>
          <w:rFonts w:ascii="Humanst521 BT" w:hAnsi="Humanst521 BT"/>
          <w:color w:val="000000" w:themeColor="text1"/>
          <w:sz w:val="20"/>
          <w:szCs w:val="20"/>
        </w:rPr>
        <w:t>16</w:t>
      </w:r>
      <w:r w:rsidRPr="00E6508D">
        <w:rPr>
          <w:rFonts w:ascii="Humanst521 BT" w:hAnsi="Humanst521 BT"/>
          <w:color w:val="000000" w:themeColor="text1"/>
          <w:sz w:val="20"/>
          <w:szCs w:val="20"/>
        </w:rPr>
        <w:fldChar w:fldCharType="end"/>
      </w:r>
      <w:r w:rsidRPr="00E6508D">
        <w:rPr>
          <w:rFonts w:ascii="Humanst521 BT" w:hAnsi="Humanst521 BT"/>
          <w:color w:val="000000" w:themeColor="text1"/>
          <w:sz w:val="20"/>
          <w:szCs w:val="20"/>
        </w:rPr>
        <w:t>. Red de Prestadores de Servicios de Salud según Nivel de Complejidad</w:t>
      </w:r>
      <w:bookmarkEnd w:id="69"/>
    </w:p>
    <w:p w14:paraId="1ED487D8" w14:textId="77777777" w:rsidR="00DB5C89" w:rsidRPr="00DB5C89" w:rsidRDefault="00DB5C89" w:rsidP="00DB5C89">
      <w:pPr>
        <w:rPr>
          <w:rFonts w:ascii="Humanst521 BT" w:hAnsi="Humanst521 BT"/>
          <w:b/>
          <w:bCs/>
          <w:sz w:val="20"/>
          <w:szCs w:val="20"/>
          <w:lang w:val="es-CO"/>
        </w:rPr>
      </w:pPr>
    </w:p>
    <w:tbl>
      <w:tblPr>
        <w:tblStyle w:val="Tablaconcuadrcula1"/>
        <w:tblW w:w="7729" w:type="dxa"/>
        <w:jc w:val="center"/>
        <w:tblLook w:val="04A0" w:firstRow="1" w:lastRow="0" w:firstColumn="1" w:lastColumn="0" w:noHBand="0" w:noVBand="1"/>
      </w:tblPr>
      <w:tblGrid>
        <w:gridCol w:w="1278"/>
        <w:gridCol w:w="1045"/>
        <w:gridCol w:w="1040"/>
        <w:gridCol w:w="1529"/>
        <w:gridCol w:w="904"/>
        <w:gridCol w:w="969"/>
        <w:gridCol w:w="964"/>
      </w:tblGrid>
      <w:tr w:rsidR="00DB5C89" w:rsidRPr="00DB5C89" w14:paraId="4CB21155" w14:textId="77777777" w:rsidTr="00E6508D">
        <w:trPr>
          <w:trHeight w:val="458"/>
          <w:jc w:val="center"/>
        </w:trPr>
        <w:tc>
          <w:tcPr>
            <w:tcW w:w="0" w:type="auto"/>
            <w:shd w:val="clear" w:color="auto" w:fill="C5E0B3" w:themeFill="accent6" w:themeFillTint="66"/>
            <w:hideMark/>
          </w:tcPr>
          <w:p w14:paraId="655D9863" w14:textId="77777777" w:rsidR="000F2963" w:rsidRPr="00DB5C89" w:rsidRDefault="000F2963">
            <w:pPr>
              <w:spacing w:after="480"/>
              <w:rPr>
                <w:rFonts w:ascii="Humanst521 BT" w:hAnsi="Humanst521 BT"/>
                <w:sz w:val="20"/>
                <w:szCs w:val="20"/>
              </w:rPr>
            </w:pPr>
            <w:r w:rsidRPr="00DB5C89">
              <w:rPr>
                <w:rStyle w:val="Textoennegrita"/>
                <w:rFonts w:ascii="Humanst521 BT" w:hAnsi="Humanst521 BT"/>
                <w:sz w:val="20"/>
                <w:szCs w:val="20"/>
              </w:rPr>
              <w:lastRenderedPageBreak/>
              <w:t>Nivel de Complejidad</w:t>
            </w:r>
          </w:p>
        </w:tc>
        <w:tc>
          <w:tcPr>
            <w:tcW w:w="0" w:type="auto"/>
            <w:shd w:val="clear" w:color="auto" w:fill="C5E0B3" w:themeFill="accent6" w:themeFillTint="66"/>
            <w:hideMark/>
          </w:tcPr>
          <w:p w14:paraId="52AC09BF" w14:textId="77777777" w:rsidR="000F2963" w:rsidRPr="00DB5C89" w:rsidRDefault="000F2963">
            <w:pPr>
              <w:spacing w:after="480"/>
              <w:rPr>
                <w:rFonts w:ascii="Humanst521 BT" w:hAnsi="Humanst521 BT"/>
                <w:sz w:val="20"/>
                <w:szCs w:val="20"/>
              </w:rPr>
            </w:pPr>
            <w:r w:rsidRPr="00DB5C89">
              <w:rPr>
                <w:rStyle w:val="Textoennegrita"/>
                <w:rFonts w:ascii="Humanst521 BT" w:hAnsi="Humanst521 BT"/>
                <w:sz w:val="20"/>
                <w:szCs w:val="20"/>
              </w:rPr>
              <w:t>Santander (No.)</w:t>
            </w:r>
          </w:p>
        </w:tc>
        <w:tc>
          <w:tcPr>
            <w:tcW w:w="0" w:type="auto"/>
            <w:shd w:val="clear" w:color="auto" w:fill="C5E0B3" w:themeFill="accent6" w:themeFillTint="66"/>
            <w:hideMark/>
          </w:tcPr>
          <w:p w14:paraId="2CFEC0ED" w14:textId="77777777" w:rsidR="000F2963" w:rsidRPr="00DB5C89" w:rsidRDefault="000F2963">
            <w:pPr>
              <w:spacing w:after="480"/>
              <w:rPr>
                <w:rFonts w:ascii="Humanst521 BT" w:hAnsi="Humanst521 BT"/>
                <w:sz w:val="20"/>
                <w:szCs w:val="20"/>
              </w:rPr>
            </w:pPr>
            <w:r w:rsidRPr="00DB5C89">
              <w:rPr>
                <w:rStyle w:val="Textoennegrita"/>
                <w:rFonts w:ascii="Humanst521 BT" w:hAnsi="Humanst521 BT"/>
                <w:sz w:val="20"/>
                <w:szCs w:val="20"/>
              </w:rPr>
              <w:t>Santander (%)</w:t>
            </w:r>
          </w:p>
        </w:tc>
        <w:tc>
          <w:tcPr>
            <w:tcW w:w="0" w:type="auto"/>
            <w:shd w:val="clear" w:color="auto" w:fill="C5E0B3" w:themeFill="accent6" w:themeFillTint="66"/>
            <w:hideMark/>
          </w:tcPr>
          <w:p w14:paraId="443C0416" w14:textId="77777777" w:rsidR="000F2963" w:rsidRPr="00DB5C89" w:rsidRDefault="000F2963">
            <w:pPr>
              <w:spacing w:after="480"/>
              <w:rPr>
                <w:rFonts w:ascii="Humanst521 BT" w:hAnsi="Humanst521 BT"/>
                <w:sz w:val="20"/>
                <w:szCs w:val="20"/>
              </w:rPr>
            </w:pPr>
            <w:r w:rsidRPr="00DB5C89">
              <w:rPr>
                <w:rStyle w:val="Textoennegrita"/>
                <w:rFonts w:ascii="Humanst521 BT" w:hAnsi="Humanst521 BT"/>
                <w:sz w:val="20"/>
                <w:szCs w:val="20"/>
              </w:rPr>
              <w:t>Otros Departamentos (No.)</w:t>
            </w:r>
          </w:p>
        </w:tc>
        <w:tc>
          <w:tcPr>
            <w:tcW w:w="0" w:type="auto"/>
            <w:shd w:val="clear" w:color="auto" w:fill="C5E0B3" w:themeFill="accent6" w:themeFillTint="66"/>
            <w:hideMark/>
          </w:tcPr>
          <w:p w14:paraId="4D759E7A" w14:textId="77777777" w:rsidR="000F2963" w:rsidRPr="00DB5C89" w:rsidRDefault="000F2963">
            <w:pPr>
              <w:spacing w:after="480"/>
              <w:rPr>
                <w:rFonts w:ascii="Humanst521 BT" w:hAnsi="Humanst521 BT"/>
                <w:sz w:val="20"/>
                <w:szCs w:val="20"/>
              </w:rPr>
            </w:pPr>
            <w:r w:rsidRPr="00DB5C89">
              <w:rPr>
                <w:rStyle w:val="Textoennegrita"/>
                <w:rFonts w:ascii="Humanst521 BT" w:hAnsi="Humanst521 BT"/>
                <w:sz w:val="20"/>
                <w:szCs w:val="20"/>
              </w:rPr>
              <w:t>Otros Deptos. (%)</w:t>
            </w:r>
          </w:p>
        </w:tc>
        <w:tc>
          <w:tcPr>
            <w:tcW w:w="0" w:type="auto"/>
            <w:shd w:val="clear" w:color="auto" w:fill="C5E0B3" w:themeFill="accent6" w:themeFillTint="66"/>
            <w:hideMark/>
          </w:tcPr>
          <w:p w14:paraId="344D8A09" w14:textId="77777777" w:rsidR="000F2963" w:rsidRPr="00DB5C89" w:rsidRDefault="000F2963">
            <w:pPr>
              <w:spacing w:after="480"/>
              <w:rPr>
                <w:rFonts w:ascii="Humanst521 BT" w:hAnsi="Humanst521 BT"/>
                <w:sz w:val="20"/>
                <w:szCs w:val="20"/>
              </w:rPr>
            </w:pPr>
            <w:proofErr w:type="gramStart"/>
            <w:r w:rsidRPr="00DB5C89">
              <w:rPr>
                <w:rStyle w:val="Textoennegrita"/>
                <w:rFonts w:ascii="Humanst521 BT" w:hAnsi="Humanst521 BT"/>
                <w:sz w:val="20"/>
                <w:szCs w:val="20"/>
              </w:rPr>
              <w:t>Total</w:t>
            </w:r>
            <w:proofErr w:type="gramEnd"/>
            <w:r w:rsidRPr="00DB5C89">
              <w:rPr>
                <w:rStyle w:val="Textoennegrita"/>
                <w:rFonts w:ascii="Humanst521 BT" w:hAnsi="Humanst521 BT"/>
                <w:sz w:val="20"/>
                <w:szCs w:val="20"/>
              </w:rPr>
              <w:t xml:space="preserve"> Nacional (No.)</w:t>
            </w:r>
          </w:p>
        </w:tc>
        <w:tc>
          <w:tcPr>
            <w:tcW w:w="0" w:type="auto"/>
            <w:shd w:val="clear" w:color="auto" w:fill="C5E0B3" w:themeFill="accent6" w:themeFillTint="66"/>
            <w:hideMark/>
          </w:tcPr>
          <w:p w14:paraId="1DB53B56" w14:textId="77777777" w:rsidR="000F2963" w:rsidRPr="00DB5C89" w:rsidRDefault="000F2963">
            <w:pPr>
              <w:spacing w:after="480"/>
              <w:rPr>
                <w:rFonts w:ascii="Humanst521 BT" w:hAnsi="Humanst521 BT"/>
                <w:sz w:val="20"/>
                <w:szCs w:val="20"/>
              </w:rPr>
            </w:pPr>
            <w:proofErr w:type="gramStart"/>
            <w:r w:rsidRPr="00DB5C89">
              <w:rPr>
                <w:rStyle w:val="Textoennegrita"/>
                <w:rFonts w:ascii="Humanst521 BT" w:hAnsi="Humanst521 BT"/>
                <w:sz w:val="20"/>
                <w:szCs w:val="20"/>
              </w:rPr>
              <w:t>Total</w:t>
            </w:r>
            <w:proofErr w:type="gramEnd"/>
            <w:r w:rsidRPr="00DB5C89">
              <w:rPr>
                <w:rStyle w:val="Textoennegrita"/>
                <w:rFonts w:ascii="Humanst521 BT" w:hAnsi="Humanst521 BT"/>
                <w:sz w:val="20"/>
                <w:szCs w:val="20"/>
              </w:rPr>
              <w:t xml:space="preserve"> Nacional (%)</w:t>
            </w:r>
          </w:p>
        </w:tc>
      </w:tr>
      <w:tr w:rsidR="00DB5C89" w:rsidRPr="00DB5C89" w14:paraId="640ABFE1" w14:textId="77777777" w:rsidTr="00DB5C89">
        <w:trPr>
          <w:trHeight w:val="453"/>
          <w:jc w:val="center"/>
        </w:trPr>
        <w:tc>
          <w:tcPr>
            <w:tcW w:w="0" w:type="auto"/>
            <w:hideMark/>
          </w:tcPr>
          <w:p w14:paraId="664FC178" w14:textId="77777777" w:rsidR="000F2963" w:rsidRPr="00DB5C89" w:rsidRDefault="000F2963">
            <w:pPr>
              <w:spacing w:after="480"/>
              <w:rPr>
                <w:rFonts w:ascii="Humanst521 BT" w:hAnsi="Humanst521 BT"/>
                <w:sz w:val="20"/>
                <w:szCs w:val="20"/>
              </w:rPr>
            </w:pPr>
            <w:r w:rsidRPr="00DB5C89">
              <w:rPr>
                <w:rFonts w:ascii="Humanst521 BT" w:hAnsi="Humanst521 BT"/>
                <w:b/>
                <w:bCs/>
                <w:sz w:val="20"/>
                <w:szCs w:val="20"/>
              </w:rPr>
              <w:t>ALTA</w:t>
            </w:r>
          </w:p>
        </w:tc>
        <w:tc>
          <w:tcPr>
            <w:tcW w:w="0" w:type="auto"/>
            <w:hideMark/>
          </w:tcPr>
          <w:p w14:paraId="1CBDFF66"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16</w:t>
            </w:r>
          </w:p>
        </w:tc>
        <w:tc>
          <w:tcPr>
            <w:tcW w:w="0" w:type="auto"/>
            <w:hideMark/>
          </w:tcPr>
          <w:p w14:paraId="3FFBA79F"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11,3%</w:t>
            </w:r>
          </w:p>
        </w:tc>
        <w:tc>
          <w:tcPr>
            <w:tcW w:w="0" w:type="auto"/>
            <w:hideMark/>
          </w:tcPr>
          <w:p w14:paraId="345A681D"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5</w:t>
            </w:r>
          </w:p>
        </w:tc>
        <w:tc>
          <w:tcPr>
            <w:tcW w:w="0" w:type="auto"/>
            <w:hideMark/>
          </w:tcPr>
          <w:p w14:paraId="0B58E2DA"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31,3%</w:t>
            </w:r>
          </w:p>
        </w:tc>
        <w:tc>
          <w:tcPr>
            <w:tcW w:w="0" w:type="auto"/>
            <w:hideMark/>
          </w:tcPr>
          <w:p w14:paraId="6C036F27"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21</w:t>
            </w:r>
          </w:p>
        </w:tc>
        <w:tc>
          <w:tcPr>
            <w:tcW w:w="0" w:type="auto"/>
            <w:hideMark/>
          </w:tcPr>
          <w:p w14:paraId="5ACC2094"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13,4%</w:t>
            </w:r>
          </w:p>
        </w:tc>
      </w:tr>
      <w:tr w:rsidR="00DB5C89" w:rsidRPr="00DB5C89" w14:paraId="359ECB67" w14:textId="77777777" w:rsidTr="00DB5C89">
        <w:trPr>
          <w:trHeight w:val="453"/>
          <w:jc w:val="center"/>
        </w:trPr>
        <w:tc>
          <w:tcPr>
            <w:tcW w:w="0" w:type="auto"/>
            <w:hideMark/>
          </w:tcPr>
          <w:p w14:paraId="0B700D15" w14:textId="77777777" w:rsidR="000F2963" w:rsidRPr="00DB5C89" w:rsidRDefault="000F2963">
            <w:pPr>
              <w:spacing w:after="480"/>
              <w:rPr>
                <w:rFonts w:ascii="Humanst521 BT" w:hAnsi="Humanst521 BT"/>
                <w:sz w:val="20"/>
                <w:szCs w:val="20"/>
              </w:rPr>
            </w:pPr>
            <w:r w:rsidRPr="00DB5C89">
              <w:rPr>
                <w:rFonts w:ascii="Humanst521 BT" w:hAnsi="Humanst521 BT"/>
                <w:b/>
                <w:bCs/>
                <w:sz w:val="20"/>
                <w:szCs w:val="20"/>
              </w:rPr>
              <w:t>MEDIA</w:t>
            </w:r>
          </w:p>
        </w:tc>
        <w:tc>
          <w:tcPr>
            <w:tcW w:w="0" w:type="auto"/>
            <w:hideMark/>
          </w:tcPr>
          <w:p w14:paraId="64B29925"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103</w:t>
            </w:r>
          </w:p>
        </w:tc>
        <w:tc>
          <w:tcPr>
            <w:tcW w:w="0" w:type="auto"/>
            <w:hideMark/>
          </w:tcPr>
          <w:p w14:paraId="32AA1B53"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73,1%</w:t>
            </w:r>
          </w:p>
        </w:tc>
        <w:tc>
          <w:tcPr>
            <w:tcW w:w="0" w:type="auto"/>
            <w:hideMark/>
          </w:tcPr>
          <w:p w14:paraId="42E714CC"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11</w:t>
            </w:r>
          </w:p>
        </w:tc>
        <w:tc>
          <w:tcPr>
            <w:tcW w:w="0" w:type="auto"/>
            <w:hideMark/>
          </w:tcPr>
          <w:p w14:paraId="3615A130"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68,7%</w:t>
            </w:r>
          </w:p>
        </w:tc>
        <w:tc>
          <w:tcPr>
            <w:tcW w:w="0" w:type="auto"/>
            <w:hideMark/>
          </w:tcPr>
          <w:p w14:paraId="76D5886C"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114</w:t>
            </w:r>
          </w:p>
        </w:tc>
        <w:tc>
          <w:tcPr>
            <w:tcW w:w="0" w:type="auto"/>
            <w:hideMark/>
          </w:tcPr>
          <w:p w14:paraId="78DF9D34"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72,6%</w:t>
            </w:r>
          </w:p>
        </w:tc>
      </w:tr>
      <w:tr w:rsidR="00DB5C89" w:rsidRPr="00DB5C89" w14:paraId="15D2CB44" w14:textId="77777777" w:rsidTr="00DB5C89">
        <w:trPr>
          <w:trHeight w:val="445"/>
          <w:jc w:val="center"/>
        </w:trPr>
        <w:tc>
          <w:tcPr>
            <w:tcW w:w="0" w:type="auto"/>
            <w:hideMark/>
          </w:tcPr>
          <w:p w14:paraId="27EDFD78" w14:textId="77777777" w:rsidR="000F2963" w:rsidRPr="00DB5C89" w:rsidRDefault="000F2963">
            <w:pPr>
              <w:spacing w:after="480"/>
              <w:rPr>
                <w:rFonts w:ascii="Humanst521 BT" w:hAnsi="Humanst521 BT"/>
                <w:sz w:val="20"/>
                <w:szCs w:val="20"/>
              </w:rPr>
            </w:pPr>
            <w:r w:rsidRPr="00DB5C89">
              <w:rPr>
                <w:rFonts w:ascii="Humanst521 BT" w:hAnsi="Humanst521 BT"/>
                <w:b/>
                <w:bCs/>
                <w:sz w:val="20"/>
                <w:szCs w:val="20"/>
              </w:rPr>
              <w:t>BAJA</w:t>
            </w:r>
          </w:p>
        </w:tc>
        <w:tc>
          <w:tcPr>
            <w:tcW w:w="0" w:type="auto"/>
            <w:hideMark/>
          </w:tcPr>
          <w:p w14:paraId="7021B045"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19</w:t>
            </w:r>
          </w:p>
        </w:tc>
        <w:tc>
          <w:tcPr>
            <w:tcW w:w="0" w:type="auto"/>
            <w:hideMark/>
          </w:tcPr>
          <w:p w14:paraId="57743270"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13,5%</w:t>
            </w:r>
          </w:p>
        </w:tc>
        <w:tc>
          <w:tcPr>
            <w:tcW w:w="0" w:type="auto"/>
            <w:hideMark/>
          </w:tcPr>
          <w:p w14:paraId="1FBFD7C5"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0</w:t>
            </w:r>
          </w:p>
        </w:tc>
        <w:tc>
          <w:tcPr>
            <w:tcW w:w="0" w:type="auto"/>
            <w:hideMark/>
          </w:tcPr>
          <w:p w14:paraId="1DC55551"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0,0%</w:t>
            </w:r>
          </w:p>
        </w:tc>
        <w:tc>
          <w:tcPr>
            <w:tcW w:w="0" w:type="auto"/>
            <w:hideMark/>
          </w:tcPr>
          <w:p w14:paraId="3666D978"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19</w:t>
            </w:r>
          </w:p>
        </w:tc>
        <w:tc>
          <w:tcPr>
            <w:tcW w:w="0" w:type="auto"/>
            <w:hideMark/>
          </w:tcPr>
          <w:p w14:paraId="22B1B0A7"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12,1%</w:t>
            </w:r>
          </w:p>
        </w:tc>
      </w:tr>
      <w:tr w:rsidR="00DB5C89" w:rsidRPr="00DB5C89" w14:paraId="461026A9" w14:textId="77777777" w:rsidTr="00DB5C89">
        <w:trPr>
          <w:trHeight w:val="605"/>
          <w:jc w:val="center"/>
        </w:trPr>
        <w:tc>
          <w:tcPr>
            <w:tcW w:w="0" w:type="auto"/>
            <w:hideMark/>
          </w:tcPr>
          <w:p w14:paraId="52CCA5F3" w14:textId="77777777" w:rsidR="000F2963" w:rsidRPr="00DB5C89" w:rsidRDefault="000F2963">
            <w:pPr>
              <w:spacing w:after="480"/>
              <w:rPr>
                <w:rFonts w:ascii="Humanst521 BT" w:hAnsi="Humanst521 BT"/>
                <w:sz w:val="20"/>
                <w:szCs w:val="20"/>
              </w:rPr>
            </w:pPr>
            <w:r w:rsidRPr="00DB5C89">
              <w:rPr>
                <w:rFonts w:ascii="Humanst521 BT" w:hAnsi="Humanst521 BT"/>
                <w:b/>
                <w:bCs/>
                <w:sz w:val="20"/>
                <w:szCs w:val="20"/>
              </w:rPr>
              <w:t>No Aplica (Apoyo)</w:t>
            </w:r>
          </w:p>
        </w:tc>
        <w:tc>
          <w:tcPr>
            <w:tcW w:w="0" w:type="auto"/>
            <w:hideMark/>
          </w:tcPr>
          <w:p w14:paraId="1007489A"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3</w:t>
            </w:r>
          </w:p>
        </w:tc>
        <w:tc>
          <w:tcPr>
            <w:tcW w:w="0" w:type="auto"/>
            <w:hideMark/>
          </w:tcPr>
          <w:p w14:paraId="0278EFF3"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2,1%</w:t>
            </w:r>
          </w:p>
        </w:tc>
        <w:tc>
          <w:tcPr>
            <w:tcW w:w="0" w:type="auto"/>
            <w:hideMark/>
          </w:tcPr>
          <w:p w14:paraId="7499F300"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0</w:t>
            </w:r>
          </w:p>
        </w:tc>
        <w:tc>
          <w:tcPr>
            <w:tcW w:w="0" w:type="auto"/>
            <w:hideMark/>
          </w:tcPr>
          <w:p w14:paraId="510C29E8"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0,0%</w:t>
            </w:r>
          </w:p>
        </w:tc>
        <w:tc>
          <w:tcPr>
            <w:tcW w:w="0" w:type="auto"/>
            <w:hideMark/>
          </w:tcPr>
          <w:p w14:paraId="5AB09135"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3</w:t>
            </w:r>
          </w:p>
        </w:tc>
        <w:tc>
          <w:tcPr>
            <w:tcW w:w="0" w:type="auto"/>
            <w:hideMark/>
          </w:tcPr>
          <w:p w14:paraId="42BF759F"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sz w:val="20"/>
                <w:szCs w:val="20"/>
              </w:rPr>
              <w:t>1,9%</w:t>
            </w:r>
          </w:p>
        </w:tc>
      </w:tr>
      <w:tr w:rsidR="00DB5C89" w:rsidRPr="00DB5C89" w14:paraId="31031F9D" w14:textId="77777777" w:rsidTr="00DB5C89">
        <w:trPr>
          <w:trHeight w:val="445"/>
          <w:jc w:val="center"/>
        </w:trPr>
        <w:tc>
          <w:tcPr>
            <w:tcW w:w="0" w:type="auto"/>
            <w:hideMark/>
          </w:tcPr>
          <w:p w14:paraId="74A7E953" w14:textId="77777777" w:rsidR="000F2963" w:rsidRPr="00DB5C89" w:rsidRDefault="000F2963">
            <w:pPr>
              <w:spacing w:after="480"/>
              <w:rPr>
                <w:rFonts w:ascii="Humanst521 BT" w:hAnsi="Humanst521 BT"/>
                <w:sz w:val="20"/>
                <w:szCs w:val="20"/>
              </w:rPr>
            </w:pPr>
            <w:r w:rsidRPr="00DB5C89">
              <w:rPr>
                <w:rFonts w:ascii="Humanst521 BT" w:hAnsi="Humanst521 BT"/>
                <w:b/>
                <w:bCs/>
                <w:sz w:val="20"/>
                <w:szCs w:val="20"/>
              </w:rPr>
              <w:t>TOTAL</w:t>
            </w:r>
          </w:p>
        </w:tc>
        <w:tc>
          <w:tcPr>
            <w:tcW w:w="0" w:type="auto"/>
            <w:hideMark/>
          </w:tcPr>
          <w:p w14:paraId="68AEFD60"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b/>
                <w:bCs/>
                <w:sz w:val="20"/>
                <w:szCs w:val="20"/>
              </w:rPr>
              <w:t>141</w:t>
            </w:r>
          </w:p>
        </w:tc>
        <w:tc>
          <w:tcPr>
            <w:tcW w:w="0" w:type="auto"/>
            <w:hideMark/>
          </w:tcPr>
          <w:p w14:paraId="1C3B3F31"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b/>
                <w:bCs/>
                <w:sz w:val="20"/>
                <w:szCs w:val="20"/>
              </w:rPr>
              <w:t>100,0%</w:t>
            </w:r>
          </w:p>
        </w:tc>
        <w:tc>
          <w:tcPr>
            <w:tcW w:w="0" w:type="auto"/>
            <w:hideMark/>
          </w:tcPr>
          <w:p w14:paraId="27F4032F"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b/>
                <w:bCs/>
                <w:sz w:val="20"/>
                <w:szCs w:val="20"/>
              </w:rPr>
              <w:t>16</w:t>
            </w:r>
          </w:p>
        </w:tc>
        <w:tc>
          <w:tcPr>
            <w:tcW w:w="0" w:type="auto"/>
            <w:hideMark/>
          </w:tcPr>
          <w:p w14:paraId="572AE762"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b/>
                <w:bCs/>
                <w:sz w:val="20"/>
                <w:szCs w:val="20"/>
              </w:rPr>
              <w:t>100,0%</w:t>
            </w:r>
          </w:p>
        </w:tc>
        <w:tc>
          <w:tcPr>
            <w:tcW w:w="0" w:type="auto"/>
            <w:hideMark/>
          </w:tcPr>
          <w:p w14:paraId="23FB751E"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b/>
                <w:bCs/>
                <w:sz w:val="20"/>
                <w:szCs w:val="20"/>
              </w:rPr>
              <w:t>157</w:t>
            </w:r>
          </w:p>
        </w:tc>
        <w:tc>
          <w:tcPr>
            <w:tcW w:w="0" w:type="auto"/>
            <w:hideMark/>
          </w:tcPr>
          <w:p w14:paraId="00C8C390" w14:textId="77777777" w:rsidR="000F2963" w:rsidRPr="00DB5C89" w:rsidRDefault="000F2963" w:rsidP="00DB5C89">
            <w:pPr>
              <w:spacing w:after="480"/>
              <w:jc w:val="center"/>
              <w:rPr>
                <w:rFonts w:ascii="Humanst521 BT" w:hAnsi="Humanst521 BT"/>
                <w:sz w:val="20"/>
                <w:szCs w:val="20"/>
              </w:rPr>
            </w:pPr>
            <w:r w:rsidRPr="00DB5C89">
              <w:rPr>
                <w:rFonts w:ascii="Humanst521 BT" w:hAnsi="Humanst521 BT"/>
                <w:b/>
                <w:bCs/>
                <w:sz w:val="20"/>
                <w:szCs w:val="20"/>
              </w:rPr>
              <w:t>100,0%</w:t>
            </w:r>
          </w:p>
        </w:tc>
      </w:tr>
    </w:tbl>
    <w:p w14:paraId="5FE09BA2" w14:textId="77777777" w:rsidR="000F2963" w:rsidRDefault="000F2963" w:rsidP="000F2963">
      <w:pPr>
        <w:pStyle w:val="NormalWeb"/>
      </w:pPr>
      <w:r>
        <w:rPr>
          <w:i/>
          <w:iCs/>
        </w:rPr>
        <w:t>Fuente: Elaboración propia, datos del Área de Contratación.</w:t>
      </w:r>
    </w:p>
    <w:p w14:paraId="46BF73C6" w14:textId="77777777" w:rsidR="000F2963" w:rsidRPr="00DB5C89" w:rsidRDefault="000F2963" w:rsidP="00DB5C89">
      <w:pPr>
        <w:pStyle w:val="NormalWeb"/>
        <w:jc w:val="both"/>
        <w:rPr>
          <w:rFonts w:ascii="Humanst521 BT" w:hAnsi="Humanst521 BT"/>
          <w:sz w:val="22"/>
          <w:szCs w:val="22"/>
        </w:rPr>
      </w:pPr>
      <w:r w:rsidRPr="00DB5C89">
        <w:rPr>
          <w:rFonts w:ascii="Humanst521 BT" w:hAnsi="Humanst521 BT"/>
          <w:sz w:val="22"/>
          <w:szCs w:val="22"/>
        </w:rPr>
        <w:t xml:space="preserve">El análisis de complejidad demuestra una alta concentración en el </w:t>
      </w:r>
      <w:r w:rsidRPr="00DB5C89">
        <w:rPr>
          <w:rFonts w:ascii="Humanst521 BT" w:hAnsi="Humanst521 BT"/>
          <w:b/>
          <w:bCs/>
          <w:sz w:val="22"/>
          <w:szCs w:val="22"/>
        </w:rPr>
        <w:t>Nivel Medio (72,6% de la red nacional)</w:t>
      </w:r>
      <w:r w:rsidRPr="00DB5C89">
        <w:rPr>
          <w:rFonts w:ascii="Humanst521 BT" w:hAnsi="Humanst521 BT"/>
          <w:sz w:val="22"/>
          <w:szCs w:val="22"/>
        </w:rPr>
        <w:t>. Esta distribución es epidemiológicamente coherente y responde a la transición demográfica de UISALUD, cuya población se caracteriza por un envejecimiento marcado y una alta carga de enfermedades crónicas no transmisibles. La oferta de mediana complejidad garantiza la disponibilidad de consultas especializadas de primer orden (Medicina Internas, Cardiología, Endocrinología) y ayudas diagnósticas intermedias indispensables para el control clínico de estos pacientes, evitando la progresión hacia estadios críticos. La alta complejidad (13,4%) asegura el soporte vital y el manejo de patologías catastróficas o de alto costo.</w:t>
      </w:r>
    </w:p>
    <w:p w14:paraId="39C953E3" w14:textId="188E424D" w:rsidR="000F2963" w:rsidRPr="00D67845" w:rsidRDefault="000F2963" w:rsidP="00D67845">
      <w:pPr>
        <w:rPr>
          <w:rFonts w:ascii="Humanst521 BT" w:hAnsi="Humanst521 BT"/>
          <w:i/>
          <w:iCs/>
        </w:rPr>
      </w:pPr>
      <w:r w:rsidRPr="00D67845">
        <w:rPr>
          <w:rFonts w:ascii="Humanst521 BT" w:hAnsi="Humanst521 BT"/>
          <w:i/>
          <w:iCs/>
        </w:rPr>
        <w:t>Capacidad Instalada e Infraestructura del Nodo Primario (IPS UISALUD)</w:t>
      </w:r>
    </w:p>
    <w:p w14:paraId="7BA406F3" w14:textId="77777777" w:rsidR="000F2963" w:rsidRDefault="000F2963" w:rsidP="000F2963">
      <w:pPr>
        <w:pStyle w:val="NormalWeb"/>
      </w:pPr>
      <w:r>
        <w:t xml:space="preserve">La piedra angular del modelo de atención es la sede propia ubicada en la Universidad Industrial de Santander, la cual actúa como </w:t>
      </w:r>
      <w:r>
        <w:rPr>
          <w:b/>
          <w:bCs/>
        </w:rPr>
        <w:t>IPS Primaria</w:t>
      </w:r>
      <w:r>
        <w:t xml:space="preserve"> dominante. Esta sede está diseñada para operativizar las Rutas Integrales de Atención en Salud (RIAS), asegurando la complementariedad de servicios y la contención del riesgo primario antes de derivar a la red externa contratada.</w:t>
      </w:r>
    </w:p>
    <w:p w14:paraId="5EAB9029" w14:textId="1CC0E1CE" w:rsidR="000F2963" w:rsidRDefault="000F2963" w:rsidP="000F2963">
      <w:pPr>
        <w:pStyle w:val="NormalWeb"/>
      </w:pPr>
      <w:r>
        <w:t xml:space="preserve">Los servicios ambulatorios debidamente habilitados ante la entidad territorial se relacionan en la </w:t>
      </w:r>
      <w:r w:rsidR="00DB5C89">
        <w:t>siguiente tabla</w:t>
      </w:r>
    </w:p>
    <w:p w14:paraId="45C808EC" w14:textId="719B13E3" w:rsidR="26E29194" w:rsidRPr="008F453D" w:rsidRDefault="26E29194" w:rsidP="26E29194">
      <w:pPr>
        <w:jc w:val="both"/>
        <w:rPr>
          <w:rFonts w:ascii="Humanst521 BT" w:eastAsia="Humanst521 BT" w:hAnsi="Humanst521 BT" w:cs="Humanst521 BT"/>
          <w:color w:val="000000" w:themeColor="text1"/>
          <w:sz w:val="18"/>
          <w:szCs w:val="18"/>
        </w:rPr>
      </w:pPr>
    </w:p>
    <w:p w14:paraId="27DDA1C2" w14:textId="1B0C9260" w:rsidR="05A2B3CE" w:rsidRPr="007F0FA7" w:rsidRDefault="05A2B3CE" w:rsidP="26E29194">
      <w:pPr>
        <w:spacing w:line="259" w:lineRule="auto"/>
        <w:jc w:val="both"/>
        <w:rPr>
          <w:rFonts w:ascii="Humanst521 BT" w:eastAsia="Humanst521 BT" w:hAnsi="Humanst521 BT" w:cs="Humanst521 BT"/>
        </w:rPr>
      </w:pPr>
      <w:bookmarkStart w:id="70" w:name="_Toc231286262"/>
      <w:r w:rsidRPr="007F0FA7">
        <w:rPr>
          <w:rFonts w:ascii="Humanst521 BT" w:hAnsi="Humanst521 BT"/>
          <w:sz w:val="20"/>
          <w:szCs w:val="20"/>
        </w:rPr>
        <w:t>Tabla</w:t>
      </w:r>
      <w:r w:rsidRPr="007F0FA7">
        <w:rPr>
          <w:rFonts w:ascii="Humanst521 BT" w:eastAsiaTheme="minorEastAsia" w:hAnsi="Humanst521 BT" w:cstheme="minorBidi"/>
        </w:rPr>
        <w:t xml:space="preserve"> </w:t>
      </w:r>
      <w:r w:rsidRPr="007F0FA7">
        <w:rPr>
          <w:rFonts w:ascii="Humanst521 BT" w:hAnsi="Humanst521 BT"/>
          <w:sz w:val="20"/>
          <w:szCs w:val="20"/>
        </w:rPr>
        <w:fldChar w:fldCharType="begin"/>
      </w:r>
      <w:r w:rsidRPr="007F0FA7">
        <w:rPr>
          <w:rFonts w:ascii="Humanst521 BT" w:hAnsi="Humanst521 BT"/>
          <w:sz w:val="20"/>
          <w:szCs w:val="20"/>
        </w:rPr>
        <w:instrText xml:space="preserve"> SEQ Tabla \* ARABIC </w:instrText>
      </w:r>
      <w:r w:rsidRPr="007F0FA7">
        <w:rPr>
          <w:rFonts w:ascii="Humanst521 BT" w:hAnsi="Humanst521 BT"/>
          <w:sz w:val="20"/>
          <w:szCs w:val="20"/>
        </w:rPr>
        <w:fldChar w:fldCharType="separate"/>
      </w:r>
      <w:r w:rsidR="007E563D">
        <w:rPr>
          <w:rFonts w:ascii="Humanst521 BT" w:hAnsi="Humanst521 BT"/>
          <w:noProof/>
          <w:sz w:val="20"/>
          <w:szCs w:val="20"/>
        </w:rPr>
        <w:t>17</w:t>
      </w:r>
      <w:r w:rsidRPr="007F0FA7">
        <w:rPr>
          <w:rFonts w:ascii="Humanst521 BT" w:hAnsi="Humanst521 BT"/>
          <w:noProof/>
          <w:sz w:val="20"/>
          <w:szCs w:val="20"/>
        </w:rPr>
        <w:fldChar w:fldCharType="end"/>
      </w:r>
      <w:r w:rsidRPr="007F0FA7">
        <w:rPr>
          <w:rFonts w:ascii="Humanst521 BT" w:eastAsiaTheme="minorEastAsia" w:hAnsi="Humanst521 BT" w:cstheme="minorBidi"/>
        </w:rPr>
        <w:t>. Relación servicios ambulatorios UISALUD</w:t>
      </w:r>
      <w:bookmarkEnd w:id="70"/>
    </w:p>
    <w:p w14:paraId="53E882D5" w14:textId="563956B8" w:rsidR="26E29194" w:rsidRPr="007F0FA7" w:rsidRDefault="26E29194" w:rsidP="26E29194">
      <w:pPr>
        <w:rPr>
          <w:rFonts w:ascii="Humanst521 BT" w:hAnsi="Humanst521 BT"/>
          <w:sz w:val="20"/>
          <w:szCs w:val="20"/>
        </w:rPr>
      </w:pPr>
    </w:p>
    <w:p w14:paraId="654E698D" w14:textId="7669B4D7" w:rsidR="26E29194" w:rsidRPr="007F0FA7" w:rsidRDefault="26E29194" w:rsidP="26E29194">
      <w:pPr>
        <w:rPr>
          <w:rFonts w:ascii="Humanst521 BT" w:hAnsi="Humanst521 BT"/>
          <w:sz w:val="20"/>
          <w:szCs w:val="20"/>
        </w:rPr>
      </w:pPr>
    </w:p>
    <w:tbl>
      <w:tblPr>
        <w:tblW w:w="0" w:type="auto"/>
        <w:tblLayout w:type="fixed"/>
        <w:tblLook w:val="04A0" w:firstRow="1" w:lastRow="0" w:firstColumn="1" w:lastColumn="0" w:noHBand="0" w:noVBand="1"/>
      </w:tblPr>
      <w:tblGrid>
        <w:gridCol w:w="2087"/>
        <w:gridCol w:w="5113"/>
        <w:gridCol w:w="1849"/>
      </w:tblGrid>
      <w:tr w:rsidR="26E29194" w:rsidRPr="007F0FA7" w14:paraId="2AFC912D" w14:textId="77777777" w:rsidTr="00E6508D">
        <w:trPr>
          <w:trHeight w:val="345"/>
        </w:trPr>
        <w:tc>
          <w:tcPr>
            <w:tcW w:w="7200" w:type="dxa"/>
            <w:gridSpan w:val="2"/>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shd w:val="clear" w:color="auto" w:fill="C5E0B3" w:themeFill="accent6" w:themeFillTint="66"/>
            <w:tcMar>
              <w:left w:w="108" w:type="dxa"/>
              <w:right w:w="108" w:type="dxa"/>
            </w:tcMar>
            <w:vAlign w:val="center"/>
          </w:tcPr>
          <w:p w14:paraId="0143E30F" w14:textId="3281D198"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b/>
                <w:bCs/>
                <w:color w:val="000000" w:themeColor="text1"/>
                <w:sz w:val="20"/>
                <w:szCs w:val="20"/>
                <w:lang w:val="es-CO"/>
              </w:rPr>
              <w:lastRenderedPageBreak/>
              <w:t>Servicio</w:t>
            </w:r>
          </w:p>
        </w:tc>
        <w:tc>
          <w:tcPr>
            <w:tcW w:w="1849"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shd w:val="clear" w:color="auto" w:fill="C5E0B3" w:themeFill="accent6" w:themeFillTint="66"/>
            <w:tcMar>
              <w:left w:w="108" w:type="dxa"/>
              <w:right w:w="108" w:type="dxa"/>
            </w:tcMar>
            <w:vAlign w:val="center"/>
          </w:tcPr>
          <w:p w14:paraId="524EBC3E" w14:textId="2C21583C"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b/>
                <w:bCs/>
                <w:color w:val="000000" w:themeColor="text1"/>
                <w:sz w:val="20"/>
                <w:szCs w:val="20"/>
                <w:lang w:val="es-CO"/>
              </w:rPr>
              <w:t>Distintivo</w:t>
            </w:r>
          </w:p>
        </w:tc>
      </w:tr>
      <w:tr w:rsidR="26E29194" w:rsidRPr="007F0FA7" w14:paraId="1D0F9B64" w14:textId="77777777" w:rsidTr="26E29194">
        <w:trPr>
          <w:trHeight w:val="285"/>
        </w:trPr>
        <w:tc>
          <w:tcPr>
            <w:tcW w:w="2087" w:type="dxa"/>
            <w:vMerge w:val="restart"/>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000F3C29" w14:textId="6CCEF07F"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Apoyo Diagnóstico y Complementación Terapéutica</w:t>
            </w:r>
          </w:p>
        </w:tc>
        <w:tc>
          <w:tcPr>
            <w:tcW w:w="5113" w:type="dxa"/>
            <w:tcBorders>
              <w:top w:val="nil"/>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05620E0D" w14:textId="4074E211"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Toma de muestras de laboratorio clínico-cód.712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0DBCE2FF" w14:textId="492AAB96"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DHSS0184806 </w:t>
            </w:r>
          </w:p>
        </w:tc>
      </w:tr>
      <w:tr w:rsidR="26E29194" w:rsidRPr="007F0FA7" w14:paraId="410256EE"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05675EA9"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644C0A16" w14:textId="737B28F0"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Servicio farmacéutico-cód.714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487E6DAE" w14:textId="30A58CB3"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DHSS0184807 </w:t>
            </w:r>
          </w:p>
        </w:tc>
      </w:tr>
      <w:tr w:rsidR="26E29194" w:rsidRPr="007F0FA7" w14:paraId="28C9BBEA"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009D3510"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6A8153FA" w14:textId="04A15828"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Terapia respiratoria-cód.729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2D99CCC8" w14:textId="2A797033"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DHSS0184808 </w:t>
            </w:r>
          </w:p>
        </w:tc>
      </w:tr>
      <w:tr w:rsidR="26E29194" w:rsidRPr="007F0FA7" w14:paraId="42D48B56"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78FF3C27"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3644CA6D" w14:textId="4014D2DD"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Fisioterapia-cód.739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4A2D3BB2" w14:textId="7C8D8E4E"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DHSS0184809 </w:t>
            </w:r>
          </w:p>
        </w:tc>
      </w:tr>
      <w:tr w:rsidR="26E29194" w:rsidRPr="007F0FA7" w14:paraId="59C37668" w14:textId="77777777" w:rsidTr="26E29194">
        <w:trPr>
          <w:trHeight w:val="285"/>
        </w:trPr>
        <w:tc>
          <w:tcPr>
            <w:tcW w:w="2087" w:type="dxa"/>
            <w:vMerge/>
            <w:tcBorders>
              <w:left w:val="dotted" w:sz="0" w:space="0" w:color="D9D9D9" w:themeColor="background1" w:themeShade="D9"/>
              <w:bottom w:val="dotted" w:sz="0" w:space="0" w:color="D9D9D9" w:themeColor="background1" w:themeShade="D9"/>
              <w:right w:val="dotted" w:sz="0" w:space="0" w:color="D9D9D9" w:themeColor="background1" w:themeShade="D9"/>
            </w:tcBorders>
            <w:vAlign w:val="center"/>
          </w:tcPr>
          <w:p w14:paraId="3283F3F4"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2C66DAE1" w14:textId="59CDC0C6"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Toma de muestras de cuello uterino y genecológicas-cód.749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6C2575FA" w14:textId="20A8606A"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DHSS0184811 </w:t>
            </w:r>
          </w:p>
        </w:tc>
      </w:tr>
      <w:tr w:rsidR="26E29194" w:rsidRPr="007F0FA7" w14:paraId="17EBF41A" w14:textId="77777777" w:rsidTr="26E29194">
        <w:trPr>
          <w:trHeight w:val="285"/>
        </w:trPr>
        <w:tc>
          <w:tcPr>
            <w:tcW w:w="2087" w:type="dxa"/>
            <w:vMerge w:val="restart"/>
            <w:tcBorders>
              <w:top w:val="nil"/>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56555E5A" w14:textId="6617A692"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Consulta Externa</w:t>
            </w:r>
          </w:p>
        </w:tc>
        <w:tc>
          <w:tcPr>
            <w:tcW w:w="5113"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5D9A0B5C" w14:textId="219AFB00"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Medicina familiar-cód.325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491AF920" w14:textId="2679112F"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DHSS0169225 </w:t>
            </w:r>
          </w:p>
        </w:tc>
      </w:tr>
      <w:tr w:rsidR="26E29194" w:rsidRPr="007F0FA7" w14:paraId="7C321764"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3F7EB977"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258452F9" w14:textId="639F8A48"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Dermatología-cód.308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2CB5AFCC" w14:textId="2F117F6E"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DHSS0184794 </w:t>
            </w:r>
          </w:p>
        </w:tc>
      </w:tr>
      <w:tr w:rsidR="26E29194" w:rsidRPr="007F0FA7" w14:paraId="40CFA156"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33F31DD1"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5D5006B4" w14:textId="0FEFE109"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Enfermería-cód.312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32A9BE4C" w14:textId="0E7C4CB2"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DHSS0184795 </w:t>
            </w:r>
          </w:p>
        </w:tc>
      </w:tr>
      <w:tr w:rsidR="26E29194" w:rsidRPr="007F0FA7" w14:paraId="61A1F6A1" w14:textId="77777777" w:rsidTr="26E29194">
        <w:trPr>
          <w:trHeight w:val="285"/>
        </w:trPr>
        <w:tc>
          <w:tcPr>
            <w:tcW w:w="2087" w:type="dxa"/>
            <w:vMerge/>
            <w:tcBorders>
              <w:left w:val="dotted" w:sz="0" w:space="0" w:color="D9D9D9" w:themeColor="background1" w:themeShade="D9"/>
              <w:bottom w:val="dotted" w:sz="0" w:space="0" w:color="D9D9D9" w:themeColor="background1" w:themeShade="D9"/>
              <w:right w:val="dotted" w:sz="0" w:space="0" w:color="D9D9D9" w:themeColor="background1" w:themeShade="D9"/>
            </w:tcBorders>
            <w:vAlign w:val="center"/>
          </w:tcPr>
          <w:p w14:paraId="3D2D145C"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6F3DC95B" w14:textId="74D5B70C"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Ginecobstetricia-cód.320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0965B28A" w14:textId="1082451A"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DHSS0184797 </w:t>
            </w:r>
          </w:p>
        </w:tc>
      </w:tr>
      <w:tr w:rsidR="26E29194" w:rsidRPr="007F0FA7" w14:paraId="7F4A4DDE"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28FD96D1"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01B27A30" w14:textId="101DD130"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Medicina física y del deporte-cód.326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2FCF50D9" w14:textId="266D2CAE"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DHSS0184798 </w:t>
            </w:r>
          </w:p>
        </w:tc>
      </w:tr>
      <w:tr w:rsidR="26E29194" w:rsidRPr="007F0FA7" w14:paraId="744544D5"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3B1864AC"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6C558200" w14:textId="4417D9DB"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Medicina general-cód.328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4AAE20E9" w14:textId="397492CC"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DHSS0184799 </w:t>
            </w:r>
          </w:p>
        </w:tc>
      </w:tr>
      <w:tr w:rsidR="26E29194" w:rsidRPr="007F0FA7" w14:paraId="3BFB4D62"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07E11B33"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513C8D0A" w14:textId="7C645921"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Medicina interna-cód.329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224C76B5" w14:textId="47C792DF"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DHSS0184800 </w:t>
            </w:r>
          </w:p>
        </w:tc>
      </w:tr>
      <w:tr w:rsidR="26E29194" w:rsidRPr="007F0FA7" w14:paraId="188D6FAF"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428EB887"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63675F60" w14:textId="6175596C"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Nefrología-cód.330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2ECE69A8" w14:textId="7768E1A7"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DHSS0184801 </w:t>
            </w:r>
          </w:p>
        </w:tc>
      </w:tr>
      <w:tr w:rsidR="26E29194" w:rsidRPr="007F0FA7" w14:paraId="2BF7C211"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767AEF51"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491F68B8" w14:textId="2F7606C4"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Nutrición y dietética-cód.333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3364E408" w14:textId="34C8C2FC"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DHSS0184802 </w:t>
            </w:r>
          </w:p>
        </w:tc>
      </w:tr>
      <w:tr w:rsidR="26E29194" w:rsidRPr="007F0FA7" w14:paraId="34D53413"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6606929A"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76E98BD7" w14:textId="51B867A4"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Odontología general-cód.334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508BD8E1" w14:textId="1BFC6A85"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DHSS0184803 </w:t>
            </w:r>
          </w:p>
        </w:tc>
      </w:tr>
      <w:tr w:rsidR="26E29194" w:rsidRPr="007F0FA7" w14:paraId="5D4B27C6"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18BADB6E"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02E08515" w14:textId="0DCFACE7"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Pediatría-cód.342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19BD3E07" w14:textId="64280DB2"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DHSS0184804 </w:t>
            </w:r>
          </w:p>
        </w:tc>
      </w:tr>
      <w:tr w:rsidR="26E29194" w:rsidRPr="007F0FA7" w14:paraId="226B6B98"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76E39872"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1C6E57AF" w14:textId="16ED5F05"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Neuropediatría-cód.388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1734988F" w14:textId="11817555"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DHSS0184805 </w:t>
            </w:r>
          </w:p>
        </w:tc>
      </w:tr>
      <w:tr w:rsidR="26E29194" w:rsidRPr="007F0FA7" w14:paraId="17DE26D2"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5B52E5D8"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71C722AE" w14:textId="27DFE713"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Reumatología-cód.348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521CD7A8" w14:textId="1D94A579"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DHSS0430533 </w:t>
            </w:r>
          </w:p>
        </w:tc>
      </w:tr>
      <w:tr w:rsidR="26E29194" w:rsidRPr="007F0FA7" w14:paraId="7CA84C92"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62D0A5D0"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6204DD3A" w14:textId="1628C2DA"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Medicina del trabajo y medicina laboral-cód.407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47D7FF34" w14:textId="740F5DD1" w:rsidR="26E29194" w:rsidRPr="007F0FA7" w:rsidRDefault="26E29194" w:rsidP="26E29194">
            <w:pPr>
              <w:ind w:left="-20" w:right="-2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DHSS0482672 </w:t>
            </w:r>
          </w:p>
        </w:tc>
      </w:tr>
      <w:tr w:rsidR="26E29194" w:rsidRPr="007F0FA7" w14:paraId="2005E197"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11B8C18D"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491802DB" w14:textId="356FE61F"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Oftalmología-cód.335</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19BD5285" w14:textId="222A9E4C"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DHSS0594500 </w:t>
            </w:r>
          </w:p>
        </w:tc>
      </w:tr>
      <w:tr w:rsidR="26E29194" w:rsidRPr="007F0FA7" w14:paraId="1654EC96"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52BC1EEE"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634E8F6D" w14:textId="1AD79539"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Optometría-cód.337</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0F8C3775" w14:textId="354D7837"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DHSS0594501 </w:t>
            </w:r>
          </w:p>
        </w:tc>
      </w:tr>
      <w:tr w:rsidR="26E29194" w:rsidRPr="007F0FA7" w14:paraId="761FB180"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3E78B938"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23A39C07" w14:textId="5B228AEE"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Psicología-cód.344</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0CE8C54E" w14:textId="330DB7EE"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DHSS0594502 </w:t>
            </w:r>
          </w:p>
        </w:tc>
      </w:tr>
      <w:tr w:rsidR="26E29194" w:rsidRPr="007F0FA7" w14:paraId="758C582B" w14:textId="77777777" w:rsidTr="26E29194">
        <w:trPr>
          <w:trHeight w:val="285"/>
        </w:trPr>
        <w:tc>
          <w:tcPr>
            <w:tcW w:w="2087" w:type="dxa"/>
            <w:vMerge/>
            <w:tcBorders>
              <w:left w:val="dotted" w:sz="0" w:space="0" w:color="D9D9D9" w:themeColor="background1" w:themeShade="D9"/>
              <w:right w:val="dotted" w:sz="0" w:space="0" w:color="D9D9D9" w:themeColor="background1" w:themeShade="D9"/>
            </w:tcBorders>
            <w:vAlign w:val="center"/>
          </w:tcPr>
          <w:p w14:paraId="06532AB8"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2418D003" w14:textId="77106506"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Cardiología-cód.302</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039BE578" w14:textId="7021B903"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DHSS0594498 </w:t>
            </w:r>
          </w:p>
        </w:tc>
      </w:tr>
      <w:tr w:rsidR="26E29194" w:rsidRPr="007F0FA7" w14:paraId="1A4BAE34" w14:textId="77777777" w:rsidTr="26E29194">
        <w:trPr>
          <w:trHeight w:val="285"/>
        </w:trPr>
        <w:tc>
          <w:tcPr>
            <w:tcW w:w="2087" w:type="dxa"/>
            <w:vMerge/>
            <w:tcBorders>
              <w:left w:val="dotted" w:sz="0" w:space="0" w:color="D9D9D9" w:themeColor="background1" w:themeShade="D9"/>
              <w:bottom w:val="dotted" w:sz="0" w:space="0" w:color="D9D9D9" w:themeColor="background1" w:themeShade="D9"/>
              <w:right w:val="dotted" w:sz="0" w:space="0" w:color="D9D9D9" w:themeColor="background1" w:themeShade="D9"/>
            </w:tcBorders>
            <w:vAlign w:val="center"/>
          </w:tcPr>
          <w:p w14:paraId="5F08437F" w14:textId="77777777" w:rsidR="00A63DE0" w:rsidRPr="007F0FA7" w:rsidRDefault="00A63DE0">
            <w:pPr>
              <w:rPr>
                <w:rFonts w:ascii="Humanst521 BT" w:hAnsi="Humanst521 BT"/>
              </w:rPr>
            </w:pPr>
          </w:p>
        </w:tc>
        <w:tc>
          <w:tcPr>
            <w:tcW w:w="5113" w:type="dxa"/>
            <w:tcBorders>
              <w:top w:val="dotted" w:sz="8" w:space="0" w:color="D9D9D9" w:themeColor="background1" w:themeShade="D9"/>
              <w:left w:val="nil"/>
              <w:bottom w:val="dotted" w:sz="8" w:space="0" w:color="D9D9D9" w:themeColor="background1" w:themeShade="D9"/>
              <w:right w:val="dotted" w:sz="8" w:space="0" w:color="D9D9D9" w:themeColor="background1" w:themeShade="D9"/>
            </w:tcBorders>
            <w:tcMar>
              <w:left w:w="108" w:type="dxa"/>
              <w:right w:w="108" w:type="dxa"/>
            </w:tcMar>
            <w:vAlign w:val="center"/>
          </w:tcPr>
          <w:p w14:paraId="75808905" w14:textId="4225B05F"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 xml:space="preserve">Endocrinología -cód.310 </w:t>
            </w:r>
          </w:p>
        </w:tc>
        <w:tc>
          <w:tcPr>
            <w:tcW w:w="1849" w:type="dxa"/>
            <w:tcBorders>
              <w:top w:val="dotted" w:sz="8" w:space="0" w:color="D9D9D9" w:themeColor="background1" w:themeShade="D9"/>
              <w:left w:val="dotted" w:sz="8" w:space="0" w:color="D9D9D9" w:themeColor="background1" w:themeShade="D9"/>
              <w:bottom w:val="dotted" w:sz="8" w:space="0" w:color="D9D9D9" w:themeColor="background1" w:themeShade="D9"/>
              <w:right w:val="dotted" w:sz="8" w:space="0" w:color="D9D9D9" w:themeColor="background1" w:themeShade="D9"/>
            </w:tcBorders>
            <w:tcMar>
              <w:left w:w="108" w:type="dxa"/>
              <w:right w:w="108" w:type="dxa"/>
            </w:tcMar>
            <w:vAlign w:val="center"/>
          </w:tcPr>
          <w:p w14:paraId="2877120B" w14:textId="414F5E16" w:rsidR="26E29194" w:rsidRPr="007F0FA7" w:rsidRDefault="26E29194" w:rsidP="26E29194">
            <w:pPr>
              <w:ind w:left="-30" w:right="-30"/>
              <w:jc w:val="center"/>
              <w:rPr>
                <w:rFonts w:ascii="Humanst521 BT" w:hAnsi="Humanst521 BT"/>
              </w:rPr>
            </w:pPr>
            <w:r w:rsidRPr="007F0FA7">
              <w:rPr>
                <w:rFonts w:ascii="Humanst521 BT" w:eastAsia="Humanst521 BT" w:hAnsi="Humanst521 BT" w:cs="Humanst521 BT"/>
                <w:color w:val="000000" w:themeColor="text1"/>
                <w:sz w:val="20"/>
                <w:szCs w:val="20"/>
                <w:lang w:val="es-CO"/>
              </w:rPr>
              <w:t>DHSS0594449</w:t>
            </w:r>
          </w:p>
        </w:tc>
      </w:tr>
    </w:tbl>
    <w:p w14:paraId="1E418408" w14:textId="4FC138DF" w:rsidR="26E29194" w:rsidRPr="007F0FA7" w:rsidRDefault="26E29194" w:rsidP="26E29194">
      <w:pPr>
        <w:rPr>
          <w:rFonts w:ascii="Humanst521 BT" w:hAnsi="Humanst521 BT"/>
          <w:sz w:val="20"/>
          <w:szCs w:val="20"/>
        </w:rPr>
      </w:pPr>
    </w:p>
    <w:p w14:paraId="5A806171" w14:textId="7422BADC" w:rsidR="26E29194" w:rsidRPr="007F0FA7" w:rsidRDefault="26E29194" w:rsidP="26E29194">
      <w:pPr>
        <w:rPr>
          <w:rFonts w:ascii="Humanst521 BT" w:hAnsi="Humanst521 BT"/>
          <w:sz w:val="20"/>
          <w:szCs w:val="20"/>
        </w:rPr>
      </w:pPr>
    </w:p>
    <w:p w14:paraId="1A54250B" w14:textId="77777777" w:rsidR="00B25869" w:rsidRPr="00D67845" w:rsidRDefault="00B25869" w:rsidP="00D67845">
      <w:pPr>
        <w:rPr>
          <w:rFonts w:ascii="Humanst521 BT" w:eastAsia="Times New Roman" w:hAnsi="Humanst521 BT" w:cs="Times New Roman"/>
          <w:b/>
          <w:bCs/>
          <w:i/>
          <w:iCs/>
          <w:lang w:val="es-CO"/>
        </w:rPr>
      </w:pPr>
      <w:r w:rsidRPr="00D67845">
        <w:rPr>
          <w:rFonts w:ascii="Humanst521 BT" w:hAnsi="Humanst521 BT"/>
          <w:b/>
          <w:bCs/>
          <w:i/>
          <w:iCs/>
        </w:rPr>
        <w:t>Caracterización del Talento Humano Institucional</w:t>
      </w:r>
    </w:p>
    <w:p w14:paraId="291DD856" w14:textId="2B784BD6" w:rsidR="00B25869" w:rsidRPr="00343502" w:rsidRDefault="00B25869" w:rsidP="00343502">
      <w:pPr>
        <w:pStyle w:val="NormalWeb"/>
        <w:jc w:val="both"/>
        <w:rPr>
          <w:rFonts w:ascii="Humanst521 BT" w:hAnsi="Humanst521 BT"/>
          <w:sz w:val="22"/>
          <w:szCs w:val="22"/>
        </w:rPr>
      </w:pPr>
      <w:r w:rsidRPr="00343502">
        <w:rPr>
          <w:rFonts w:ascii="Humanst521 BT" w:hAnsi="Humanst521 BT"/>
          <w:sz w:val="22"/>
          <w:szCs w:val="22"/>
        </w:rPr>
        <w:t xml:space="preserve">Para soportar la operación de la IPS Primaria y los procesos transversales de gestión del riesgo, la institución cuenta con una estructura de talento humano calificado. A corte de la vigencia, la composición del personal vinculada bajo la modalidad de planta se distribuye como se presenta en la </w:t>
      </w:r>
      <w:r w:rsidRPr="00343502">
        <w:rPr>
          <w:rFonts w:ascii="Humanst521 BT" w:hAnsi="Humanst521 BT"/>
          <w:b/>
          <w:bCs/>
          <w:sz w:val="22"/>
          <w:szCs w:val="22"/>
        </w:rPr>
        <w:t xml:space="preserve">Figura </w:t>
      </w:r>
      <w:r w:rsidR="00343502">
        <w:rPr>
          <w:rFonts w:ascii="Humanst521 BT" w:hAnsi="Humanst521 BT"/>
          <w:b/>
          <w:bCs/>
          <w:sz w:val="22"/>
          <w:szCs w:val="22"/>
        </w:rPr>
        <w:t>8</w:t>
      </w:r>
      <w:r w:rsidRPr="00343502">
        <w:rPr>
          <w:rFonts w:ascii="Humanst521 BT" w:hAnsi="Humanst521 BT"/>
          <w:sz w:val="22"/>
          <w:szCs w:val="22"/>
        </w:rPr>
        <w:t>.</w:t>
      </w:r>
    </w:p>
    <w:p w14:paraId="79011DB3" w14:textId="77777777" w:rsidR="00B25869" w:rsidRPr="00343502" w:rsidRDefault="00B25869" w:rsidP="00343502">
      <w:pPr>
        <w:pStyle w:val="NormalWeb"/>
        <w:jc w:val="both"/>
        <w:rPr>
          <w:rFonts w:ascii="Humanst521 BT" w:hAnsi="Humanst521 BT"/>
          <w:sz w:val="22"/>
          <w:szCs w:val="22"/>
        </w:rPr>
      </w:pPr>
      <w:r w:rsidRPr="00343502">
        <w:rPr>
          <w:rFonts w:ascii="Humanst521 BT" w:hAnsi="Humanst521 BT"/>
          <w:sz w:val="22"/>
          <w:szCs w:val="22"/>
        </w:rPr>
        <w:t xml:space="preserve">La planta de UISALUD está conformada por </w:t>
      </w:r>
      <w:r w:rsidRPr="00343502">
        <w:rPr>
          <w:rFonts w:ascii="Humanst521 BT" w:hAnsi="Humanst521 BT"/>
          <w:b/>
          <w:bCs/>
          <w:sz w:val="22"/>
          <w:szCs w:val="22"/>
        </w:rPr>
        <w:t>90 colaboradores activos</w:t>
      </w:r>
      <w:r w:rsidRPr="00343502">
        <w:rPr>
          <w:rFonts w:ascii="Humanst521 BT" w:hAnsi="Humanst521 BT"/>
          <w:sz w:val="22"/>
          <w:szCs w:val="22"/>
        </w:rPr>
        <w:t xml:space="preserve">. De estos, el </w:t>
      </w:r>
      <w:r w:rsidRPr="00343502">
        <w:rPr>
          <w:rFonts w:ascii="Humanst521 BT" w:hAnsi="Humanst521 BT"/>
          <w:b/>
          <w:bCs/>
          <w:sz w:val="22"/>
          <w:szCs w:val="22"/>
        </w:rPr>
        <w:t>52% (62 colaboradores)</w:t>
      </w:r>
      <w:r w:rsidRPr="00343502">
        <w:rPr>
          <w:rFonts w:ascii="Humanst521 BT" w:hAnsi="Humanst521 BT"/>
          <w:sz w:val="22"/>
          <w:szCs w:val="22"/>
        </w:rPr>
        <w:t xml:space="preserve"> corresponde exclusivamente a personal del área asistencial, compuesto por médicos generales, médicos especialistas, profesionales de enfermería y terapeutas, asegurando la continuidad del cuidado directo en la consulta externa. El </w:t>
      </w:r>
      <w:r w:rsidRPr="00343502">
        <w:rPr>
          <w:rFonts w:ascii="Humanst521 BT" w:hAnsi="Humanst521 BT"/>
          <w:b/>
          <w:bCs/>
          <w:sz w:val="22"/>
          <w:szCs w:val="22"/>
        </w:rPr>
        <w:t>48% restante (28 colaboradores)</w:t>
      </w:r>
      <w:r w:rsidRPr="00343502">
        <w:rPr>
          <w:rFonts w:ascii="Humanst521 BT" w:hAnsi="Humanst521 BT"/>
          <w:sz w:val="22"/>
          <w:szCs w:val="22"/>
        </w:rPr>
        <w:t xml:space="preserve"> integra el equipo profesional y auxiliar del área administrativa, encargado de los macroprocesos de auditoría médica, contratación, sistemas de información y aseguramiento, estructura indispensable para garantizar la sostenibilidad y calidad del servicio prestado.</w:t>
      </w:r>
    </w:p>
    <w:p w14:paraId="0A5F41A3" w14:textId="133AB654" w:rsidR="26E29194" w:rsidRPr="007F0FA7" w:rsidRDefault="26E29194" w:rsidP="26E29194">
      <w:pPr>
        <w:rPr>
          <w:rFonts w:ascii="Humanst521 BT" w:hAnsi="Humanst521 BT"/>
          <w:sz w:val="20"/>
          <w:szCs w:val="20"/>
        </w:rPr>
      </w:pPr>
    </w:p>
    <w:p w14:paraId="00E44A57" w14:textId="71AE176A" w:rsidR="26E29194" w:rsidRPr="007F0FA7" w:rsidRDefault="26E29194" w:rsidP="26E29194">
      <w:pPr>
        <w:rPr>
          <w:rFonts w:ascii="Humanst521 BT" w:hAnsi="Humanst521 BT"/>
          <w:sz w:val="20"/>
          <w:szCs w:val="20"/>
        </w:rPr>
      </w:pPr>
    </w:p>
    <w:p w14:paraId="49F49779" w14:textId="25851797" w:rsidR="26E29194" w:rsidRPr="007F0FA7" w:rsidRDefault="26E29194" w:rsidP="26E29194">
      <w:pPr>
        <w:jc w:val="both"/>
        <w:rPr>
          <w:rFonts w:ascii="Humanst521 BT" w:eastAsia="Humanst521 BT" w:hAnsi="Humanst521 BT" w:cs="Humanst521 BT"/>
        </w:rPr>
      </w:pPr>
    </w:p>
    <w:p w14:paraId="334F0B21" w14:textId="271096C3" w:rsidR="000549AC" w:rsidRPr="00376D92" w:rsidRDefault="000549AC" w:rsidP="000549AC">
      <w:pPr>
        <w:rPr>
          <w:rFonts w:ascii="Humanst521 BT" w:hAnsi="Humanst521 BT"/>
          <w:sz w:val="20"/>
        </w:rPr>
      </w:pPr>
      <w:bookmarkStart w:id="71" w:name="_Toc220995103"/>
      <w:r w:rsidRPr="00376D92">
        <w:rPr>
          <w:rFonts w:ascii="Humanst521 BT" w:hAnsi="Humanst521 BT"/>
        </w:rPr>
        <w:t xml:space="preserve">Figura </w:t>
      </w:r>
      <w:r w:rsidRPr="00376D92">
        <w:rPr>
          <w:rFonts w:ascii="Humanst521 BT" w:hAnsi="Humanst521 BT"/>
        </w:rPr>
        <w:fldChar w:fldCharType="begin"/>
      </w:r>
      <w:r w:rsidRPr="00376D92">
        <w:rPr>
          <w:rFonts w:ascii="Humanst521 BT" w:hAnsi="Humanst521 BT"/>
        </w:rPr>
        <w:instrText xml:space="preserve"> SEQ Figura \* ARABIC </w:instrText>
      </w:r>
      <w:r w:rsidRPr="00376D92">
        <w:rPr>
          <w:rFonts w:ascii="Humanst521 BT" w:hAnsi="Humanst521 BT"/>
        </w:rPr>
        <w:fldChar w:fldCharType="separate"/>
      </w:r>
      <w:r w:rsidR="007E563D">
        <w:rPr>
          <w:rFonts w:ascii="Humanst521 BT" w:hAnsi="Humanst521 BT"/>
          <w:noProof/>
        </w:rPr>
        <w:t>8</w:t>
      </w:r>
      <w:r w:rsidRPr="00376D92">
        <w:rPr>
          <w:rFonts w:ascii="Humanst521 BT" w:hAnsi="Humanst521 BT"/>
        </w:rPr>
        <w:fldChar w:fldCharType="end"/>
      </w:r>
      <w:r w:rsidRPr="00376D92">
        <w:rPr>
          <w:rFonts w:ascii="Humanst521 BT" w:hAnsi="Humanst521 BT"/>
        </w:rPr>
        <w:t>.</w:t>
      </w:r>
      <w:r w:rsidRPr="00376D92">
        <w:rPr>
          <w:rFonts w:ascii="Humanst521 BT" w:hAnsi="Humanst521 BT"/>
          <w:sz w:val="20"/>
        </w:rPr>
        <w:t xml:space="preserve"> Personal UISALUD 2025</w:t>
      </w:r>
      <w:bookmarkEnd w:id="71"/>
      <w:r>
        <w:rPr>
          <w:rFonts w:ascii="Humanst521 BT" w:hAnsi="Humanst521 BT"/>
          <w:sz w:val="20"/>
        </w:rPr>
        <w:t xml:space="preserve"> - planta</w:t>
      </w:r>
    </w:p>
    <w:p w14:paraId="7A6AB6E5" w14:textId="77777777" w:rsidR="000549AC" w:rsidRPr="00376D92" w:rsidRDefault="000549AC" w:rsidP="000549AC">
      <w:pPr>
        <w:jc w:val="center"/>
        <w:rPr>
          <w:rFonts w:ascii="Humanst521 BT" w:hAnsi="Humanst521 BT"/>
        </w:rPr>
      </w:pPr>
      <w:r w:rsidRPr="00376D92">
        <w:rPr>
          <w:rFonts w:ascii="Humanst521 BT" w:hAnsi="Humanst521 BT"/>
          <w:noProof/>
        </w:rPr>
        <w:drawing>
          <wp:inline distT="0" distB="0" distL="0" distR="0" wp14:anchorId="54EDBE11" wp14:editId="6EB06E0A">
            <wp:extent cx="5718809" cy="4267200"/>
            <wp:effectExtent l="0" t="0" r="0" b="0"/>
            <wp:docPr id="18811969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96912" name="Picture 1881196912"/>
                    <pic:cNvPicPr/>
                  </pic:nvPicPr>
                  <pic:blipFill>
                    <a:blip r:embed="rId17">
                      <a:extLst>
                        <a:ext uri="{28A0092B-C50C-407E-A947-70E740481C1C}">
                          <a14:useLocalDpi xmlns:a14="http://schemas.microsoft.com/office/drawing/2010/main"/>
                        </a:ext>
                      </a:extLst>
                    </a:blip>
                    <a:stretch>
                      <a:fillRect/>
                    </a:stretch>
                  </pic:blipFill>
                  <pic:spPr>
                    <a:xfrm>
                      <a:off x="0" y="0"/>
                      <a:ext cx="5728830" cy="4274677"/>
                    </a:xfrm>
                    <a:prstGeom prst="rect">
                      <a:avLst/>
                    </a:prstGeom>
                  </pic:spPr>
                </pic:pic>
              </a:graphicData>
            </a:graphic>
          </wp:inline>
        </w:drawing>
      </w:r>
    </w:p>
    <w:p w14:paraId="6AF75B16" w14:textId="77777777" w:rsidR="000549AC" w:rsidRPr="00376D92" w:rsidRDefault="000549AC" w:rsidP="000549AC">
      <w:pPr>
        <w:rPr>
          <w:rFonts w:ascii="Humanst521 BT" w:hAnsi="Humanst521 BT"/>
        </w:rPr>
      </w:pPr>
      <w:r w:rsidRPr="00376D92">
        <w:rPr>
          <w:rFonts w:ascii="Humanst521 BT" w:hAnsi="Humanst521 BT"/>
        </w:rPr>
        <w:t>Fuente. Elaboración propia, 2025.</w:t>
      </w:r>
      <w:r w:rsidRPr="00376D92">
        <w:rPr>
          <w:rFonts w:ascii="Humanst521 BT" w:eastAsia="Arial" w:hAnsi="Humanst521 BT" w:cs="Arial"/>
        </w:rPr>
        <w:t xml:space="preserve"> </w:t>
      </w:r>
    </w:p>
    <w:p w14:paraId="2E6E4A69" w14:textId="77777777" w:rsidR="000549AC" w:rsidRPr="00376D92" w:rsidRDefault="000549AC" w:rsidP="000549AC">
      <w:pPr>
        <w:rPr>
          <w:rFonts w:ascii="Humanst521 BT" w:eastAsia="Arial" w:hAnsi="Humanst521 BT" w:cs="Arial"/>
        </w:rPr>
      </w:pPr>
    </w:p>
    <w:p w14:paraId="58297BE1" w14:textId="77777777" w:rsidR="000549AC" w:rsidRPr="00376D92" w:rsidRDefault="000549AC" w:rsidP="000549AC">
      <w:pPr>
        <w:jc w:val="both"/>
        <w:rPr>
          <w:rFonts w:ascii="Humanst521 BT" w:eastAsia="Arial" w:hAnsi="Humanst521 BT" w:cs="Arial"/>
        </w:rPr>
      </w:pPr>
      <w:r>
        <w:rPr>
          <w:rFonts w:ascii="Humanst521 BT" w:eastAsia="Arial" w:hAnsi="Humanst521 BT" w:cs="Arial"/>
        </w:rPr>
        <w:t>A 31 diciembre de</w:t>
      </w:r>
      <w:r w:rsidRPr="00376D92">
        <w:rPr>
          <w:rFonts w:ascii="Humanst521 BT" w:eastAsia="Arial" w:hAnsi="Humanst521 BT" w:cs="Arial"/>
        </w:rPr>
        <w:t xml:space="preserve"> 2025, UISALUD c</w:t>
      </w:r>
      <w:r>
        <w:rPr>
          <w:rFonts w:ascii="Humanst521 BT" w:eastAsia="Arial" w:hAnsi="Humanst521 BT" w:cs="Arial"/>
        </w:rPr>
        <w:t>uenta</w:t>
      </w:r>
      <w:r w:rsidRPr="00376D92">
        <w:rPr>
          <w:rFonts w:ascii="Humanst521 BT" w:eastAsia="Arial" w:hAnsi="Humanst521 BT" w:cs="Arial"/>
        </w:rPr>
        <w:t xml:space="preserve"> con 90 colaboradores, de los cuales 62 </w:t>
      </w:r>
      <w:r>
        <w:rPr>
          <w:rFonts w:ascii="Humanst521 BT" w:eastAsia="Arial" w:hAnsi="Humanst521 BT" w:cs="Arial"/>
        </w:rPr>
        <w:t>son</w:t>
      </w:r>
      <w:r w:rsidRPr="00376D92">
        <w:rPr>
          <w:rFonts w:ascii="Humanst521 BT" w:eastAsia="Arial" w:hAnsi="Humanst521 BT" w:cs="Arial"/>
        </w:rPr>
        <w:t xml:space="preserve"> médicos generales, especialistas y otros profesionales asistenciales, y 28 profesionales y auxiliares Administrativos de planta. </w:t>
      </w:r>
    </w:p>
    <w:p w14:paraId="4A82497E" w14:textId="77777777" w:rsidR="000549AC" w:rsidRPr="00376D92" w:rsidRDefault="000549AC" w:rsidP="000549AC">
      <w:pPr>
        <w:jc w:val="both"/>
        <w:rPr>
          <w:rFonts w:ascii="Humanst521 BT" w:eastAsia="Arial" w:hAnsi="Humanst521 BT" w:cs="Arial"/>
        </w:rPr>
      </w:pPr>
    </w:p>
    <w:p w14:paraId="034A500D" w14:textId="77777777" w:rsidR="000549AC" w:rsidRPr="00376D92" w:rsidRDefault="000549AC" w:rsidP="000549AC">
      <w:pPr>
        <w:jc w:val="both"/>
        <w:rPr>
          <w:rFonts w:ascii="Humanst521 BT" w:eastAsia="Arial" w:hAnsi="Humanst521 BT" w:cs="Arial"/>
        </w:rPr>
      </w:pPr>
      <w:r w:rsidRPr="00376D92">
        <w:rPr>
          <w:rFonts w:ascii="Humanst521 BT" w:eastAsia="Arial" w:hAnsi="Humanst521 BT" w:cs="Arial"/>
        </w:rPr>
        <w:t xml:space="preserve">Del personal de planta, el 52% fue asistencial y el 48% administrativo. </w:t>
      </w:r>
    </w:p>
    <w:p w14:paraId="727DC091" w14:textId="77777777" w:rsidR="00992C54" w:rsidRPr="007F0FA7" w:rsidRDefault="00992C54" w:rsidP="26E29194">
      <w:pPr>
        <w:jc w:val="both"/>
        <w:rPr>
          <w:rFonts w:ascii="Humanst521 BT" w:eastAsia="Humanst521 BT" w:hAnsi="Humanst521 BT" w:cs="Humanst521 BT"/>
        </w:rPr>
      </w:pPr>
    </w:p>
    <w:p w14:paraId="2F6D57E3" w14:textId="06C9D4CB" w:rsidR="5B9FA9E6" w:rsidRPr="00C8589C" w:rsidRDefault="00337155" w:rsidP="00A52122">
      <w:pPr>
        <w:pStyle w:val="Ttulo4"/>
        <w:jc w:val="left"/>
        <w:rPr>
          <w:rFonts w:ascii="Humanst521 BT" w:eastAsia="Humanst521 BT" w:hAnsi="Humanst521 BT" w:cs="Humanst521 BT"/>
          <w:color w:val="2F5496" w:themeColor="accent1" w:themeShade="BF"/>
          <w:sz w:val="22"/>
          <w:szCs w:val="22"/>
        </w:rPr>
      </w:pPr>
      <w:bookmarkStart w:id="72" w:name="_Toc231286796"/>
      <w:r w:rsidRPr="00C8589C">
        <w:rPr>
          <w:rFonts w:ascii="Humanst521 BT" w:eastAsia="Humanst521 BT" w:hAnsi="Humanst521 BT" w:cs="Humanst521 BT"/>
          <w:color w:val="2F5496" w:themeColor="accent1" w:themeShade="BF"/>
          <w:sz w:val="22"/>
          <w:szCs w:val="22"/>
        </w:rPr>
        <w:t xml:space="preserve">5.1.2.3. </w:t>
      </w:r>
      <w:r w:rsidR="5B9FA9E6" w:rsidRPr="00C8589C">
        <w:rPr>
          <w:rFonts w:ascii="Humanst521 BT" w:eastAsia="Humanst521 BT" w:hAnsi="Humanst521 BT" w:cs="Humanst521 BT"/>
          <w:color w:val="2F5496" w:themeColor="accent1" w:themeShade="BF"/>
          <w:sz w:val="22"/>
          <w:szCs w:val="22"/>
        </w:rPr>
        <w:t>Situaciones adversas derivadas de la prestación de servicios de salud</w:t>
      </w:r>
      <w:bookmarkEnd w:id="72"/>
    </w:p>
    <w:p w14:paraId="4B7D85F7" w14:textId="6E4F7413" w:rsidR="26E29194" w:rsidRPr="00A52122" w:rsidRDefault="26E29194" w:rsidP="00A52122">
      <w:pPr>
        <w:rPr>
          <w:rFonts w:ascii="Humanst521 BT" w:eastAsia="Humanst521 BT" w:hAnsi="Humanst521 BT" w:cs="Humanst521 BT"/>
          <w:color w:val="000000" w:themeColor="text1"/>
        </w:rPr>
      </w:pPr>
    </w:p>
    <w:p w14:paraId="73F45310" w14:textId="508ECFBC" w:rsidR="00E65227" w:rsidRPr="00842D93" w:rsidRDefault="00E65227" w:rsidP="00842D93">
      <w:pPr>
        <w:pStyle w:val="NormalWeb"/>
        <w:jc w:val="both"/>
        <w:rPr>
          <w:rFonts w:ascii="Humanst521 BT" w:eastAsia="Arial" w:hAnsi="Humanst521 BT" w:cs="Arial"/>
          <w:sz w:val="22"/>
          <w:szCs w:val="22"/>
          <w:lang w:val="es-ES" w:eastAsia="en-US"/>
        </w:rPr>
      </w:pPr>
      <w:r w:rsidRPr="00842D93">
        <w:rPr>
          <w:rFonts w:ascii="Humanst521 BT" w:eastAsia="Arial" w:hAnsi="Humanst521 BT" w:cs="Arial"/>
          <w:sz w:val="22"/>
          <w:szCs w:val="22"/>
          <w:lang w:val="es-ES" w:eastAsia="en-US"/>
        </w:rPr>
        <w:t>La gestión de la seguridad del paciente y la mitigación de situaciones adversas derivadas de la prestación de servicios de salud constituyen componentes transversales en UISALUD. La población afiliada, al interactuar con los diferentes niveles de complejidad de la Red Prestadora de Servicios de Salud (Red PSS), se encuentra expuesta a riesgos inherentes a la atención, tales como caídas de pacientes, Infecciones Asociadas a la Atención en Salud (IAAS), úlceras por presión en estancias hospitalarias prolongadas y errores en la cadena de administración de medicamentos, entre otros.</w:t>
      </w:r>
    </w:p>
    <w:p w14:paraId="7F23818C" w14:textId="77777777" w:rsidR="00E65227" w:rsidRPr="00842D93" w:rsidRDefault="00E65227" w:rsidP="00842D93">
      <w:pPr>
        <w:pStyle w:val="NormalWeb"/>
        <w:jc w:val="both"/>
        <w:rPr>
          <w:rFonts w:ascii="Humanst521 BT" w:eastAsia="Arial" w:hAnsi="Humanst521 BT" w:cs="Arial"/>
          <w:sz w:val="22"/>
          <w:szCs w:val="22"/>
          <w:lang w:val="es-ES" w:eastAsia="en-US"/>
        </w:rPr>
      </w:pPr>
      <w:r w:rsidRPr="00842D93">
        <w:rPr>
          <w:rFonts w:ascii="Humanst521 BT" w:eastAsia="Arial" w:hAnsi="Humanst521 BT" w:cs="Arial"/>
          <w:sz w:val="22"/>
          <w:szCs w:val="22"/>
          <w:lang w:val="es-ES" w:eastAsia="en-US"/>
        </w:rPr>
        <w:lastRenderedPageBreak/>
        <w:t xml:space="preserve">Para responder a estos retos, la institución cuenta con un equipo multidisciplinario especializado que lidera la evaluación, análisis y contención de incidentes y eventos adversos. Este proceso crítico se fundamenta en un modelo integral de auditoría a la red de prestadores que evalúa de forma sistemática variables técnico-científicas, oportunidad, accesibilidad, humanización y gestión administrativa. La estrategia operativa de este modelo incluye: </w:t>
      </w:r>
    </w:p>
    <w:p w14:paraId="102DD811" w14:textId="77777777" w:rsidR="00E65227" w:rsidRPr="00842D93" w:rsidRDefault="00E65227" w:rsidP="00842D93">
      <w:pPr>
        <w:pStyle w:val="NormalWeb"/>
        <w:numPr>
          <w:ilvl w:val="0"/>
          <w:numId w:val="30"/>
        </w:numPr>
        <w:jc w:val="both"/>
        <w:rPr>
          <w:rFonts w:ascii="Humanst521 BT" w:eastAsia="Arial" w:hAnsi="Humanst521 BT" w:cs="Arial"/>
          <w:sz w:val="22"/>
          <w:szCs w:val="22"/>
          <w:lang w:val="es-ES" w:eastAsia="en-US"/>
        </w:rPr>
      </w:pPr>
      <w:r w:rsidRPr="00842D93">
        <w:rPr>
          <w:rFonts w:ascii="Humanst521 BT" w:eastAsia="Arial" w:hAnsi="Humanst521 BT" w:cs="Arial"/>
          <w:sz w:val="22"/>
          <w:szCs w:val="22"/>
          <w:lang w:val="es-ES" w:eastAsia="en-US"/>
        </w:rPr>
        <w:t xml:space="preserve">Visitas de Verificación: Inspección directa y auditoría de cumplimiento de las condiciones de habilitación y seguridad en los nodos de la red contratada. </w:t>
      </w:r>
    </w:p>
    <w:p w14:paraId="49C6AF8F" w14:textId="77777777" w:rsidR="00E65227" w:rsidRPr="00842D93" w:rsidRDefault="00E65227" w:rsidP="00842D93">
      <w:pPr>
        <w:pStyle w:val="NormalWeb"/>
        <w:numPr>
          <w:ilvl w:val="0"/>
          <w:numId w:val="30"/>
        </w:numPr>
        <w:jc w:val="both"/>
        <w:rPr>
          <w:rFonts w:ascii="Humanst521 BT" w:eastAsia="Arial" w:hAnsi="Humanst521 BT" w:cs="Arial"/>
          <w:sz w:val="22"/>
          <w:szCs w:val="22"/>
          <w:lang w:val="es-ES" w:eastAsia="en-US"/>
        </w:rPr>
      </w:pPr>
      <w:r w:rsidRPr="00842D93">
        <w:rPr>
          <w:rFonts w:ascii="Humanst521 BT" w:eastAsia="Arial" w:hAnsi="Humanst521 BT" w:cs="Arial"/>
          <w:sz w:val="22"/>
          <w:szCs w:val="22"/>
          <w:lang w:val="es-ES" w:eastAsia="en-US"/>
        </w:rPr>
        <w:t xml:space="preserve">Auditoría y Seguimiento Concurrente: Monitoreo en tiempo real de los pacientes afiliados que se encuentran en internación hospitalaria, vigilando la adherencia a las guías de práctica clínica y la prevención de riesgos intrahospitalarios. </w:t>
      </w:r>
    </w:p>
    <w:p w14:paraId="6649E14E" w14:textId="77777777" w:rsidR="00E65227" w:rsidRPr="00842D93" w:rsidRDefault="00E65227" w:rsidP="00842D93">
      <w:pPr>
        <w:pStyle w:val="NormalWeb"/>
        <w:numPr>
          <w:ilvl w:val="0"/>
          <w:numId w:val="30"/>
        </w:numPr>
        <w:jc w:val="both"/>
        <w:rPr>
          <w:rFonts w:ascii="Humanst521 BT" w:eastAsia="Arial" w:hAnsi="Humanst521 BT" w:cs="Arial"/>
          <w:sz w:val="22"/>
          <w:szCs w:val="22"/>
          <w:lang w:val="es-ES" w:eastAsia="en-US"/>
        </w:rPr>
      </w:pPr>
      <w:r w:rsidRPr="00842D93">
        <w:rPr>
          <w:rFonts w:ascii="Humanst521 BT" w:eastAsia="Arial" w:hAnsi="Humanst521 BT" w:cs="Arial"/>
          <w:sz w:val="22"/>
          <w:szCs w:val="22"/>
          <w:lang w:val="es-ES" w:eastAsia="en-US"/>
        </w:rPr>
        <w:t xml:space="preserve">Monitoreo de Indicadores de Calidad: Análisis periódico de las métricas de seguridad reportadas por los prestadores y de la trazabilidad de las Peticiones, Quejas, Reclamos y Sugerencias (PQRS) interpuestas por los usuarios, utilizándolas como alertas tempranas de fallas en la atención. </w:t>
      </w:r>
    </w:p>
    <w:p w14:paraId="3B555DCE" w14:textId="77777777" w:rsidR="00E65227" w:rsidRPr="00842D93" w:rsidRDefault="00E65227" w:rsidP="00842D93">
      <w:pPr>
        <w:pStyle w:val="NormalWeb"/>
        <w:jc w:val="both"/>
        <w:rPr>
          <w:rFonts w:ascii="Humanst521 BT" w:eastAsia="Arial" w:hAnsi="Humanst521 BT" w:cs="Arial"/>
          <w:sz w:val="22"/>
          <w:szCs w:val="22"/>
          <w:lang w:val="es-ES" w:eastAsia="en-US"/>
        </w:rPr>
      </w:pPr>
      <w:r w:rsidRPr="00842D93">
        <w:rPr>
          <w:rFonts w:ascii="Humanst521 BT" w:eastAsia="Arial" w:hAnsi="Humanst521 BT" w:cs="Arial"/>
          <w:sz w:val="22"/>
          <w:szCs w:val="22"/>
          <w:lang w:val="es-ES" w:eastAsia="en-US"/>
        </w:rPr>
        <w:t>La máxima instancia de articulación y toma de decisiones en esta materia es el Comité de Seguridad del Paciente de UISALUD. En este espacio intersectorial se evalúa y hace seguimiento riguroso a la implementación de los Paquetes Instruccionales de la Guía Técnica Buenas Prácticas para la Seguridad del Paciente en la Atención en Salud. Ante la detección o notificación de un incidente o evento adverso —ya sea por reporte directo de una IPS de la red o mediante los hallazgos del equipo de auditoría concurrente—, el Comité lidera el análisis causal bajo metodologías validadas (como el Protocolo de Londres) para establecer barreras de seguridad efectivas y estructurar planes de mejoramiento institucional e individualizados con los prestadores.</w:t>
      </w:r>
    </w:p>
    <w:p w14:paraId="54FC73F6" w14:textId="77777777" w:rsidR="00E65227" w:rsidRPr="00842D93" w:rsidRDefault="00E65227" w:rsidP="00842D93">
      <w:pPr>
        <w:pStyle w:val="NormalWeb"/>
        <w:jc w:val="both"/>
        <w:rPr>
          <w:rFonts w:ascii="Humanst521 BT" w:eastAsia="Arial" w:hAnsi="Humanst521 BT" w:cs="Arial"/>
          <w:sz w:val="22"/>
          <w:szCs w:val="22"/>
          <w:lang w:val="es-ES" w:eastAsia="en-US"/>
        </w:rPr>
      </w:pPr>
      <w:r w:rsidRPr="00842D93">
        <w:rPr>
          <w:rFonts w:ascii="Humanst521 BT" w:eastAsia="Arial" w:hAnsi="Humanst521 BT" w:cs="Arial"/>
          <w:sz w:val="22"/>
          <w:szCs w:val="22"/>
          <w:lang w:val="es-ES" w:eastAsia="en-US"/>
        </w:rPr>
        <w:t xml:space="preserve">A nivel de eventos de notificación obligatoria y vigilancia epidemiológica, la institución mantiene un estricto monitoreo de las Infecciones Asociadas a la Atención en Salud (IAAS). Los consolidados del sistema de información institucional demuestran una tendencia a la contención del riesgo infeccioso en los escenarios ambulatorios propios, y la gestión de auditoría se orienta activamente a verificar que las IPS externas de mediana y alta complejidad mantengan tasas de IAAS por debajo de los estándares nacionales aceptables, garantizando una atención segura, continua y orientada a salvaguardar la integridad de toda la población afiliada. </w:t>
      </w:r>
    </w:p>
    <w:p w14:paraId="52BC76E1" w14:textId="19246BA1" w:rsidR="34D8EA7D" w:rsidRPr="000549AC" w:rsidRDefault="34D8EA7D" w:rsidP="26E29194">
      <w:pPr>
        <w:jc w:val="both"/>
        <w:rPr>
          <w:rFonts w:ascii="Humanst521 BT" w:eastAsia="Humanst521 BT" w:hAnsi="Humanst521 BT" w:cs="Humanst521 BT"/>
          <w:color w:val="FF0000"/>
        </w:rPr>
      </w:pPr>
    </w:p>
    <w:p w14:paraId="7006241E" w14:textId="40CAC0AA" w:rsidR="009238C0" w:rsidRPr="00C8589C" w:rsidRDefault="00461D2A" w:rsidP="00B6007F">
      <w:pPr>
        <w:pStyle w:val="Prrafodelista"/>
        <w:numPr>
          <w:ilvl w:val="2"/>
          <w:numId w:val="9"/>
        </w:numPr>
        <w:tabs>
          <w:tab w:val="left" w:pos="2465"/>
        </w:tabs>
        <w:ind w:right="385"/>
        <w:outlineLvl w:val="2"/>
        <w:rPr>
          <w:rFonts w:ascii="Humanst521 BT" w:hAnsi="Humanst521 BT"/>
          <w:b/>
          <w:bCs/>
          <w:color w:val="2F5496" w:themeColor="accent1" w:themeShade="BF"/>
          <w:sz w:val="24"/>
          <w:szCs w:val="24"/>
        </w:rPr>
      </w:pPr>
      <w:bookmarkStart w:id="73" w:name="_Toc231286797"/>
      <w:r w:rsidRPr="00C8589C">
        <w:rPr>
          <w:rFonts w:ascii="Humanst521 BT" w:hAnsi="Humanst521 BT"/>
          <w:b/>
          <w:bCs/>
          <w:color w:val="2F5496" w:themeColor="accent1" w:themeShade="BF"/>
          <w:sz w:val="24"/>
          <w:szCs w:val="24"/>
        </w:rPr>
        <w:t xml:space="preserve">Conclusiones </w:t>
      </w:r>
      <w:r w:rsidR="00AC70A4" w:rsidRPr="00C8589C">
        <w:rPr>
          <w:rFonts w:ascii="Humanst521 BT" w:hAnsi="Humanst521 BT"/>
          <w:b/>
          <w:bCs/>
          <w:color w:val="2F5496" w:themeColor="accent1" w:themeShade="BF"/>
          <w:sz w:val="24"/>
          <w:szCs w:val="24"/>
        </w:rPr>
        <w:t>capítulo</w:t>
      </w:r>
      <w:r w:rsidRPr="00C8589C">
        <w:rPr>
          <w:rFonts w:ascii="Humanst521 BT" w:hAnsi="Humanst521 BT"/>
          <w:b/>
          <w:bCs/>
          <w:color w:val="2F5496" w:themeColor="accent1" w:themeShade="BF"/>
          <w:sz w:val="24"/>
          <w:szCs w:val="24"/>
        </w:rPr>
        <w:t xml:space="preserve"> 1. </w:t>
      </w:r>
      <w:r w:rsidR="0011630F" w:rsidRPr="00C8589C">
        <w:rPr>
          <w:rFonts w:ascii="Humanst521 BT" w:hAnsi="Humanst521 BT"/>
          <w:b/>
          <w:bCs/>
          <w:color w:val="2F5496" w:themeColor="accent1" w:themeShade="BF"/>
          <w:sz w:val="24"/>
          <w:szCs w:val="24"/>
        </w:rPr>
        <w:t>Configuración</w:t>
      </w:r>
      <w:r w:rsidR="0011630F" w:rsidRPr="00C8589C">
        <w:rPr>
          <w:rFonts w:ascii="Humanst521 BT" w:hAnsi="Humanst521 BT"/>
          <w:b/>
          <w:bCs/>
          <w:color w:val="2F5496" w:themeColor="accent1" w:themeShade="BF"/>
          <w:spacing w:val="80"/>
          <w:sz w:val="24"/>
          <w:szCs w:val="24"/>
        </w:rPr>
        <w:t xml:space="preserve"> </w:t>
      </w:r>
      <w:r w:rsidR="0011630F" w:rsidRPr="00C8589C">
        <w:rPr>
          <w:rFonts w:ascii="Humanst521 BT" w:hAnsi="Humanst521 BT"/>
          <w:b/>
          <w:bCs/>
          <w:color w:val="2F5496" w:themeColor="accent1" w:themeShade="BF"/>
          <w:sz w:val="24"/>
          <w:szCs w:val="24"/>
        </w:rPr>
        <w:t>del</w:t>
      </w:r>
      <w:r w:rsidR="0011630F" w:rsidRPr="00C8589C">
        <w:rPr>
          <w:rFonts w:ascii="Humanst521 BT" w:hAnsi="Humanst521 BT"/>
          <w:b/>
          <w:bCs/>
          <w:color w:val="2F5496" w:themeColor="accent1" w:themeShade="BF"/>
          <w:spacing w:val="80"/>
          <w:sz w:val="24"/>
          <w:szCs w:val="24"/>
        </w:rPr>
        <w:t xml:space="preserve"> </w:t>
      </w:r>
      <w:r w:rsidR="0011630F" w:rsidRPr="00C8589C">
        <w:rPr>
          <w:rFonts w:ascii="Humanst521 BT" w:hAnsi="Humanst521 BT"/>
          <w:b/>
          <w:bCs/>
          <w:color w:val="2F5496" w:themeColor="accent1" w:themeShade="BF"/>
          <w:sz w:val="24"/>
          <w:szCs w:val="24"/>
        </w:rPr>
        <w:t>territorio</w:t>
      </w:r>
      <w:r w:rsidR="0011630F" w:rsidRPr="00C8589C">
        <w:rPr>
          <w:rFonts w:ascii="Humanst521 BT" w:hAnsi="Humanst521 BT"/>
          <w:b/>
          <w:bCs/>
          <w:color w:val="2F5496" w:themeColor="accent1" w:themeShade="BF"/>
          <w:spacing w:val="40"/>
          <w:sz w:val="24"/>
          <w:szCs w:val="24"/>
        </w:rPr>
        <w:t xml:space="preserve"> </w:t>
      </w:r>
      <w:r w:rsidR="0011630F" w:rsidRPr="00C8589C">
        <w:rPr>
          <w:rFonts w:ascii="Humanst521 BT" w:hAnsi="Humanst521 BT"/>
          <w:b/>
          <w:bCs/>
          <w:color w:val="2F5496" w:themeColor="accent1" w:themeShade="BF"/>
          <w:sz w:val="24"/>
          <w:szCs w:val="24"/>
        </w:rPr>
        <w:t>desde la perspectiva de los determinantes sociales de la salud y el enfoque diferencial.</w:t>
      </w:r>
      <w:bookmarkEnd w:id="73"/>
    </w:p>
    <w:p w14:paraId="79037373" w14:textId="323B65BB" w:rsidR="00F31624" w:rsidRPr="00C8589C" w:rsidRDefault="006969D8" w:rsidP="00093B44">
      <w:pPr>
        <w:pStyle w:val="Default"/>
        <w:rPr>
          <w:rFonts w:ascii="Humanst521 BT" w:hAnsi="Humanst521 BT"/>
          <w:b/>
          <w:bCs/>
          <w:color w:val="2F5496" w:themeColor="accent1" w:themeShade="BF"/>
        </w:rPr>
      </w:pPr>
      <w:r w:rsidRPr="00C8589C">
        <w:rPr>
          <w:rFonts w:ascii="Humanst521 BT" w:hAnsi="Humanst521 BT"/>
          <w:b/>
          <w:bCs/>
          <w:color w:val="2F5496" w:themeColor="accent1" w:themeShade="BF"/>
        </w:rPr>
        <w:t xml:space="preserve">A </w:t>
      </w:r>
      <w:r w:rsidR="00815648" w:rsidRPr="00C8589C">
        <w:rPr>
          <w:rFonts w:ascii="Humanst521 BT" w:hAnsi="Humanst521 BT"/>
          <w:b/>
          <w:bCs/>
          <w:color w:val="2F5496" w:themeColor="accent1" w:themeShade="BF"/>
        </w:rPr>
        <w:t>continuación,</w:t>
      </w:r>
      <w:r w:rsidRPr="00C8589C">
        <w:rPr>
          <w:rFonts w:ascii="Humanst521 BT" w:hAnsi="Humanst521 BT"/>
          <w:b/>
          <w:bCs/>
          <w:color w:val="2F5496" w:themeColor="accent1" w:themeShade="BF"/>
        </w:rPr>
        <w:t xml:space="preserve"> se identifican </w:t>
      </w:r>
      <w:r w:rsidR="00F31624" w:rsidRPr="00C8589C">
        <w:rPr>
          <w:rFonts w:ascii="Humanst521 BT" w:hAnsi="Humanst521 BT"/>
          <w:b/>
          <w:bCs/>
          <w:color w:val="2F5496" w:themeColor="accent1" w:themeShade="BF"/>
        </w:rPr>
        <w:t xml:space="preserve">los elementos más importantes comparando con respecto al territorio. </w:t>
      </w:r>
    </w:p>
    <w:p w14:paraId="4E9CB460" w14:textId="77777777" w:rsidR="003339D0" w:rsidRPr="00C8589C" w:rsidRDefault="003339D0" w:rsidP="00093B44">
      <w:pPr>
        <w:tabs>
          <w:tab w:val="left" w:pos="1410"/>
        </w:tabs>
        <w:spacing w:before="2"/>
        <w:ind w:right="384"/>
        <w:rPr>
          <w:rFonts w:ascii="Humanst521 BT" w:hAnsi="Humanst521 BT"/>
          <w:b/>
          <w:bCs/>
          <w:color w:val="2F5496" w:themeColor="accent1" w:themeShade="BF"/>
          <w:sz w:val="24"/>
          <w:szCs w:val="24"/>
        </w:rPr>
      </w:pPr>
    </w:p>
    <w:p w14:paraId="1398D471" w14:textId="426639E1" w:rsidR="00E63627" w:rsidRPr="007F0FA7" w:rsidRDefault="006969D8" w:rsidP="00B6007F">
      <w:pPr>
        <w:widowControl/>
        <w:numPr>
          <w:ilvl w:val="0"/>
          <w:numId w:val="3"/>
        </w:numPr>
        <w:autoSpaceDE/>
        <w:autoSpaceDN/>
        <w:spacing w:before="100" w:beforeAutospacing="1" w:after="100" w:afterAutospacing="1"/>
        <w:jc w:val="both"/>
        <w:rPr>
          <w:rFonts w:ascii="Humanst521 BT" w:hAnsi="Humanst521 BT"/>
        </w:rPr>
      </w:pPr>
      <w:r w:rsidRPr="007F0FA7">
        <w:rPr>
          <w:rFonts w:ascii="Humanst521 BT" w:hAnsi="Humanst521 BT"/>
          <w:b/>
          <w:bCs/>
        </w:rPr>
        <w:t>C</w:t>
      </w:r>
      <w:r w:rsidR="00E63627" w:rsidRPr="007F0FA7">
        <w:rPr>
          <w:rFonts w:ascii="Humanst521 BT" w:hAnsi="Humanst521 BT"/>
          <w:b/>
          <w:bCs/>
        </w:rPr>
        <w:t>oncentración geográfica de afiliados:</w:t>
      </w:r>
      <w:r w:rsidR="00E63627" w:rsidRPr="007F0FA7">
        <w:rPr>
          <w:rFonts w:ascii="Humanst521 BT" w:hAnsi="Humanst521 BT"/>
        </w:rPr>
        <w:t xml:space="preserve"> La mayor parte de los afiliados a UISALUD se concentran en Bucaramanga, con el </w:t>
      </w:r>
      <w:r w:rsidR="00D52CB9">
        <w:rPr>
          <w:rFonts w:ascii="Humanst521 BT" w:hAnsi="Humanst521 BT"/>
        </w:rPr>
        <w:t>65,37</w:t>
      </w:r>
      <w:r w:rsidR="00E63627" w:rsidRPr="007F0FA7">
        <w:rPr>
          <w:rFonts w:ascii="Humanst521 BT" w:hAnsi="Humanst521 BT"/>
        </w:rPr>
        <w:t>% de los afiliados (1,</w:t>
      </w:r>
      <w:r w:rsidR="00D52CB9">
        <w:rPr>
          <w:rFonts w:ascii="Humanst521 BT" w:hAnsi="Humanst521 BT"/>
        </w:rPr>
        <w:t>825</w:t>
      </w:r>
      <w:r w:rsidR="00E63627" w:rsidRPr="007F0FA7">
        <w:rPr>
          <w:rFonts w:ascii="Humanst521 BT" w:hAnsi="Humanst521 BT"/>
        </w:rPr>
        <w:t xml:space="preserve"> personas). Floridablanca sigue en importancia con el </w:t>
      </w:r>
      <w:r w:rsidR="005F1437">
        <w:rPr>
          <w:rFonts w:ascii="Humanst521 BT" w:hAnsi="Humanst521 BT"/>
        </w:rPr>
        <w:t>21,</w:t>
      </w:r>
      <w:r w:rsidR="00E63627" w:rsidRPr="007F0FA7">
        <w:rPr>
          <w:rFonts w:ascii="Humanst521 BT" w:hAnsi="Humanst521 BT"/>
        </w:rPr>
        <w:t>3</w:t>
      </w:r>
      <w:r w:rsidR="005F1437">
        <w:rPr>
          <w:rFonts w:ascii="Humanst521 BT" w:hAnsi="Humanst521 BT"/>
        </w:rPr>
        <w:t>5</w:t>
      </w:r>
      <w:r w:rsidR="00E63627" w:rsidRPr="007F0FA7">
        <w:rPr>
          <w:rFonts w:ascii="Humanst521 BT" w:hAnsi="Humanst521 BT"/>
        </w:rPr>
        <w:t>%, mientras que Girón y Piedecuesta tienen una menor participación</w:t>
      </w:r>
      <w:r w:rsidR="005F1437">
        <w:rPr>
          <w:rFonts w:ascii="Humanst521 BT" w:hAnsi="Humanst521 BT"/>
        </w:rPr>
        <w:t xml:space="preserve"> con 6,8 y 2% respectivamente</w:t>
      </w:r>
      <w:r w:rsidR="00E63627" w:rsidRPr="007F0FA7">
        <w:rPr>
          <w:rFonts w:ascii="Humanst521 BT" w:hAnsi="Humanst521 BT"/>
        </w:rPr>
        <w:t>. Esto refleja que la cobertura de UISALUD está más enfocada en las áreas urbanas más densamente pobladas, como Bucaramanga y Floridablanca.</w:t>
      </w:r>
    </w:p>
    <w:p w14:paraId="691AB18A" w14:textId="77777777" w:rsidR="00E63627" w:rsidRPr="007F0FA7" w:rsidRDefault="00E63627" w:rsidP="00B6007F">
      <w:pPr>
        <w:widowControl/>
        <w:numPr>
          <w:ilvl w:val="0"/>
          <w:numId w:val="3"/>
        </w:numPr>
        <w:autoSpaceDE/>
        <w:autoSpaceDN/>
        <w:spacing w:before="100" w:beforeAutospacing="1" w:after="100" w:afterAutospacing="1"/>
        <w:jc w:val="both"/>
        <w:rPr>
          <w:rFonts w:ascii="Humanst521 BT" w:hAnsi="Humanst521 BT"/>
        </w:rPr>
      </w:pPr>
      <w:r w:rsidRPr="007F0FA7">
        <w:rPr>
          <w:rFonts w:ascii="Humanst521 BT" w:hAnsi="Humanst521 BT"/>
          <w:b/>
          <w:bCs/>
        </w:rPr>
        <w:lastRenderedPageBreak/>
        <w:t>Proporción de afiliados respecto a la población total</w:t>
      </w:r>
      <w:r w:rsidRPr="007F0FA7">
        <w:rPr>
          <w:rFonts w:ascii="Humanst521 BT" w:hAnsi="Humanst521 BT"/>
        </w:rPr>
        <w:t>: Aunque Bucaramanga concentra la mayor parte de afiliados, estos representan solo el 0.32% de la población total del municipio. Floridablanca, por su parte, muestra una penetración del 0.15%, lo que indica que UISALUD atiende un segmento limitado de la población en comparación con la totalidad de los habitantes de cada municipio.</w:t>
      </w:r>
    </w:p>
    <w:p w14:paraId="4019E7B4" w14:textId="77777777" w:rsidR="00E63627" w:rsidRPr="007F0FA7" w:rsidRDefault="00E63627" w:rsidP="00B6007F">
      <w:pPr>
        <w:widowControl/>
        <w:numPr>
          <w:ilvl w:val="0"/>
          <w:numId w:val="3"/>
        </w:numPr>
        <w:autoSpaceDE/>
        <w:autoSpaceDN/>
        <w:spacing w:before="100" w:beforeAutospacing="1" w:after="100" w:afterAutospacing="1"/>
        <w:jc w:val="both"/>
        <w:rPr>
          <w:rFonts w:ascii="Humanst521 BT" w:hAnsi="Humanst521 BT"/>
        </w:rPr>
      </w:pPr>
      <w:r w:rsidRPr="007F0FA7">
        <w:rPr>
          <w:rFonts w:ascii="Humanst521 BT" w:hAnsi="Humanst521 BT"/>
          <w:b/>
          <w:bCs/>
        </w:rPr>
        <w:t>Pirámide poblacional</w:t>
      </w:r>
      <w:r w:rsidRPr="007F0FA7">
        <w:rPr>
          <w:rFonts w:ascii="Humanst521 BT" w:hAnsi="Humanst521 BT"/>
        </w:rPr>
        <w:t>: La estructura demográfica de la población afiliada a UISALUD presenta una tendencia estacionaria, con una disminución en la población joven y un aumento en la población mayor de 60 años, que representa el 50% de los afiliados. Esto contrasta con las pirámides poblacionales de Colombia y Santander, donde la población comienza a disminuir a partir de los 25 años.</w:t>
      </w:r>
    </w:p>
    <w:p w14:paraId="3CDAC5CC" w14:textId="3CC0DF14" w:rsidR="00E63627" w:rsidRPr="007F0FA7" w:rsidRDefault="00E63627" w:rsidP="00B6007F">
      <w:pPr>
        <w:widowControl/>
        <w:numPr>
          <w:ilvl w:val="0"/>
          <w:numId w:val="3"/>
        </w:numPr>
        <w:autoSpaceDE/>
        <w:autoSpaceDN/>
        <w:spacing w:before="100" w:beforeAutospacing="1" w:after="100" w:afterAutospacing="1"/>
        <w:jc w:val="both"/>
        <w:rPr>
          <w:rFonts w:ascii="Humanst521 BT" w:hAnsi="Humanst521 BT"/>
        </w:rPr>
      </w:pPr>
      <w:r w:rsidRPr="007F0FA7">
        <w:rPr>
          <w:rFonts w:ascii="Humanst521 BT" w:hAnsi="Humanst521 BT"/>
          <w:b/>
          <w:bCs/>
        </w:rPr>
        <w:t xml:space="preserve">Evolución de la afiliación: </w:t>
      </w:r>
      <w:r w:rsidRPr="007F0FA7">
        <w:rPr>
          <w:rFonts w:ascii="Humanst521 BT" w:hAnsi="Humanst521 BT"/>
        </w:rPr>
        <w:t>Entre 2016 y 202</w:t>
      </w:r>
      <w:r w:rsidR="00CD2759">
        <w:rPr>
          <w:rFonts w:ascii="Humanst521 BT" w:hAnsi="Humanst521 BT"/>
        </w:rPr>
        <w:t>5</w:t>
      </w:r>
      <w:r w:rsidRPr="007F0FA7">
        <w:rPr>
          <w:rFonts w:ascii="Humanst521 BT" w:hAnsi="Humanst521 BT"/>
        </w:rPr>
        <w:t>, el número de afiliados a UISALUD ha disminuido en 2</w:t>
      </w:r>
      <w:r w:rsidR="005F0090">
        <w:rPr>
          <w:rFonts w:ascii="Humanst521 BT" w:hAnsi="Humanst521 BT"/>
        </w:rPr>
        <w:t>0</w:t>
      </w:r>
      <w:r w:rsidRPr="007F0FA7">
        <w:rPr>
          <w:rFonts w:ascii="Humanst521 BT" w:hAnsi="Humanst521 BT"/>
        </w:rPr>
        <w:t>9 personas, pasando de 3,001 a 2,7</w:t>
      </w:r>
      <w:r w:rsidR="005F0090">
        <w:rPr>
          <w:rFonts w:ascii="Humanst521 BT" w:hAnsi="Humanst521 BT"/>
        </w:rPr>
        <w:t>92</w:t>
      </w:r>
      <w:r w:rsidRPr="007F0FA7">
        <w:rPr>
          <w:rFonts w:ascii="Humanst521 BT" w:hAnsi="Humanst521 BT"/>
        </w:rPr>
        <w:t>. Esta tendencia de descenso sugiere la necesidad de implementar estrategias para retener y atraer nuevos usuarios.</w:t>
      </w:r>
    </w:p>
    <w:p w14:paraId="2FE3020B" w14:textId="77777777" w:rsidR="00E63627" w:rsidRPr="007F0FA7" w:rsidRDefault="00E63627" w:rsidP="00B6007F">
      <w:pPr>
        <w:widowControl/>
        <w:numPr>
          <w:ilvl w:val="0"/>
          <w:numId w:val="3"/>
        </w:numPr>
        <w:autoSpaceDE/>
        <w:autoSpaceDN/>
        <w:spacing w:before="100" w:beforeAutospacing="1" w:after="100" w:afterAutospacing="1"/>
        <w:jc w:val="both"/>
        <w:rPr>
          <w:rFonts w:ascii="Humanst521 BT" w:hAnsi="Humanst521 BT"/>
        </w:rPr>
      </w:pPr>
      <w:r w:rsidRPr="007F0FA7">
        <w:rPr>
          <w:rFonts w:ascii="Humanst521 BT" w:hAnsi="Humanst521 BT"/>
          <w:b/>
          <w:bCs/>
        </w:rPr>
        <w:t>Población en situación de vulnerabilidad:</w:t>
      </w:r>
      <w:r w:rsidRPr="007F0FA7">
        <w:rPr>
          <w:rFonts w:ascii="Humanst521 BT" w:hAnsi="Humanst521 BT"/>
        </w:rPr>
        <w:t xml:space="preserve"> Aunque no se reportaron personas de grupos étnicos o desplazados entre los afiliados, UISALUD sí cuenta con 21 personas víctimas del conflicto armado en su programa PAPSIVI, quienes residen mayoritariamente en Bucaramanga. También se registran 46 personas en condición de discapacidad, con una alta prevalencia de discapacidades mentales.</w:t>
      </w:r>
    </w:p>
    <w:p w14:paraId="32D23F28" w14:textId="77777777" w:rsidR="00E63627" w:rsidRPr="007F0FA7" w:rsidRDefault="00E63627" w:rsidP="00B6007F">
      <w:pPr>
        <w:widowControl/>
        <w:numPr>
          <w:ilvl w:val="0"/>
          <w:numId w:val="3"/>
        </w:numPr>
        <w:autoSpaceDE/>
        <w:autoSpaceDN/>
        <w:spacing w:before="100" w:beforeAutospacing="1" w:after="100" w:afterAutospacing="1"/>
        <w:jc w:val="both"/>
        <w:rPr>
          <w:rFonts w:ascii="Humanst521 BT" w:hAnsi="Humanst521 BT"/>
        </w:rPr>
      </w:pPr>
      <w:r w:rsidRPr="007F0FA7">
        <w:rPr>
          <w:rFonts w:ascii="Humanst521 BT" w:hAnsi="Humanst521 BT"/>
          <w:b/>
          <w:bCs/>
        </w:rPr>
        <w:t>Distribución por ciclo de vida:</w:t>
      </w:r>
      <w:r w:rsidRPr="007F0FA7">
        <w:rPr>
          <w:rFonts w:ascii="Humanst521 BT" w:hAnsi="Humanst521 BT"/>
        </w:rPr>
        <w:t xml:space="preserve"> El 50.06% de los afiliados corresponde a personas mayores de 60 años, lo que indica un perfil de usuarios envejecidos. Los menores de 5 años representan solo el 2.2% de la población, reflejando una baja natalidad entre los afiliados.</w:t>
      </w:r>
    </w:p>
    <w:p w14:paraId="46CDAF3B" w14:textId="4B295A39" w:rsidR="00E63627" w:rsidRPr="007F0FA7" w:rsidRDefault="00E63627" w:rsidP="00B6007F">
      <w:pPr>
        <w:widowControl/>
        <w:numPr>
          <w:ilvl w:val="0"/>
          <w:numId w:val="3"/>
        </w:numPr>
        <w:autoSpaceDE/>
        <w:autoSpaceDN/>
        <w:spacing w:before="100" w:beforeAutospacing="1" w:after="100" w:afterAutospacing="1"/>
        <w:jc w:val="both"/>
        <w:rPr>
          <w:rFonts w:ascii="Humanst521 BT" w:hAnsi="Humanst521 BT"/>
        </w:rPr>
      </w:pPr>
      <w:r w:rsidRPr="007F0FA7">
        <w:rPr>
          <w:rFonts w:ascii="Humanst521 BT" w:hAnsi="Humanst521 BT"/>
          <w:b/>
          <w:bCs/>
        </w:rPr>
        <w:t xml:space="preserve">Casos de enfermedad laboral: </w:t>
      </w:r>
      <w:r w:rsidRPr="007F0FA7">
        <w:rPr>
          <w:rFonts w:ascii="Humanst521 BT" w:hAnsi="Humanst521 BT"/>
        </w:rPr>
        <w:t>En 202</w:t>
      </w:r>
      <w:r w:rsidR="0066385E">
        <w:rPr>
          <w:rFonts w:ascii="Humanst521 BT" w:hAnsi="Humanst521 BT"/>
        </w:rPr>
        <w:t>5</w:t>
      </w:r>
      <w:r w:rsidRPr="007F0FA7">
        <w:rPr>
          <w:rFonts w:ascii="Humanst521 BT" w:hAnsi="Humanst521 BT"/>
        </w:rPr>
        <w:t>, se registraron 49 casos de enfermedades laborales, un aumento en comparación con 2023. Las enfermedades osteomusculares y del sistema nervioso son las principales causas.</w:t>
      </w:r>
    </w:p>
    <w:p w14:paraId="11929223" w14:textId="0741612C" w:rsidR="00F55DC7" w:rsidRDefault="00E63627" w:rsidP="00F55DC7">
      <w:pPr>
        <w:widowControl/>
        <w:autoSpaceDE/>
        <w:autoSpaceDN/>
        <w:spacing w:before="100" w:beforeAutospacing="1" w:after="100" w:afterAutospacing="1"/>
        <w:jc w:val="both"/>
        <w:rPr>
          <w:rFonts w:ascii="Humanst521 BT" w:hAnsi="Humanst521 BT"/>
        </w:rPr>
      </w:pPr>
      <w:r w:rsidRPr="007F0FA7">
        <w:rPr>
          <w:rFonts w:ascii="Humanst521 BT" w:hAnsi="Humanst521 BT"/>
        </w:rPr>
        <w:t>Estas conclusiones resaltan una tendencia de envejecimiento de la población afiliada, una concentración geográfica en áreas urbanas, y la necesidad de abordar el descenso de afiliados mediante estrategias de expansión</w:t>
      </w:r>
      <w:bookmarkStart w:id="74" w:name="_bookmark13"/>
      <w:bookmarkEnd w:id="74"/>
      <w:r w:rsidR="00C3254F">
        <w:rPr>
          <w:rFonts w:ascii="Humanst521 BT" w:hAnsi="Humanst521 BT"/>
        </w:rPr>
        <w:t xml:space="preserve">, dado que la retención es fuerte. </w:t>
      </w:r>
    </w:p>
    <w:p w14:paraId="657F78B0" w14:textId="4E176B23" w:rsidR="00331090" w:rsidRPr="007F0FA7" w:rsidRDefault="00370096" w:rsidP="00F55DC7">
      <w:pPr>
        <w:widowControl/>
        <w:autoSpaceDE/>
        <w:autoSpaceDN/>
        <w:spacing w:before="100" w:beforeAutospacing="1" w:after="100" w:afterAutospacing="1"/>
        <w:jc w:val="both"/>
        <w:rPr>
          <w:rFonts w:ascii="Humanst521 BT" w:hAnsi="Humanst521 BT"/>
        </w:rPr>
      </w:pPr>
      <w:r>
        <w:rPr>
          <w:rFonts w:ascii="Humanst521 BT" w:hAnsi="Humanst521 BT"/>
        </w:rPr>
        <w:t>A</w:t>
      </w:r>
      <w:r w:rsidR="00394A58" w:rsidRPr="00967353">
        <w:rPr>
          <w:rFonts w:ascii="Humanst521 BT" w:hAnsi="Humanst521 BT"/>
        </w:rPr>
        <w:t>sí mismo la</w:t>
      </w:r>
      <w:r w:rsidR="00331090" w:rsidRPr="00967353">
        <w:rPr>
          <w:rFonts w:ascii="Humanst521 BT" w:hAnsi="Humanst521 BT"/>
        </w:rPr>
        <w:t xml:space="preserve"> estructura poblacional orienta la necesidad de fortalecer estrategias enfocadas en el </w:t>
      </w:r>
      <w:r w:rsidR="00331090" w:rsidRPr="00370096">
        <w:rPr>
          <w:rFonts w:ascii="Humanst521 BT" w:hAnsi="Humanst521 BT"/>
        </w:rPr>
        <w:t>manejo integral de enfermedades crónicas, envejecimiento saludable, salud mental y atención domiciliaria,</w:t>
      </w:r>
      <w:r w:rsidR="00331090" w:rsidRPr="00967353">
        <w:rPr>
          <w:rFonts w:ascii="Humanst521 BT" w:hAnsi="Humanst521 BT"/>
        </w:rPr>
        <w:t xml:space="preserve"> así como en la optimización de servicios para una población con alta carga de dependencia funcional y riesgo de eventos de alto costo. Este perfil demográfico es consistente con los hallazgos de morbilidad y debe ser considerado como eje central en la planeación de intervenciones y asignación de recursos en UISALUD.</w:t>
      </w:r>
    </w:p>
    <w:p w14:paraId="72DDD12F" w14:textId="566207E6" w:rsidR="00244200" w:rsidRPr="00FF396E" w:rsidRDefault="00092228" w:rsidP="00FF396E">
      <w:pPr>
        <w:pStyle w:val="Ttulo2"/>
        <w:numPr>
          <w:ilvl w:val="1"/>
          <w:numId w:val="9"/>
        </w:numPr>
        <w:tabs>
          <w:tab w:val="left" w:pos="769"/>
          <w:tab w:val="left" w:pos="1755"/>
        </w:tabs>
        <w:ind w:right="379"/>
        <w:rPr>
          <w:rFonts w:ascii="Humanst521 BT" w:eastAsiaTheme="majorEastAsia" w:hAnsi="Humanst521 BT" w:cstheme="majorBidi"/>
          <w:color w:val="2F5496" w:themeColor="accent1" w:themeShade="BF"/>
          <w:sz w:val="28"/>
          <w:szCs w:val="28"/>
          <w:lang w:eastAsia="es-CO"/>
        </w:rPr>
      </w:pPr>
      <w:bookmarkStart w:id="75" w:name="_Toc231286798"/>
      <w:r w:rsidRPr="00FF396E">
        <w:rPr>
          <w:rFonts w:ascii="Humanst521 BT" w:eastAsiaTheme="majorEastAsia" w:hAnsi="Humanst521 BT" w:cstheme="majorBidi"/>
          <w:color w:val="2F5496" w:themeColor="accent1" w:themeShade="BF"/>
          <w:sz w:val="28"/>
          <w:szCs w:val="28"/>
          <w:lang w:eastAsia="es-CO"/>
        </w:rPr>
        <w:t>CAPÍTULO 2. SITUACIÓN DE CALIDAD DE VIDA Y SALUD EN EL TERRITORIO: MORBILIDAD, MORTALIDAD, PROBLEMÁTICAS Y NECESIDADES SOCIALES Y AMBIENTALES QUE AFECTAN LA SALUD DE LA POBLACIÓN AFILIADA EN EL TERRITORIO.</w:t>
      </w:r>
      <w:bookmarkEnd w:id="75"/>
    </w:p>
    <w:p w14:paraId="0B9322BD" w14:textId="729FFA55" w:rsidR="00F067BD" w:rsidRPr="007F0FA7" w:rsidRDefault="00F067BD" w:rsidP="00093B44">
      <w:pPr>
        <w:tabs>
          <w:tab w:val="left" w:pos="1061"/>
        </w:tabs>
        <w:spacing w:before="1"/>
        <w:ind w:right="379"/>
        <w:rPr>
          <w:rFonts w:ascii="Humanst521 BT" w:hAnsi="Humanst521 BT"/>
          <w:b/>
          <w:bCs/>
        </w:rPr>
      </w:pPr>
    </w:p>
    <w:p w14:paraId="7E538CAE" w14:textId="6CC65A7A" w:rsidR="00FF5ED3" w:rsidRPr="00C8589C" w:rsidRDefault="004D7DE1" w:rsidP="00093B44">
      <w:pPr>
        <w:tabs>
          <w:tab w:val="left" w:pos="2465"/>
        </w:tabs>
        <w:outlineLvl w:val="2"/>
        <w:rPr>
          <w:rFonts w:ascii="Humanst521 BT" w:hAnsi="Humanst521 BT"/>
          <w:b/>
          <w:bCs/>
          <w:color w:val="2F5496" w:themeColor="accent1" w:themeShade="BF"/>
          <w:sz w:val="24"/>
          <w:szCs w:val="24"/>
        </w:rPr>
      </w:pPr>
      <w:bookmarkStart w:id="76" w:name="_Toc231286799"/>
      <w:r w:rsidRPr="00C8589C">
        <w:rPr>
          <w:rFonts w:ascii="Humanst521 BT" w:hAnsi="Humanst521 BT"/>
          <w:b/>
          <w:bCs/>
          <w:color w:val="2F5496" w:themeColor="accent1" w:themeShade="BF"/>
          <w:sz w:val="24"/>
          <w:szCs w:val="24"/>
        </w:rPr>
        <w:t>5.2.</w:t>
      </w:r>
      <w:r w:rsidR="0013535E" w:rsidRPr="00C8589C">
        <w:rPr>
          <w:rFonts w:ascii="Humanst521 BT" w:hAnsi="Humanst521 BT"/>
          <w:b/>
          <w:bCs/>
          <w:color w:val="2F5496" w:themeColor="accent1" w:themeShade="BF"/>
          <w:sz w:val="24"/>
          <w:szCs w:val="24"/>
        </w:rPr>
        <w:t>1. Morbilidad</w:t>
      </w:r>
      <w:bookmarkEnd w:id="76"/>
    </w:p>
    <w:p w14:paraId="2449ED64" w14:textId="77777777" w:rsidR="00FF5ED3" w:rsidRPr="007F0FA7" w:rsidRDefault="00FF5ED3" w:rsidP="00093B44">
      <w:pPr>
        <w:pStyle w:val="Prrafodelista"/>
        <w:tabs>
          <w:tab w:val="left" w:pos="1061"/>
        </w:tabs>
        <w:spacing w:before="1"/>
        <w:ind w:left="2466" w:right="379" w:firstLine="0"/>
        <w:rPr>
          <w:rFonts w:ascii="Humanst521 BT" w:hAnsi="Humanst521 BT"/>
          <w:b/>
          <w:bCs/>
        </w:rPr>
      </w:pPr>
    </w:p>
    <w:p w14:paraId="217C64E1" w14:textId="3F429069" w:rsidR="00446FB4" w:rsidRPr="007F0FA7" w:rsidRDefault="00446FB4" w:rsidP="00093B44">
      <w:pPr>
        <w:rPr>
          <w:rFonts w:ascii="Humanst521 BT" w:hAnsi="Humanst521 BT"/>
        </w:rPr>
      </w:pPr>
      <w:r w:rsidRPr="007F0FA7">
        <w:rPr>
          <w:rFonts w:ascii="Humanst521 BT" w:hAnsi="Humanst521 BT"/>
        </w:rPr>
        <w:t xml:space="preserve">La morbilidad se puede definir como la frecuencia con la que una enfermedad o condición médica especifica se presenta en una población durante un periodo de tiempo determinado. De igual manera, la morbilidad no solo hace referencia a la presencia de enfermedades, sino que también a casos específicos de lesiones, discapacidades y otros problemas de la salud. </w:t>
      </w:r>
      <w:r w:rsidR="002A7580">
        <w:rPr>
          <w:rFonts w:ascii="Humanst521 BT" w:hAnsi="Humanst521 BT"/>
        </w:rPr>
        <w:t xml:space="preserve">A </w:t>
      </w:r>
      <w:proofErr w:type="gramStart"/>
      <w:r w:rsidR="002A7580">
        <w:rPr>
          <w:rFonts w:ascii="Humanst521 BT" w:hAnsi="Humanst521 BT"/>
        </w:rPr>
        <w:t>continuación</w:t>
      </w:r>
      <w:proofErr w:type="gramEnd"/>
      <w:r w:rsidR="002A7580">
        <w:rPr>
          <w:rFonts w:ascii="Humanst521 BT" w:hAnsi="Humanst521 BT"/>
        </w:rPr>
        <w:t xml:space="preserve"> se analizan los principales causas</w:t>
      </w:r>
      <w:r w:rsidR="00BE4251">
        <w:rPr>
          <w:rFonts w:ascii="Humanst521 BT" w:hAnsi="Humanst521 BT"/>
        </w:rPr>
        <w:t xml:space="preserve">: </w:t>
      </w:r>
    </w:p>
    <w:p w14:paraId="3C36CF79" w14:textId="77777777" w:rsidR="00446FB4" w:rsidRPr="007F0FA7" w:rsidRDefault="00446FB4" w:rsidP="00093B44">
      <w:pPr>
        <w:rPr>
          <w:rFonts w:ascii="Humanst521 BT" w:hAnsi="Humanst521 BT"/>
        </w:rPr>
      </w:pPr>
    </w:p>
    <w:p w14:paraId="1549B242" w14:textId="4CDEE1BF" w:rsidR="005C7762" w:rsidRPr="00C8589C" w:rsidRDefault="00643335" w:rsidP="00CF2550">
      <w:pPr>
        <w:pStyle w:val="Descripcin"/>
        <w:spacing w:line="240" w:lineRule="auto"/>
        <w:outlineLvl w:val="3"/>
        <w:rPr>
          <w:rFonts w:ascii="Humanst521 BT" w:eastAsia="Verdana" w:hAnsi="Humanst521 BT" w:cs="Verdana"/>
          <w:sz w:val="22"/>
          <w:szCs w:val="22"/>
          <w:lang w:val="es-ES"/>
        </w:rPr>
      </w:pPr>
      <w:bookmarkStart w:id="77" w:name="_Toc231286800"/>
      <w:r w:rsidRPr="00C8589C">
        <w:rPr>
          <w:rFonts w:ascii="Humanst521 BT" w:eastAsia="Verdana" w:hAnsi="Humanst521 BT" w:cs="Verdana"/>
          <w:sz w:val="22"/>
          <w:szCs w:val="22"/>
          <w:lang w:val="es-ES"/>
        </w:rPr>
        <w:t>5.2.1.</w:t>
      </w:r>
      <w:r w:rsidR="00C61CA6" w:rsidRPr="00C8589C">
        <w:rPr>
          <w:rFonts w:ascii="Humanst521 BT" w:eastAsia="Verdana" w:hAnsi="Humanst521 BT" w:cs="Verdana"/>
          <w:sz w:val="22"/>
          <w:szCs w:val="22"/>
          <w:lang w:val="es-ES"/>
        </w:rPr>
        <w:t>1. Principales</w:t>
      </w:r>
      <w:r w:rsidR="005C7762" w:rsidRPr="00C8589C">
        <w:rPr>
          <w:rFonts w:ascii="Humanst521 BT" w:eastAsia="Verdana" w:hAnsi="Humanst521 BT" w:cs="Verdana"/>
          <w:sz w:val="22"/>
          <w:szCs w:val="22"/>
          <w:lang w:val="es-ES"/>
        </w:rPr>
        <w:t xml:space="preserve"> causas de Morbilidad atendida</w:t>
      </w:r>
      <w:bookmarkEnd w:id="77"/>
    </w:p>
    <w:p w14:paraId="1459C6FA" w14:textId="19C2AB4C" w:rsidR="007C7DE4" w:rsidRDefault="007C7DE4" w:rsidP="004C5EBE">
      <w:pPr>
        <w:widowControl/>
        <w:autoSpaceDE/>
        <w:autoSpaceDN/>
        <w:rPr>
          <w:rFonts w:ascii="Humanst521 BT" w:eastAsia="Times New Roman" w:hAnsi="Humanst521 BT" w:cs="Calibri"/>
          <w:color w:val="000000"/>
          <w:sz w:val="24"/>
          <w:szCs w:val="24"/>
          <w:lang w:eastAsia="es-CO"/>
        </w:rPr>
      </w:pPr>
      <w:bookmarkStart w:id="78" w:name="_Toc175638509"/>
      <w:bookmarkStart w:id="79" w:name="_Toc231286263"/>
      <w:r w:rsidRPr="007F0FA7">
        <w:rPr>
          <w:rFonts w:ascii="Humanst521 BT" w:eastAsia="Times New Roman" w:hAnsi="Humanst521 BT" w:cs="Calibri"/>
          <w:color w:val="000000"/>
          <w:sz w:val="24"/>
          <w:szCs w:val="24"/>
          <w:lang w:eastAsia="es-CO"/>
        </w:rPr>
        <w:t xml:space="preserve">Tabla </w:t>
      </w:r>
      <w:r w:rsidRPr="007F0FA7">
        <w:rPr>
          <w:rFonts w:ascii="Humanst521 BT" w:eastAsia="Times New Roman" w:hAnsi="Humanst521 BT" w:cs="Calibri"/>
          <w:color w:val="000000"/>
          <w:sz w:val="24"/>
          <w:szCs w:val="24"/>
          <w:lang w:eastAsia="es-CO"/>
        </w:rPr>
        <w:fldChar w:fldCharType="begin"/>
      </w:r>
      <w:r w:rsidRPr="007F0FA7">
        <w:rPr>
          <w:rFonts w:ascii="Humanst521 BT" w:eastAsia="Times New Roman" w:hAnsi="Humanst521 BT" w:cs="Calibri"/>
          <w:color w:val="000000"/>
          <w:sz w:val="24"/>
          <w:szCs w:val="24"/>
          <w:lang w:eastAsia="es-CO"/>
        </w:rPr>
        <w:instrText xml:space="preserve"> SEQ Tabla \* ARABIC </w:instrText>
      </w:r>
      <w:r w:rsidRPr="007F0FA7">
        <w:rPr>
          <w:rFonts w:ascii="Humanst521 BT" w:eastAsia="Times New Roman" w:hAnsi="Humanst521 BT" w:cs="Calibri"/>
          <w:color w:val="000000"/>
          <w:sz w:val="24"/>
          <w:szCs w:val="24"/>
          <w:lang w:eastAsia="es-CO"/>
        </w:rPr>
        <w:fldChar w:fldCharType="separate"/>
      </w:r>
      <w:r w:rsidR="00266118">
        <w:rPr>
          <w:rFonts w:ascii="Humanst521 BT" w:eastAsia="Times New Roman" w:hAnsi="Humanst521 BT" w:cs="Calibri"/>
          <w:noProof/>
          <w:color w:val="000000"/>
          <w:sz w:val="24"/>
          <w:szCs w:val="24"/>
          <w:lang w:eastAsia="es-CO"/>
        </w:rPr>
        <w:t>18</w:t>
      </w:r>
      <w:r w:rsidRPr="007F0FA7">
        <w:rPr>
          <w:rFonts w:ascii="Humanst521 BT" w:eastAsia="Times New Roman" w:hAnsi="Humanst521 BT" w:cs="Calibri"/>
          <w:color w:val="000000"/>
          <w:sz w:val="24"/>
          <w:szCs w:val="24"/>
          <w:lang w:eastAsia="es-CO"/>
        </w:rPr>
        <w:fldChar w:fldCharType="end"/>
      </w:r>
      <w:r w:rsidRPr="007F0FA7">
        <w:rPr>
          <w:rFonts w:ascii="Humanst521 BT" w:eastAsia="Times New Roman" w:hAnsi="Humanst521 BT" w:cs="Calibri"/>
          <w:color w:val="000000"/>
          <w:sz w:val="24"/>
          <w:szCs w:val="24"/>
          <w:lang w:eastAsia="es-CO"/>
        </w:rPr>
        <w:t>. Morbilidad</w:t>
      </w:r>
      <w:r w:rsidR="00A810AF" w:rsidRPr="007F0FA7">
        <w:rPr>
          <w:rFonts w:ascii="Humanst521 BT" w:eastAsia="Times New Roman" w:hAnsi="Humanst521 BT" w:cs="Calibri"/>
          <w:color w:val="000000"/>
          <w:sz w:val="24"/>
          <w:szCs w:val="24"/>
          <w:lang w:eastAsia="es-CO"/>
        </w:rPr>
        <w:t xml:space="preserve"> por grandes </w:t>
      </w:r>
      <w:r w:rsidR="005C54F8" w:rsidRPr="007F0FA7">
        <w:rPr>
          <w:rFonts w:ascii="Humanst521 BT" w:eastAsia="Times New Roman" w:hAnsi="Humanst521 BT" w:cs="Calibri"/>
          <w:color w:val="000000"/>
          <w:sz w:val="24"/>
          <w:szCs w:val="24"/>
          <w:lang w:eastAsia="es-CO"/>
        </w:rPr>
        <w:t>causas en la</w:t>
      </w:r>
      <w:r w:rsidRPr="007F0FA7">
        <w:rPr>
          <w:rFonts w:ascii="Humanst521 BT" w:eastAsia="Times New Roman" w:hAnsi="Humanst521 BT" w:cs="Calibri"/>
          <w:color w:val="000000"/>
          <w:sz w:val="24"/>
          <w:szCs w:val="24"/>
          <w:lang w:eastAsia="es-CO"/>
        </w:rPr>
        <w:t xml:space="preserve"> población afiliada UISALUD.</w:t>
      </w:r>
      <w:bookmarkEnd w:id="78"/>
      <w:bookmarkEnd w:id="79"/>
    </w:p>
    <w:p w14:paraId="7391B84E" w14:textId="77777777" w:rsidR="00B548F5" w:rsidRPr="000712D6" w:rsidRDefault="00B548F5" w:rsidP="00B548F5">
      <w:pPr>
        <w:pStyle w:val="Textopredeterminado1"/>
        <w:tabs>
          <w:tab w:val="left" w:pos="720"/>
          <w:tab w:val="left" w:pos="1083"/>
        </w:tabs>
        <w:rPr>
          <w:rFonts w:ascii="Humanst521 BT" w:hAnsi="Humanst521 BT" w:cstheme="minorBidi"/>
        </w:rPr>
      </w:pPr>
    </w:p>
    <w:tbl>
      <w:tblPr>
        <w:tblW w:w="9160" w:type="dxa"/>
        <w:tblCellMar>
          <w:left w:w="70" w:type="dxa"/>
          <w:right w:w="70" w:type="dxa"/>
        </w:tblCellMar>
        <w:tblLook w:val="04A0" w:firstRow="1" w:lastRow="0" w:firstColumn="1" w:lastColumn="0" w:noHBand="0" w:noVBand="1"/>
      </w:tblPr>
      <w:tblGrid>
        <w:gridCol w:w="3676"/>
        <w:gridCol w:w="2268"/>
        <w:gridCol w:w="1417"/>
        <w:gridCol w:w="1799"/>
      </w:tblGrid>
      <w:tr w:rsidR="00B548F5" w:rsidRPr="000712D6" w14:paraId="51DCE99A" w14:textId="77777777" w:rsidTr="00561C56">
        <w:trPr>
          <w:trHeight w:val="315"/>
        </w:trPr>
        <w:tc>
          <w:tcPr>
            <w:tcW w:w="3676" w:type="dxa"/>
            <w:tcBorders>
              <w:top w:val="single" w:sz="8" w:space="0" w:color="67B93E"/>
              <w:left w:val="single" w:sz="8" w:space="0" w:color="67B93E"/>
              <w:bottom w:val="single" w:sz="8" w:space="0" w:color="67B93E"/>
              <w:right w:val="single" w:sz="8" w:space="0" w:color="67B93E"/>
            </w:tcBorders>
            <w:shd w:val="clear" w:color="auto" w:fill="C5E0B3"/>
            <w:noWrap/>
            <w:vAlign w:val="center"/>
            <w:hideMark/>
          </w:tcPr>
          <w:p w14:paraId="38587236" w14:textId="77777777" w:rsidR="00B548F5" w:rsidRPr="000712D6" w:rsidRDefault="00B548F5"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Grupo</w:t>
            </w:r>
          </w:p>
        </w:tc>
        <w:tc>
          <w:tcPr>
            <w:tcW w:w="2268" w:type="dxa"/>
            <w:tcBorders>
              <w:top w:val="single" w:sz="8" w:space="0" w:color="67B93E"/>
              <w:left w:val="nil"/>
              <w:bottom w:val="single" w:sz="8" w:space="0" w:color="67B93E"/>
              <w:right w:val="single" w:sz="8" w:space="0" w:color="67B93E"/>
            </w:tcBorders>
            <w:shd w:val="clear" w:color="auto" w:fill="C5E0B3"/>
            <w:noWrap/>
            <w:vAlign w:val="center"/>
            <w:hideMark/>
          </w:tcPr>
          <w:p w14:paraId="34224E6B" w14:textId="77777777" w:rsidR="00B548F5" w:rsidRPr="000712D6" w:rsidRDefault="00B548F5"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2024</w:t>
            </w:r>
          </w:p>
        </w:tc>
        <w:tc>
          <w:tcPr>
            <w:tcW w:w="1417" w:type="dxa"/>
            <w:tcBorders>
              <w:top w:val="single" w:sz="8" w:space="0" w:color="67B93E"/>
              <w:left w:val="nil"/>
              <w:bottom w:val="single" w:sz="8" w:space="0" w:color="67B93E"/>
              <w:right w:val="single" w:sz="8" w:space="0" w:color="67B93E"/>
            </w:tcBorders>
            <w:shd w:val="clear" w:color="auto" w:fill="C5E0B3"/>
            <w:noWrap/>
            <w:vAlign w:val="center"/>
            <w:hideMark/>
          </w:tcPr>
          <w:p w14:paraId="23273FAE" w14:textId="77777777" w:rsidR="00B548F5" w:rsidRPr="000712D6" w:rsidRDefault="00B548F5"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Diferencia</w:t>
            </w:r>
          </w:p>
        </w:tc>
        <w:tc>
          <w:tcPr>
            <w:tcW w:w="1799" w:type="dxa"/>
            <w:tcBorders>
              <w:top w:val="single" w:sz="8" w:space="0" w:color="67B93E"/>
              <w:left w:val="nil"/>
              <w:bottom w:val="single" w:sz="8" w:space="0" w:color="67B93E"/>
              <w:right w:val="single" w:sz="8" w:space="0" w:color="67B93E"/>
            </w:tcBorders>
            <w:shd w:val="clear" w:color="auto" w:fill="C5E0B3"/>
            <w:noWrap/>
            <w:vAlign w:val="center"/>
            <w:hideMark/>
          </w:tcPr>
          <w:p w14:paraId="33C2C3C3" w14:textId="77777777" w:rsidR="00B548F5" w:rsidRPr="000712D6" w:rsidRDefault="00B548F5"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2025</w:t>
            </w:r>
          </w:p>
        </w:tc>
      </w:tr>
      <w:tr w:rsidR="00B548F5" w:rsidRPr="000712D6" w14:paraId="1C59D030" w14:textId="77777777" w:rsidTr="00561C56">
        <w:trPr>
          <w:trHeight w:val="315"/>
        </w:trPr>
        <w:tc>
          <w:tcPr>
            <w:tcW w:w="3676" w:type="dxa"/>
            <w:tcBorders>
              <w:top w:val="nil"/>
              <w:left w:val="single" w:sz="8" w:space="0" w:color="67B93E"/>
              <w:bottom w:val="single" w:sz="8" w:space="0" w:color="67B93E"/>
              <w:right w:val="single" w:sz="8" w:space="0" w:color="67B93E"/>
            </w:tcBorders>
            <w:shd w:val="clear" w:color="auto" w:fill="auto"/>
            <w:noWrap/>
            <w:vAlign w:val="center"/>
            <w:hideMark/>
          </w:tcPr>
          <w:p w14:paraId="22FAAA04" w14:textId="77777777" w:rsidR="00B548F5" w:rsidRPr="000712D6" w:rsidRDefault="00B548F5" w:rsidP="00561C56">
            <w:pPr>
              <w:autoSpaceDE/>
              <w:autoSpaceDN/>
              <w:rPr>
                <w:rFonts w:ascii="Humanst521 BT" w:hAnsi="Humanst521 BT" w:cs="Calibri"/>
                <w:color w:val="000000"/>
                <w:sz w:val="20"/>
              </w:rPr>
            </w:pPr>
            <w:r w:rsidRPr="000712D6">
              <w:rPr>
                <w:rFonts w:ascii="Humanst521 BT" w:hAnsi="Humanst521 BT" w:cs="Calibri"/>
                <w:color w:val="000000"/>
                <w:sz w:val="20"/>
              </w:rPr>
              <w:t>Enfermedades no transmisibles</w:t>
            </w:r>
          </w:p>
        </w:tc>
        <w:tc>
          <w:tcPr>
            <w:tcW w:w="2268" w:type="dxa"/>
            <w:tcBorders>
              <w:top w:val="nil"/>
              <w:left w:val="nil"/>
              <w:bottom w:val="single" w:sz="8" w:space="0" w:color="67B93E"/>
              <w:right w:val="single" w:sz="8" w:space="0" w:color="67B93E"/>
            </w:tcBorders>
            <w:shd w:val="clear" w:color="auto" w:fill="auto"/>
            <w:noWrap/>
            <w:vAlign w:val="center"/>
            <w:hideMark/>
          </w:tcPr>
          <w:p w14:paraId="0559129B"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74,19%</w:t>
            </w:r>
          </w:p>
        </w:tc>
        <w:tc>
          <w:tcPr>
            <w:tcW w:w="1417" w:type="dxa"/>
            <w:tcBorders>
              <w:top w:val="nil"/>
              <w:left w:val="nil"/>
              <w:bottom w:val="single" w:sz="8" w:space="0" w:color="67B93E"/>
              <w:right w:val="single" w:sz="8" w:space="0" w:color="67B93E"/>
            </w:tcBorders>
            <w:shd w:val="clear" w:color="auto" w:fill="auto"/>
            <w:noWrap/>
            <w:vAlign w:val="center"/>
            <w:hideMark/>
          </w:tcPr>
          <w:p w14:paraId="452B6BCC"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0,06%</w:t>
            </w:r>
          </w:p>
        </w:tc>
        <w:tc>
          <w:tcPr>
            <w:tcW w:w="1799" w:type="dxa"/>
            <w:tcBorders>
              <w:top w:val="nil"/>
              <w:left w:val="nil"/>
              <w:bottom w:val="single" w:sz="8" w:space="0" w:color="67B93E"/>
              <w:right w:val="single" w:sz="8" w:space="0" w:color="67B93E"/>
            </w:tcBorders>
            <w:shd w:val="clear" w:color="auto" w:fill="auto"/>
            <w:noWrap/>
            <w:vAlign w:val="center"/>
            <w:hideMark/>
          </w:tcPr>
          <w:p w14:paraId="2DD34063"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74,25%</w:t>
            </w:r>
          </w:p>
        </w:tc>
      </w:tr>
      <w:tr w:rsidR="00B548F5" w:rsidRPr="000712D6" w14:paraId="1C2BF433" w14:textId="77777777" w:rsidTr="00561C56">
        <w:trPr>
          <w:trHeight w:val="315"/>
        </w:trPr>
        <w:tc>
          <w:tcPr>
            <w:tcW w:w="3676" w:type="dxa"/>
            <w:tcBorders>
              <w:top w:val="nil"/>
              <w:left w:val="single" w:sz="8" w:space="0" w:color="67B93E"/>
              <w:bottom w:val="single" w:sz="8" w:space="0" w:color="67B93E"/>
              <w:right w:val="single" w:sz="8" w:space="0" w:color="67B93E"/>
            </w:tcBorders>
            <w:shd w:val="clear" w:color="auto" w:fill="F2F2F2" w:themeFill="background1" w:themeFillShade="F2"/>
            <w:noWrap/>
            <w:vAlign w:val="center"/>
            <w:hideMark/>
          </w:tcPr>
          <w:p w14:paraId="3C947A15" w14:textId="77777777" w:rsidR="00B548F5" w:rsidRPr="000712D6" w:rsidRDefault="00B548F5" w:rsidP="00561C56">
            <w:pPr>
              <w:autoSpaceDE/>
              <w:autoSpaceDN/>
              <w:rPr>
                <w:rFonts w:ascii="Humanst521 BT" w:hAnsi="Humanst521 BT" w:cs="Calibri"/>
                <w:color w:val="000000"/>
                <w:sz w:val="20"/>
              </w:rPr>
            </w:pPr>
            <w:r w:rsidRPr="000712D6">
              <w:rPr>
                <w:rFonts w:ascii="Humanst521 BT" w:hAnsi="Humanst521 BT" w:cs="Calibri"/>
                <w:color w:val="000000"/>
                <w:sz w:val="20"/>
              </w:rPr>
              <w:t>Condiciones transmisibles y nutricionales</w:t>
            </w:r>
          </w:p>
        </w:tc>
        <w:tc>
          <w:tcPr>
            <w:tcW w:w="2268" w:type="dxa"/>
            <w:tcBorders>
              <w:top w:val="nil"/>
              <w:left w:val="nil"/>
              <w:bottom w:val="single" w:sz="8" w:space="0" w:color="67B93E"/>
              <w:right w:val="single" w:sz="8" w:space="0" w:color="67B93E"/>
            </w:tcBorders>
            <w:shd w:val="clear" w:color="auto" w:fill="F2F2F2" w:themeFill="background1" w:themeFillShade="F2"/>
            <w:noWrap/>
            <w:vAlign w:val="center"/>
            <w:hideMark/>
          </w:tcPr>
          <w:p w14:paraId="271C5DC2"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18,43%</w:t>
            </w:r>
          </w:p>
        </w:tc>
        <w:tc>
          <w:tcPr>
            <w:tcW w:w="1417" w:type="dxa"/>
            <w:tcBorders>
              <w:top w:val="nil"/>
              <w:left w:val="nil"/>
              <w:bottom w:val="single" w:sz="8" w:space="0" w:color="67B93E"/>
              <w:right w:val="single" w:sz="8" w:space="0" w:color="67B93E"/>
            </w:tcBorders>
            <w:shd w:val="clear" w:color="auto" w:fill="auto"/>
            <w:noWrap/>
            <w:vAlign w:val="center"/>
            <w:hideMark/>
          </w:tcPr>
          <w:p w14:paraId="0645A50F"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-0,39%</w:t>
            </w:r>
          </w:p>
        </w:tc>
        <w:tc>
          <w:tcPr>
            <w:tcW w:w="1799" w:type="dxa"/>
            <w:tcBorders>
              <w:top w:val="nil"/>
              <w:left w:val="nil"/>
              <w:bottom w:val="single" w:sz="8" w:space="0" w:color="67B93E"/>
              <w:right w:val="single" w:sz="8" w:space="0" w:color="67B93E"/>
            </w:tcBorders>
            <w:shd w:val="clear" w:color="auto" w:fill="F2F2F2" w:themeFill="background1" w:themeFillShade="F2"/>
            <w:noWrap/>
            <w:vAlign w:val="center"/>
            <w:hideMark/>
          </w:tcPr>
          <w:p w14:paraId="38D9F229"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18,04%</w:t>
            </w:r>
          </w:p>
        </w:tc>
      </w:tr>
      <w:tr w:rsidR="00B548F5" w:rsidRPr="000712D6" w14:paraId="61D277BC" w14:textId="77777777" w:rsidTr="00561C56">
        <w:trPr>
          <w:trHeight w:val="315"/>
        </w:trPr>
        <w:tc>
          <w:tcPr>
            <w:tcW w:w="3676" w:type="dxa"/>
            <w:tcBorders>
              <w:top w:val="nil"/>
              <w:left w:val="single" w:sz="8" w:space="0" w:color="67B93E"/>
              <w:bottom w:val="single" w:sz="8" w:space="0" w:color="67B93E"/>
              <w:right w:val="single" w:sz="8" w:space="0" w:color="67B93E"/>
            </w:tcBorders>
            <w:shd w:val="clear" w:color="auto" w:fill="FFFFFF" w:themeFill="background1"/>
            <w:noWrap/>
            <w:vAlign w:val="center"/>
            <w:hideMark/>
          </w:tcPr>
          <w:p w14:paraId="5D44122E" w14:textId="77777777" w:rsidR="00B548F5" w:rsidRPr="000712D6" w:rsidRDefault="00B548F5" w:rsidP="00561C56">
            <w:pPr>
              <w:autoSpaceDE/>
              <w:autoSpaceDN/>
              <w:rPr>
                <w:rFonts w:ascii="Humanst521 BT" w:hAnsi="Humanst521 BT" w:cs="Calibri"/>
                <w:color w:val="000000"/>
                <w:sz w:val="20"/>
              </w:rPr>
            </w:pPr>
            <w:r w:rsidRPr="000712D6">
              <w:rPr>
                <w:rFonts w:ascii="Humanst521 BT" w:hAnsi="Humanst521 BT" w:cs="Calibri"/>
                <w:color w:val="000000"/>
                <w:sz w:val="20"/>
              </w:rPr>
              <w:t xml:space="preserve">Otros Signos y síntomas </w:t>
            </w:r>
          </w:p>
        </w:tc>
        <w:tc>
          <w:tcPr>
            <w:tcW w:w="2268" w:type="dxa"/>
            <w:tcBorders>
              <w:top w:val="nil"/>
              <w:left w:val="nil"/>
              <w:bottom w:val="single" w:sz="8" w:space="0" w:color="67B93E"/>
              <w:right w:val="single" w:sz="8" w:space="0" w:color="67B93E"/>
            </w:tcBorders>
            <w:shd w:val="clear" w:color="auto" w:fill="FFFFFF" w:themeFill="background1"/>
            <w:noWrap/>
            <w:vAlign w:val="center"/>
            <w:hideMark/>
          </w:tcPr>
          <w:p w14:paraId="177A5DC2"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4,70%</w:t>
            </w:r>
          </w:p>
        </w:tc>
        <w:tc>
          <w:tcPr>
            <w:tcW w:w="1417" w:type="dxa"/>
            <w:tcBorders>
              <w:top w:val="nil"/>
              <w:left w:val="nil"/>
              <w:bottom w:val="single" w:sz="8" w:space="0" w:color="67B93E"/>
              <w:right w:val="single" w:sz="8" w:space="0" w:color="67B93E"/>
            </w:tcBorders>
            <w:shd w:val="clear" w:color="auto" w:fill="auto"/>
            <w:noWrap/>
            <w:vAlign w:val="center"/>
            <w:hideMark/>
          </w:tcPr>
          <w:p w14:paraId="4C6B964B"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0,15%</w:t>
            </w:r>
          </w:p>
        </w:tc>
        <w:tc>
          <w:tcPr>
            <w:tcW w:w="1799" w:type="dxa"/>
            <w:tcBorders>
              <w:top w:val="nil"/>
              <w:left w:val="nil"/>
              <w:bottom w:val="single" w:sz="8" w:space="0" w:color="67B93E"/>
              <w:right w:val="single" w:sz="8" w:space="0" w:color="67B93E"/>
            </w:tcBorders>
            <w:shd w:val="clear" w:color="auto" w:fill="FFFFFF" w:themeFill="background1"/>
            <w:noWrap/>
            <w:vAlign w:val="center"/>
            <w:hideMark/>
          </w:tcPr>
          <w:p w14:paraId="5671ABA3"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4,85%</w:t>
            </w:r>
          </w:p>
        </w:tc>
      </w:tr>
      <w:tr w:rsidR="00B548F5" w:rsidRPr="000712D6" w14:paraId="19E065F7" w14:textId="77777777" w:rsidTr="00561C56">
        <w:trPr>
          <w:trHeight w:val="315"/>
        </w:trPr>
        <w:tc>
          <w:tcPr>
            <w:tcW w:w="3676" w:type="dxa"/>
            <w:tcBorders>
              <w:top w:val="nil"/>
              <w:left w:val="single" w:sz="8" w:space="0" w:color="67B93E"/>
              <w:bottom w:val="single" w:sz="8" w:space="0" w:color="67B93E"/>
              <w:right w:val="single" w:sz="8" w:space="0" w:color="67B93E"/>
            </w:tcBorders>
            <w:shd w:val="clear" w:color="auto" w:fill="F2F2F2" w:themeFill="background1" w:themeFillShade="F2"/>
            <w:noWrap/>
            <w:vAlign w:val="center"/>
            <w:hideMark/>
          </w:tcPr>
          <w:p w14:paraId="62485A3C" w14:textId="77777777" w:rsidR="00B548F5" w:rsidRPr="000712D6" w:rsidRDefault="00B548F5" w:rsidP="00561C56">
            <w:pPr>
              <w:autoSpaceDE/>
              <w:autoSpaceDN/>
              <w:rPr>
                <w:rFonts w:ascii="Humanst521 BT" w:hAnsi="Humanst521 BT" w:cs="Calibri"/>
                <w:color w:val="000000"/>
                <w:sz w:val="20"/>
              </w:rPr>
            </w:pPr>
            <w:r w:rsidRPr="000712D6">
              <w:rPr>
                <w:rFonts w:ascii="Humanst521 BT" w:hAnsi="Humanst521 BT" w:cs="Calibri"/>
                <w:color w:val="000000"/>
                <w:sz w:val="20"/>
              </w:rPr>
              <w:t>Lesiones</w:t>
            </w:r>
          </w:p>
        </w:tc>
        <w:tc>
          <w:tcPr>
            <w:tcW w:w="2268" w:type="dxa"/>
            <w:tcBorders>
              <w:top w:val="nil"/>
              <w:left w:val="nil"/>
              <w:bottom w:val="single" w:sz="8" w:space="0" w:color="67B93E"/>
              <w:right w:val="single" w:sz="8" w:space="0" w:color="67B93E"/>
            </w:tcBorders>
            <w:shd w:val="clear" w:color="auto" w:fill="F2F2F2" w:themeFill="background1" w:themeFillShade="F2"/>
            <w:noWrap/>
            <w:vAlign w:val="center"/>
            <w:hideMark/>
          </w:tcPr>
          <w:p w14:paraId="0CBAA211"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2,66%</w:t>
            </w:r>
          </w:p>
        </w:tc>
        <w:tc>
          <w:tcPr>
            <w:tcW w:w="1417" w:type="dxa"/>
            <w:tcBorders>
              <w:top w:val="nil"/>
              <w:left w:val="nil"/>
              <w:bottom w:val="single" w:sz="8" w:space="0" w:color="67B93E"/>
              <w:right w:val="single" w:sz="8" w:space="0" w:color="67B93E"/>
            </w:tcBorders>
            <w:shd w:val="clear" w:color="auto" w:fill="auto"/>
            <w:noWrap/>
            <w:vAlign w:val="center"/>
            <w:hideMark/>
          </w:tcPr>
          <w:p w14:paraId="6EE819B9"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0,19%</w:t>
            </w:r>
          </w:p>
        </w:tc>
        <w:tc>
          <w:tcPr>
            <w:tcW w:w="1799" w:type="dxa"/>
            <w:tcBorders>
              <w:top w:val="nil"/>
              <w:left w:val="nil"/>
              <w:bottom w:val="single" w:sz="8" w:space="0" w:color="67B93E"/>
              <w:right w:val="single" w:sz="8" w:space="0" w:color="67B93E"/>
            </w:tcBorders>
            <w:shd w:val="clear" w:color="auto" w:fill="F2F2F2" w:themeFill="background1" w:themeFillShade="F2"/>
            <w:noWrap/>
            <w:vAlign w:val="center"/>
            <w:hideMark/>
          </w:tcPr>
          <w:p w14:paraId="592FCD36"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2,85%</w:t>
            </w:r>
          </w:p>
        </w:tc>
      </w:tr>
      <w:tr w:rsidR="00B548F5" w:rsidRPr="000712D6" w14:paraId="38DAC0EF" w14:textId="77777777" w:rsidTr="00561C56">
        <w:trPr>
          <w:trHeight w:val="315"/>
        </w:trPr>
        <w:tc>
          <w:tcPr>
            <w:tcW w:w="3676" w:type="dxa"/>
            <w:tcBorders>
              <w:top w:val="nil"/>
              <w:left w:val="single" w:sz="8" w:space="0" w:color="67B93E"/>
              <w:bottom w:val="single" w:sz="8" w:space="0" w:color="67B93E"/>
              <w:right w:val="single" w:sz="8" w:space="0" w:color="67B93E"/>
            </w:tcBorders>
            <w:shd w:val="clear" w:color="auto" w:fill="auto"/>
            <w:noWrap/>
            <w:vAlign w:val="center"/>
            <w:hideMark/>
          </w:tcPr>
          <w:p w14:paraId="50B463EF" w14:textId="77777777" w:rsidR="00B548F5" w:rsidRPr="000712D6" w:rsidRDefault="00B548F5" w:rsidP="00561C56">
            <w:pPr>
              <w:autoSpaceDE/>
              <w:autoSpaceDN/>
              <w:rPr>
                <w:rFonts w:ascii="Humanst521 BT" w:hAnsi="Humanst521 BT" w:cs="Calibri"/>
                <w:color w:val="000000"/>
                <w:sz w:val="20"/>
              </w:rPr>
            </w:pPr>
            <w:r w:rsidRPr="000712D6">
              <w:rPr>
                <w:rFonts w:ascii="Humanst521 BT" w:hAnsi="Humanst521 BT" w:cs="Calibri"/>
                <w:color w:val="000000"/>
                <w:sz w:val="20"/>
              </w:rPr>
              <w:t>Condiciones maternas perinatales</w:t>
            </w:r>
          </w:p>
        </w:tc>
        <w:tc>
          <w:tcPr>
            <w:tcW w:w="2268" w:type="dxa"/>
            <w:tcBorders>
              <w:top w:val="nil"/>
              <w:left w:val="nil"/>
              <w:bottom w:val="single" w:sz="8" w:space="0" w:color="67B93E"/>
              <w:right w:val="single" w:sz="8" w:space="0" w:color="67B93E"/>
            </w:tcBorders>
            <w:shd w:val="clear" w:color="auto" w:fill="auto"/>
            <w:noWrap/>
            <w:vAlign w:val="center"/>
            <w:hideMark/>
          </w:tcPr>
          <w:p w14:paraId="336AB24C"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0,02%</w:t>
            </w:r>
          </w:p>
        </w:tc>
        <w:tc>
          <w:tcPr>
            <w:tcW w:w="1417" w:type="dxa"/>
            <w:tcBorders>
              <w:top w:val="nil"/>
              <w:left w:val="nil"/>
              <w:bottom w:val="single" w:sz="8" w:space="0" w:color="67B93E"/>
              <w:right w:val="single" w:sz="8" w:space="0" w:color="67B93E"/>
            </w:tcBorders>
            <w:shd w:val="clear" w:color="auto" w:fill="auto"/>
            <w:noWrap/>
            <w:vAlign w:val="center"/>
            <w:hideMark/>
          </w:tcPr>
          <w:p w14:paraId="1F46EBB9"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-0,01%</w:t>
            </w:r>
          </w:p>
        </w:tc>
        <w:tc>
          <w:tcPr>
            <w:tcW w:w="1799" w:type="dxa"/>
            <w:tcBorders>
              <w:top w:val="nil"/>
              <w:left w:val="nil"/>
              <w:bottom w:val="single" w:sz="8" w:space="0" w:color="67B93E"/>
              <w:right w:val="single" w:sz="8" w:space="0" w:color="67B93E"/>
            </w:tcBorders>
            <w:shd w:val="clear" w:color="auto" w:fill="auto"/>
            <w:noWrap/>
            <w:vAlign w:val="center"/>
            <w:hideMark/>
          </w:tcPr>
          <w:p w14:paraId="7ECDD113" w14:textId="77777777" w:rsidR="00B548F5" w:rsidRPr="000712D6" w:rsidRDefault="00B548F5" w:rsidP="00561C56">
            <w:pPr>
              <w:autoSpaceDE/>
              <w:autoSpaceDN/>
              <w:jc w:val="center"/>
              <w:rPr>
                <w:rFonts w:ascii="Humanst521 BT" w:hAnsi="Humanst521 BT" w:cs="Calibri"/>
                <w:color w:val="000000"/>
                <w:sz w:val="20"/>
              </w:rPr>
            </w:pPr>
            <w:r w:rsidRPr="000712D6">
              <w:rPr>
                <w:rFonts w:ascii="Humanst521 BT" w:hAnsi="Humanst521 BT" w:cs="Calibri"/>
                <w:color w:val="000000"/>
                <w:sz w:val="20"/>
              </w:rPr>
              <w:t>0,01%</w:t>
            </w:r>
          </w:p>
        </w:tc>
      </w:tr>
      <w:tr w:rsidR="00B548F5" w:rsidRPr="000712D6" w14:paraId="346CD632" w14:textId="77777777" w:rsidTr="00561C56">
        <w:trPr>
          <w:trHeight w:val="315"/>
        </w:trPr>
        <w:tc>
          <w:tcPr>
            <w:tcW w:w="3676" w:type="dxa"/>
            <w:tcBorders>
              <w:top w:val="nil"/>
              <w:left w:val="single" w:sz="8" w:space="0" w:color="67B93E"/>
              <w:bottom w:val="single" w:sz="8" w:space="0" w:color="67B93E"/>
              <w:right w:val="single" w:sz="8" w:space="0" w:color="67B93E"/>
            </w:tcBorders>
            <w:shd w:val="clear" w:color="auto" w:fill="C5E0B3"/>
            <w:noWrap/>
            <w:vAlign w:val="center"/>
            <w:hideMark/>
          </w:tcPr>
          <w:p w14:paraId="3B28748E" w14:textId="77777777" w:rsidR="00B548F5" w:rsidRPr="000712D6" w:rsidRDefault="00B548F5" w:rsidP="00561C56">
            <w:pPr>
              <w:autoSpaceDE/>
              <w:autoSpaceDN/>
              <w:rPr>
                <w:rFonts w:ascii="Humanst521 BT" w:hAnsi="Humanst521 BT" w:cs="Calibri"/>
                <w:b/>
                <w:bCs/>
                <w:color w:val="000000"/>
                <w:sz w:val="20"/>
              </w:rPr>
            </w:pPr>
            <w:r w:rsidRPr="07074AB7">
              <w:rPr>
                <w:rFonts w:ascii="Humanst521 BT" w:hAnsi="Humanst521 BT" w:cs="Calibri"/>
                <w:b/>
                <w:bCs/>
                <w:color w:val="000000" w:themeColor="text1"/>
                <w:sz w:val="20"/>
              </w:rPr>
              <w:t>Total, general</w:t>
            </w:r>
          </w:p>
        </w:tc>
        <w:tc>
          <w:tcPr>
            <w:tcW w:w="2268" w:type="dxa"/>
            <w:tcBorders>
              <w:top w:val="nil"/>
              <w:left w:val="nil"/>
              <w:bottom w:val="single" w:sz="8" w:space="0" w:color="67B93E"/>
              <w:right w:val="single" w:sz="8" w:space="0" w:color="67B93E"/>
            </w:tcBorders>
            <w:shd w:val="clear" w:color="auto" w:fill="C5E0B3"/>
            <w:noWrap/>
            <w:vAlign w:val="center"/>
            <w:hideMark/>
          </w:tcPr>
          <w:p w14:paraId="1A0C3C5C" w14:textId="77777777" w:rsidR="00B548F5" w:rsidRPr="000712D6" w:rsidRDefault="00B548F5"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100%</w:t>
            </w:r>
          </w:p>
        </w:tc>
        <w:tc>
          <w:tcPr>
            <w:tcW w:w="1417" w:type="dxa"/>
            <w:tcBorders>
              <w:top w:val="nil"/>
              <w:left w:val="nil"/>
              <w:bottom w:val="single" w:sz="8" w:space="0" w:color="67B93E"/>
              <w:right w:val="single" w:sz="8" w:space="0" w:color="67B93E"/>
            </w:tcBorders>
            <w:shd w:val="clear" w:color="auto" w:fill="C5E0B3"/>
            <w:noWrap/>
            <w:vAlign w:val="center"/>
            <w:hideMark/>
          </w:tcPr>
          <w:p w14:paraId="627467EB" w14:textId="77777777" w:rsidR="00B548F5" w:rsidRPr="000712D6" w:rsidRDefault="00B548F5"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 </w:t>
            </w:r>
          </w:p>
        </w:tc>
        <w:tc>
          <w:tcPr>
            <w:tcW w:w="1799" w:type="dxa"/>
            <w:tcBorders>
              <w:top w:val="nil"/>
              <w:left w:val="nil"/>
              <w:bottom w:val="single" w:sz="8" w:space="0" w:color="67B93E"/>
              <w:right w:val="single" w:sz="8" w:space="0" w:color="67B93E"/>
            </w:tcBorders>
            <w:shd w:val="clear" w:color="auto" w:fill="C5E0B3"/>
            <w:noWrap/>
            <w:vAlign w:val="center"/>
            <w:hideMark/>
          </w:tcPr>
          <w:p w14:paraId="26C37BB0" w14:textId="77777777" w:rsidR="00B548F5" w:rsidRPr="000712D6" w:rsidRDefault="00B548F5" w:rsidP="00561C56">
            <w:pPr>
              <w:autoSpaceDE/>
              <w:autoSpaceDN/>
              <w:jc w:val="center"/>
              <w:rPr>
                <w:rFonts w:ascii="Humanst521 BT" w:hAnsi="Humanst521 BT" w:cs="Calibri"/>
                <w:b/>
                <w:bCs/>
                <w:color w:val="000000"/>
                <w:sz w:val="20"/>
              </w:rPr>
            </w:pPr>
            <w:r w:rsidRPr="000712D6">
              <w:rPr>
                <w:rFonts w:ascii="Humanst521 BT" w:hAnsi="Humanst521 BT" w:cs="Calibri"/>
                <w:b/>
                <w:bCs/>
                <w:color w:val="000000"/>
                <w:sz w:val="20"/>
              </w:rPr>
              <w:t>100%</w:t>
            </w:r>
          </w:p>
        </w:tc>
      </w:tr>
    </w:tbl>
    <w:p w14:paraId="4E620C09" w14:textId="77777777" w:rsidR="00B548F5" w:rsidRPr="000712D6" w:rsidRDefault="00B548F5" w:rsidP="00B548F5">
      <w:pPr>
        <w:pStyle w:val="Textopredeterminado1"/>
        <w:rPr>
          <w:rFonts w:ascii="Humanst521 BT" w:hAnsi="Humanst521 BT" w:cstheme="minorBidi"/>
          <w:sz w:val="22"/>
          <w:szCs w:val="22"/>
        </w:rPr>
      </w:pPr>
      <w:r w:rsidRPr="3D60B639">
        <w:rPr>
          <w:rFonts w:ascii="Humanst521 BT" w:hAnsi="Humanst521 BT" w:cstheme="minorBidi"/>
          <w:sz w:val="22"/>
          <w:szCs w:val="22"/>
        </w:rPr>
        <w:t>Fuente: Sistema Integrado de UISALUD</w:t>
      </w:r>
    </w:p>
    <w:p w14:paraId="7775C6A6" w14:textId="20EDFB99" w:rsidR="00B548F5" w:rsidRPr="000712D6" w:rsidRDefault="00B548F5" w:rsidP="00B548F5">
      <w:pPr>
        <w:autoSpaceDE/>
        <w:autoSpaceDN/>
        <w:spacing w:before="100" w:beforeAutospacing="1" w:after="100" w:afterAutospacing="1"/>
        <w:jc w:val="both"/>
        <w:rPr>
          <w:rFonts w:ascii="Humanst521 BT" w:hAnsi="Humanst521 BT"/>
        </w:rPr>
      </w:pPr>
      <w:r w:rsidRPr="000712D6">
        <w:rPr>
          <w:rFonts w:ascii="Humanst521 BT" w:hAnsi="Humanst521 BT" w:cstheme="minorBidi"/>
        </w:rPr>
        <w:t>Durante 2025 estuvo concentrada en patologías crónicas,</w:t>
      </w:r>
      <w:r w:rsidR="00741720">
        <w:rPr>
          <w:rFonts w:ascii="Humanst521 BT" w:hAnsi="Humanst521 BT" w:cstheme="minorBidi"/>
        </w:rPr>
        <w:t xml:space="preserve"> sin cambios con años </w:t>
      </w:r>
      <w:proofErr w:type="gramStart"/>
      <w:r w:rsidR="00741720">
        <w:rPr>
          <w:rFonts w:ascii="Humanst521 BT" w:hAnsi="Humanst521 BT" w:cstheme="minorBidi"/>
        </w:rPr>
        <w:t xml:space="preserve">anteriores, </w:t>
      </w:r>
      <w:r w:rsidRPr="000712D6">
        <w:rPr>
          <w:rFonts w:ascii="Humanst521 BT" w:hAnsi="Humanst521 BT" w:cstheme="minorBidi"/>
        </w:rPr>
        <w:t xml:space="preserve"> lo</w:t>
      </w:r>
      <w:proofErr w:type="gramEnd"/>
      <w:r w:rsidRPr="000712D6">
        <w:rPr>
          <w:rFonts w:ascii="Humanst521 BT" w:hAnsi="Humanst521 BT" w:cstheme="minorBidi"/>
        </w:rPr>
        <w:t xml:space="preserve"> que exige priorizar la gestión integral del riesgo en enfermedades no transmisibles</w:t>
      </w:r>
      <w:r w:rsidR="00741720">
        <w:rPr>
          <w:rFonts w:ascii="Humanst521 BT" w:hAnsi="Humanst521 BT" w:cstheme="minorBidi"/>
        </w:rPr>
        <w:t xml:space="preserve"> </w:t>
      </w:r>
      <w:r w:rsidRPr="000712D6">
        <w:rPr>
          <w:rFonts w:ascii="Humanst521 BT" w:hAnsi="Humanst521 BT" w:cstheme="minorBidi"/>
        </w:rPr>
        <w:t>en coherencia con el perfil demográfico envejecido de la población afiliada</w:t>
      </w:r>
      <w:r w:rsidRPr="000712D6">
        <w:rPr>
          <w:rFonts w:ascii="Humanst521 BT" w:hAnsi="Humanst521 BT"/>
        </w:rPr>
        <w:t>.</w:t>
      </w:r>
    </w:p>
    <w:p w14:paraId="060CC6B8" w14:textId="77777777" w:rsidR="00E17CC8" w:rsidRPr="007F0FA7" w:rsidRDefault="00E17CC8" w:rsidP="00093B44">
      <w:pPr>
        <w:pStyle w:val="Textopredeterminado1"/>
        <w:tabs>
          <w:tab w:val="left" w:pos="720"/>
          <w:tab w:val="left" w:pos="1083"/>
        </w:tabs>
        <w:jc w:val="both"/>
        <w:rPr>
          <w:rFonts w:ascii="Humanst521 BT" w:eastAsia="Verdana" w:hAnsi="Humanst521 BT" w:cs="Verdana"/>
          <w:sz w:val="22"/>
          <w:szCs w:val="22"/>
          <w:lang w:val="es-ES" w:eastAsia="en-US"/>
        </w:rPr>
      </w:pPr>
    </w:p>
    <w:p w14:paraId="764EAEF7" w14:textId="335990C0" w:rsidR="007E2505" w:rsidRPr="007F0FA7" w:rsidRDefault="00E85445" w:rsidP="00093B44">
      <w:pPr>
        <w:pStyle w:val="Descripcin"/>
        <w:keepNext/>
        <w:spacing w:line="240" w:lineRule="auto"/>
        <w:rPr>
          <w:rFonts w:ascii="Humanst521 BT" w:eastAsia="Verdana" w:hAnsi="Humanst521 BT" w:cs="Verdana"/>
          <w:b w:val="0"/>
          <w:bCs w:val="0"/>
          <w:color w:val="auto"/>
          <w:sz w:val="22"/>
          <w:szCs w:val="22"/>
          <w:lang w:val="es-ES"/>
        </w:rPr>
      </w:pPr>
      <w:bookmarkStart w:id="80" w:name="_Toc161302627"/>
      <w:bookmarkStart w:id="81" w:name="_Toc161298293"/>
      <w:bookmarkStart w:id="82" w:name="_Toc231286763"/>
      <w:r w:rsidRPr="007F0FA7">
        <w:rPr>
          <w:rFonts w:ascii="Humanst521 BT" w:eastAsia="Verdana" w:hAnsi="Humanst521 BT" w:cs="Verdana"/>
          <w:b w:val="0"/>
          <w:bCs w:val="0"/>
          <w:color w:val="auto"/>
          <w:sz w:val="22"/>
          <w:szCs w:val="22"/>
          <w:lang w:val="es-ES"/>
        </w:rPr>
        <w:t xml:space="preserve">Figura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Figura_ \* ARABIC </w:instrText>
      </w:r>
      <w:r w:rsidRPr="007F0FA7">
        <w:rPr>
          <w:rFonts w:ascii="Humanst521 BT" w:eastAsia="Verdana" w:hAnsi="Humanst521 BT" w:cs="Verdana"/>
          <w:b w:val="0"/>
          <w:bCs w:val="0"/>
          <w:color w:val="auto"/>
          <w:sz w:val="22"/>
          <w:szCs w:val="22"/>
          <w:lang w:val="es-ES"/>
        </w:rPr>
        <w:fldChar w:fldCharType="separate"/>
      </w:r>
      <w:r w:rsidR="007E563D">
        <w:rPr>
          <w:rFonts w:ascii="Humanst521 BT" w:eastAsia="Verdana" w:hAnsi="Humanst521 BT" w:cs="Verdana"/>
          <w:b w:val="0"/>
          <w:bCs w:val="0"/>
          <w:noProof/>
          <w:color w:val="auto"/>
          <w:sz w:val="22"/>
          <w:szCs w:val="22"/>
          <w:lang w:val="es-ES"/>
        </w:rPr>
        <w:t>1</w:t>
      </w:r>
      <w:r w:rsidRPr="007F0FA7">
        <w:rPr>
          <w:rFonts w:ascii="Humanst521 BT" w:eastAsia="Verdana" w:hAnsi="Humanst521 BT" w:cs="Verdana"/>
          <w:b w:val="0"/>
          <w:bCs w:val="0"/>
          <w:color w:val="auto"/>
          <w:sz w:val="22"/>
          <w:szCs w:val="22"/>
          <w:lang w:val="es-ES"/>
        </w:rPr>
        <w:fldChar w:fldCharType="end"/>
      </w:r>
      <w:r w:rsidRPr="007F0FA7">
        <w:rPr>
          <w:rFonts w:ascii="Humanst521 BT" w:eastAsia="Verdana" w:hAnsi="Humanst521 BT" w:cs="Verdana"/>
          <w:b w:val="0"/>
          <w:bCs w:val="0"/>
          <w:color w:val="auto"/>
          <w:sz w:val="22"/>
          <w:szCs w:val="22"/>
          <w:lang w:val="es-ES"/>
        </w:rPr>
        <w:t xml:space="preserve">: </w:t>
      </w:r>
      <w:r w:rsidR="007E2505" w:rsidRPr="007F0FA7">
        <w:rPr>
          <w:rFonts w:ascii="Humanst521 BT" w:eastAsia="Verdana" w:hAnsi="Humanst521 BT" w:cs="Verdana"/>
          <w:b w:val="0"/>
          <w:bCs w:val="0"/>
          <w:color w:val="auto"/>
          <w:sz w:val="22"/>
          <w:szCs w:val="22"/>
          <w:lang w:val="es-ES"/>
        </w:rPr>
        <w:t>Comportamiento de la morbilidad según gran causa, UISALUD, 201</w:t>
      </w:r>
      <w:r w:rsidR="003B0DBD">
        <w:rPr>
          <w:rFonts w:ascii="Humanst521 BT" w:eastAsia="Verdana" w:hAnsi="Humanst521 BT" w:cs="Verdana"/>
          <w:b w:val="0"/>
          <w:bCs w:val="0"/>
          <w:color w:val="auto"/>
          <w:sz w:val="22"/>
          <w:szCs w:val="22"/>
          <w:lang w:val="es-ES"/>
        </w:rPr>
        <w:t>6</w:t>
      </w:r>
      <w:r w:rsidR="007E2505" w:rsidRPr="007F0FA7">
        <w:rPr>
          <w:rFonts w:ascii="Humanst521 BT" w:eastAsia="Verdana" w:hAnsi="Humanst521 BT" w:cs="Verdana"/>
          <w:b w:val="0"/>
          <w:bCs w:val="0"/>
          <w:color w:val="auto"/>
          <w:sz w:val="22"/>
          <w:szCs w:val="22"/>
          <w:lang w:val="es-ES"/>
        </w:rPr>
        <w:t>-202</w:t>
      </w:r>
      <w:r w:rsidR="008C68E4">
        <w:rPr>
          <w:rFonts w:ascii="Humanst521 BT" w:eastAsia="Verdana" w:hAnsi="Humanst521 BT" w:cs="Verdana"/>
          <w:b w:val="0"/>
          <w:bCs w:val="0"/>
          <w:color w:val="auto"/>
          <w:sz w:val="22"/>
          <w:szCs w:val="22"/>
          <w:lang w:val="es-ES"/>
        </w:rPr>
        <w:t>5</w:t>
      </w:r>
      <w:bookmarkEnd w:id="80"/>
      <w:bookmarkEnd w:id="81"/>
      <w:bookmarkEnd w:id="82"/>
      <w:r w:rsidR="007E2505" w:rsidRPr="007F0FA7">
        <w:rPr>
          <w:rFonts w:ascii="Humanst521 BT" w:eastAsia="Verdana" w:hAnsi="Humanst521 BT" w:cs="Verdana"/>
          <w:b w:val="0"/>
          <w:bCs w:val="0"/>
          <w:color w:val="auto"/>
          <w:sz w:val="22"/>
          <w:szCs w:val="22"/>
          <w:lang w:val="es-ES"/>
        </w:rPr>
        <w:t xml:space="preserve"> </w:t>
      </w:r>
    </w:p>
    <w:p w14:paraId="4B98A18D" w14:textId="2027FADD" w:rsidR="007C7DE4" w:rsidRPr="007F0FA7" w:rsidRDefault="008C68E4" w:rsidP="00093B44">
      <w:pPr>
        <w:pStyle w:val="Textopredeterminado1"/>
        <w:tabs>
          <w:tab w:val="left" w:pos="720"/>
          <w:tab w:val="left" w:pos="1083"/>
        </w:tabs>
        <w:jc w:val="both"/>
        <w:rPr>
          <w:rFonts w:ascii="Humanst521 BT" w:hAnsi="Humanst521 BT" w:cstheme="minorBidi"/>
          <w:sz w:val="22"/>
          <w:szCs w:val="22"/>
        </w:rPr>
      </w:pPr>
      <w:r>
        <w:rPr>
          <w:noProof/>
        </w:rPr>
        <w:drawing>
          <wp:inline distT="0" distB="0" distL="0" distR="0" wp14:anchorId="38CFAAA8" wp14:editId="74C1821B">
            <wp:extent cx="6070600" cy="3073400"/>
            <wp:effectExtent l="0" t="0" r="6350" b="12700"/>
            <wp:docPr id="1" name="Gráfico 1">
              <a:extLst xmlns:a="http://schemas.openxmlformats.org/drawingml/2006/main">
                <a:ext uri="{FF2B5EF4-FFF2-40B4-BE49-F238E27FC236}">
                  <a16:creationId xmlns:a16="http://schemas.microsoft.com/office/drawing/2014/main" id="{5AF8C0B0-871B-40DE-BD5D-5B06CE084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7A755D" w14:textId="4F7A8A16" w:rsidR="007C7DE4" w:rsidRDefault="007C7DE4" w:rsidP="26E29194">
      <w:pPr>
        <w:pStyle w:val="Textopredeterminado1"/>
        <w:tabs>
          <w:tab w:val="left" w:pos="720"/>
          <w:tab w:val="left" w:pos="1083"/>
        </w:tabs>
        <w:jc w:val="both"/>
        <w:rPr>
          <w:rFonts w:ascii="Humanst521 BT" w:hAnsi="Humanst521 BT" w:cstheme="minorBidi"/>
          <w:sz w:val="22"/>
          <w:szCs w:val="22"/>
        </w:rPr>
      </w:pPr>
    </w:p>
    <w:p w14:paraId="7B15E66A" w14:textId="77777777" w:rsidR="006F557C" w:rsidRDefault="006F557C" w:rsidP="26E29194">
      <w:pPr>
        <w:pStyle w:val="Textopredeterminado1"/>
        <w:tabs>
          <w:tab w:val="left" w:pos="720"/>
          <w:tab w:val="left" w:pos="1083"/>
        </w:tabs>
        <w:jc w:val="both"/>
        <w:rPr>
          <w:rFonts w:ascii="Humanst521 BT" w:hAnsi="Humanst521 BT" w:cstheme="minorBidi"/>
          <w:sz w:val="22"/>
          <w:szCs w:val="22"/>
        </w:rPr>
      </w:pPr>
    </w:p>
    <w:p w14:paraId="18333695" w14:textId="4DAE6C45" w:rsidR="006F557C" w:rsidRPr="006F557C" w:rsidRDefault="006F557C" w:rsidP="006F557C">
      <w:pPr>
        <w:widowControl/>
        <w:autoSpaceDE/>
        <w:autoSpaceDN/>
        <w:spacing w:before="100" w:beforeAutospacing="1" w:after="100" w:afterAutospacing="1"/>
        <w:jc w:val="both"/>
        <w:rPr>
          <w:rFonts w:ascii="Humanst521 BT" w:eastAsia="Times New Roman" w:hAnsi="Humanst521 BT" w:cs="Times New Roman"/>
          <w:lang w:val="es-CO" w:eastAsia="es-CO"/>
        </w:rPr>
      </w:pPr>
      <w:r w:rsidRPr="006F557C">
        <w:rPr>
          <w:rFonts w:ascii="Humanst521 BT" w:eastAsia="Times New Roman" w:hAnsi="Humanst521 BT" w:cs="Times New Roman"/>
          <w:lang w:val="es-CO" w:eastAsia="es-CO"/>
        </w:rPr>
        <w:lastRenderedPageBreak/>
        <w:t xml:space="preserve">El análisis de la </w:t>
      </w:r>
      <w:r>
        <w:rPr>
          <w:rFonts w:ascii="Humanst521 BT" w:eastAsia="Times New Roman" w:hAnsi="Humanst521 BT" w:cs="Times New Roman"/>
          <w:lang w:val="es-CO" w:eastAsia="es-CO"/>
        </w:rPr>
        <w:t>morbilidad atendida</w:t>
      </w:r>
      <w:r w:rsidRPr="006F557C">
        <w:rPr>
          <w:rFonts w:ascii="Humanst521 BT" w:eastAsia="Times New Roman" w:hAnsi="Humanst521 BT" w:cs="Times New Roman"/>
          <w:lang w:val="es-CO" w:eastAsia="es-CO"/>
        </w:rPr>
        <w:t xml:space="preserve"> por ciclo vital evidencia un predominio sostenido en los grupos de adultez y persona mayor, los cuales concentran más del 85% del total, reflejando un perfil epidemiológico caracterizado por alta presencia de enfermedades no transmisibles y asociado al envejecimiento poblacional. No obstante, se observa un incremento significativo en los grupos de adolescencia y juventud, impulsado principalmente por el aumento de condiciones transmisibles y enfermedades crónicas, lo que sugiere una transición hacia la aparición temprana de riesgos en salud.</w:t>
      </w:r>
    </w:p>
    <w:p w14:paraId="7FC1ACF2" w14:textId="77777777" w:rsidR="006F557C" w:rsidRPr="006F557C" w:rsidRDefault="006F557C" w:rsidP="006F557C">
      <w:pPr>
        <w:widowControl/>
        <w:autoSpaceDE/>
        <w:autoSpaceDN/>
        <w:spacing w:before="100" w:beforeAutospacing="1" w:after="100" w:afterAutospacing="1"/>
        <w:jc w:val="both"/>
        <w:rPr>
          <w:rFonts w:ascii="Humanst521 BT" w:eastAsia="Times New Roman" w:hAnsi="Humanst521 BT" w:cs="Times New Roman"/>
          <w:lang w:val="es-CO" w:eastAsia="es-CO"/>
        </w:rPr>
      </w:pPr>
      <w:r w:rsidRPr="006F557C">
        <w:rPr>
          <w:rFonts w:ascii="Humanst521 BT" w:eastAsia="Times New Roman" w:hAnsi="Humanst521 BT" w:cs="Times New Roman"/>
          <w:lang w:val="es-CO" w:eastAsia="es-CO"/>
        </w:rPr>
        <w:t>En la población adulta se evidencia una disminución global de la carga, particularmente en lesiones y enfermedades no transmisibles, lo cual debe interpretarse con cautela debido a posibles efectos de subregistro o transición demográfica hacia grupos de mayor edad. Por su parte, la población mayor mantiene su predominio estructural, con incrementos en condiciones transmisibles y lesiones, lo que indica una mayor complejidad en los perfiles de atención.</w:t>
      </w:r>
    </w:p>
    <w:p w14:paraId="4414B04E" w14:textId="77777777" w:rsidR="006F557C" w:rsidRPr="006F557C" w:rsidRDefault="006F557C" w:rsidP="006F557C">
      <w:pPr>
        <w:widowControl/>
        <w:autoSpaceDE/>
        <w:autoSpaceDN/>
        <w:spacing w:before="100" w:beforeAutospacing="1" w:after="100" w:afterAutospacing="1"/>
        <w:jc w:val="both"/>
        <w:rPr>
          <w:rFonts w:ascii="Humanst521 BT" w:eastAsia="Times New Roman" w:hAnsi="Humanst521 BT" w:cs="Times New Roman"/>
          <w:lang w:val="es-CO" w:eastAsia="es-CO"/>
        </w:rPr>
      </w:pPr>
      <w:r w:rsidRPr="006F557C">
        <w:rPr>
          <w:rFonts w:ascii="Humanst521 BT" w:eastAsia="Times New Roman" w:hAnsi="Humanst521 BT" w:cs="Times New Roman"/>
          <w:lang w:val="es-CO" w:eastAsia="es-CO"/>
        </w:rPr>
        <w:t>Estos hallazgos reflejan un modelo de transición epidemiológica avanzada con coexistencia de riesgos, lo que demanda fortalecer estrategias diferenciadas por ciclo vital, priorizando la prevención en jóvenes, el control de enfermedades crónicas en adultos y la atención integral del adulto mayor.</w:t>
      </w:r>
    </w:p>
    <w:p w14:paraId="29F55424" w14:textId="734A0919" w:rsidR="007C7DE4" w:rsidRPr="007F0FA7" w:rsidRDefault="007C7DE4" w:rsidP="00093B44">
      <w:pPr>
        <w:pStyle w:val="Descripcin"/>
        <w:keepNext/>
        <w:spacing w:line="240" w:lineRule="auto"/>
        <w:rPr>
          <w:rFonts w:ascii="Humanst521 BT" w:eastAsia="Verdana" w:hAnsi="Humanst521 BT" w:cs="Verdana"/>
          <w:b w:val="0"/>
          <w:bCs w:val="0"/>
          <w:color w:val="auto"/>
          <w:sz w:val="22"/>
          <w:szCs w:val="22"/>
          <w:lang w:val="es-ES"/>
        </w:rPr>
      </w:pPr>
      <w:bookmarkStart w:id="83" w:name="_Toc175638510"/>
      <w:bookmarkStart w:id="84" w:name="_Toc231286264"/>
      <w:bookmarkStart w:id="85" w:name="_Hlk63414958"/>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66118">
        <w:rPr>
          <w:rFonts w:ascii="Humanst521 BT" w:eastAsia="Verdana" w:hAnsi="Humanst521 BT" w:cs="Verdana"/>
          <w:b w:val="0"/>
          <w:bCs w:val="0"/>
          <w:noProof/>
          <w:color w:val="auto"/>
          <w:sz w:val="22"/>
          <w:szCs w:val="22"/>
          <w:lang w:val="es-ES"/>
        </w:rPr>
        <w:t>19</w:t>
      </w:r>
      <w:r w:rsidRPr="007F0FA7">
        <w:rPr>
          <w:rFonts w:ascii="Humanst521 BT" w:eastAsia="Verdana" w:hAnsi="Humanst521 BT" w:cs="Verdana"/>
          <w:b w:val="0"/>
          <w:bCs w:val="0"/>
          <w:color w:val="auto"/>
          <w:sz w:val="22"/>
          <w:szCs w:val="22"/>
          <w:lang w:val="es-ES"/>
        </w:rPr>
        <w:fldChar w:fldCharType="end"/>
      </w:r>
      <w:r w:rsidRPr="007F0FA7">
        <w:rPr>
          <w:rFonts w:ascii="Humanst521 BT" w:eastAsia="Verdana" w:hAnsi="Humanst521 BT" w:cs="Verdana"/>
          <w:b w:val="0"/>
          <w:bCs w:val="0"/>
          <w:color w:val="auto"/>
          <w:sz w:val="22"/>
          <w:szCs w:val="22"/>
          <w:lang w:val="es-ES"/>
        </w:rPr>
        <w:t>. Morbilidad</w:t>
      </w:r>
      <w:r w:rsidR="005C54F8" w:rsidRPr="007F0FA7">
        <w:rPr>
          <w:rFonts w:ascii="Humanst521 BT" w:eastAsia="Verdana" w:hAnsi="Humanst521 BT" w:cs="Verdana"/>
          <w:b w:val="0"/>
          <w:bCs w:val="0"/>
          <w:color w:val="auto"/>
          <w:sz w:val="22"/>
          <w:szCs w:val="22"/>
          <w:lang w:val="es-ES"/>
        </w:rPr>
        <w:t xml:space="preserve"> por grandes causas en</w:t>
      </w:r>
      <w:r w:rsidRPr="007F0FA7">
        <w:rPr>
          <w:rFonts w:ascii="Humanst521 BT" w:eastAsia="Verdana" w:hAnsi="Humanst521 BT" w:cs="Verdana"/>
          <w:b w:val="0"/>
          <w:bCs w:val="0"/>
          <w:color w:val="auto"/>
          <w:sz w:val="22"/>
          <w:szCs w:val="22"/>
          <w:lang w:val="es-ES"/>
        </w:rPr>
        <w:t xml:space="preserve"> población afiliada UISALUD por ciclo vital.</w:t>
      </w:r>
      <w:bookmarkEnd w:id="83"/>
      <w:bookmarkEnd w:id="84"/>
    </w:p>
    <w:tbl>
      <w:tblPr>
        <w:tblW w:w="5000" w:type="pct"/>
        <w:tblCellMar>
          <w:left w:w="70" w:type="dxa"/>
          <w:right w:w="70" w:type="dxa"/>
        </w:tblCellMar>
        <w:tblLook w:val="04A0" w:firstRow="1" w:lastRow="0" w:firstColumn="1" w:lastColumn="0" w:noHBand="0" w:noVBand="1"/>
      </w:tblPr>
      <w:tblGrid>
        <w:gridCol w:w="5583"/>
        <w:gridCol w:w="1054"/>
        <w:gridCol w:w="1047"/>
        <w:gridCol w:w="1876"/>
      </w:tblGrid>
      <w:tr w:rsidR="00BE58D8" w:rsidRPr="00BE58D8" w14:paraId="25A1C995" w14:textId="77777777" w:rsidTr="00EA2627">
        <w:trPr>
          <w:trHeight w:val="274"/>
        </w:trPr>
        <w:tc>
          <w:tcPr>
            <w:tcW w:w="2992" w:type="pct"/>
            <w:tcBorders>
              <w:top w:val="single" w:sz="4" w:space="0" w:color="E2EFDA"/>
              <w:left w:val="nil"/>
              <w:bottom w:val="single" w:sz="4" w:space="0" w:color="FFFFFF"/>
              <w:right w:val="single" w:sz="4" w:space="0" w:color="70AD47"/>
            </w:tcBorders>
            <w:shd w:val="clear" w:color="E2EFDA" w:fill="E2EFDA"/>
            <w:noWrap/>
            <w:vAlign w:val="bottom"/>
          </w:tcPr>
          <w:p w14:paraId="318BA32A" w14:textId="45A35001" w:rsidR="00BE58D8" w:rsidRPr="00BE58D8" w:rsidRDefault="00BE58D8" w:rsidP="00EA2627">
            <w:pPr>
              <w:widowControl/>
              <w:autoSpaceDE/>
              <w:autoSpaceDN/>
              <w:jc w:val="center"/>
              <w:rPr>
                <w:rFonts w:ascii="Calibri" w:eastAsia="Times New Roman" w:hAnsi="Calibri" w:cs="Calibri"/>
                <w:b/>
                <w:bCs/>
                <w:color w:val="000000"/>
                <w:lang w:val="es-CO" w:eastAsia="es-CO"/>
              </w:rPr>
            </w:pPr>
            <w:r>
              <w:rPr>
                <w:rFonts w:ascii="Calibri" w:eastAsia="Times New Roman" w:hAnsi="Calibri" w:cs="Calibri"/>
                <w:b/>
                <w:bCs/>
                <w:color w:val="000000"/>
                <w:lang w:val="es-CO" w:eastAsia="es-CO"/>
              </w:rPr>
              <w:t>Ciclo Vital</w:t>
            </w:r>
          </w:p>
        </w:tc>
        <w:tc>
          <w:tcPr>
            <w:tcW w:w="623" w:type="pct"/>
            <w:tcBorders>
              <w:top w:val="single" w:sz="4" w:space="0" w:color="E2EFDA"/>
              <w:left w:val="nil"/>
              <w:bottom w:val="single" w:sz="4" w:space="0" w:color="FFFFFF"/>
              <w:right w:val="nil"/>
            </w:tcBorders>
            <w:shd w:val="clear" w:color="E2EFDA" w:fill="E2EFDA"/>
            <w:noWrap/>
            <w:vAlign w:val="bottom"/>
          </w:tcPr>
          <w:p w14:paraId="54FF53C7" w14:textId="5B0277EA" w:rsidR="00BE58D8" w:rsidRPr="00BE58D8" w:rsidRDefault="00BE58D8" w:rsidP="00EA2627">
            <w:pPr>
              <w:widowControl/>
              <w:autoSpaceDE/>
              <w:autoSpaceDN/>
              <w:jc w:val="center"/>
              <w:rPr>
                <w:rFonts w:ascii="Calibri" w:eastAsia="Times New Roman" w:hAnsi="Calibri" w:cs="Calibri"/>
                <w:b/>
                <w:bCs/>
                <w:color w:val="000000"/>
                <w:lang w:val="es-CO" w:eastAsia="es-CO"/>
              </w:rPr>
            </w:pPr>
            <w:r>
              <w:rPr>
                <w:rFonts w:ascii="Calibri" w:eastAsia="Times New Roman" w:hAnsi="Calibri" w:cs="Calibri"/>
                <w:b/>
                <w:bCs/>
                <w:color w:val="000000"/>
                <w:lang w:val="es-CO" w:eastAsia="es-CO"/>
              </w:rPr>
              <w:t>2024</w:t>
            </w:r>
          </w:p>
        </w:tc>
        <w:tc>
          <w:tcPr>
            <w:tcW w:w="619" w:type="pct"/>
            <w:tcBorders>
              <w:top w:val="single" w:sz="4" w:space="0" w:color="E2EFDA"/>
              <w:left w:val="nil"/>
              <w:bottom w:val="single" w:sz="4" w:space="0" w:color="FFFFFF"/>
              <w:right w:val="nil"/>
            </w:tcBorders>
            <w:shd w:val="clear" w:color="E2EFDA" w:fill="E2EFDA"/>
            <w:noWrap/>
            <w:vAlign w:val="bottom"/>
          </w:tcPr>
          <w:p w14:paraId="623DEB1B" w14:textId="58314A97" w:rsidR="00BE58D8" w:rsidRPr="00BE58D8" w:rsidRDefault="00BE58D8" w:rsidP="00EA2627">
            <w:pPr>
              <w:widowControl/>
              <w:autoSpaceDE/>
              <w:autoSpaceDN/>
              <w:jc w:val="center"/>
              <w:rPr>
                <w:rFonts w:ascii="Times New Roman" w:eastAsia="Times New Roman" w:hAnsi="Times New Roman" w:cs="Times New Roman"/>
                <w:sz w:val="20"/>
                <w:szCs w:val="20"/>
                <w:lang w:val="es-CO" w:eastAsia="es-CO"/>
              </w:rPr>
            </w:pPr>
            <w:r w:rsidRPr="00BE58D8">
              <w:rPr>
                <w:rFonts w:ascii="Calibri" w:eastAsia="Times New Roman" w:hAnsi="Calibri" w:cs="Calibri"/>
                <w:b/>
                <w:bCs/>
                <w:color w:val="000000"/>
                <w:lang w:val="es-CO" w:eastAsia="es-CO"/>
              </w:rPr>
              <w:t>2025</w:t>
            </w:r>
          </w:p>
        </w:tc>
        <w:tc>
          <w:tcPr>
            <w:tcW w:w="766" w:type="pct"/>
            <w:tcBorders>
              <w:top w:val="single" w:sz="4" w:space="0" w:color="E2EFDA"/>
              <w:left w:val="nil"/>
              <w:bottom w:val="single" w:sz="4" w:space="0" w:color="FFFFFF"/>
              <w:right w:val="nil"/>
            </w:tcBorders>
            <w:shd w:val="clear" w:color="E2EFDA" w:fill="E2EFDA"/>
            <w:noWrap/>
            <w:vAlign w:val="bottom"/>
          </w:tcPr>
          <w:p w14:paraId="7C7167A3" w14:textId="6930697F" w:rsidR="00BE58D8" w:rsidRPr="00BE58D8" w:rsidRDefault="00BE58D8" w:rsidP="00EA2627">
            <w:pPr>
              <w:widowControl/>
              <w:autoSpaceDE/>
              <w:autoSpaceDN/>
              <w:jc w:val="center"/>
              <w:rPr>
                <w:rFonts w:ascii="Calibri" w:eastAsia="Times New Roman" w:hAnsi="Calibri" w:cs="Calibri"/>
                <w:b/>
                <w:bCs/>
                <w:color w:val="000000"/>
                <w:lang w:val="es-CO" w:eastAsia="es-CO"/>
              </w:rPr>
            </w:pPr>
            <w:r>
              <w:rPr>
                <w:rFonts w:ascii="Calibri" w:eastAsia="Times New Roman" w:hAnsi="Calibri" w:cs="Calibri"/>
                <w:b/>
                <w:bCs/>
                <w:color w:val="000000"/>
                <w:lang w:val="es-CO" w:eastAsia="es-CO"/>
              </w:rPr>
              <w:t>Cambio Porcentual</w:t>
            </w:r>
          </w:p>
        </w:tc>
      </w:tr>
      <w:bookmarkEnd w:id="85"/>
      <w:tr w:rsidR="00BE58D8" w:rsidRPr="00BE58D8" w14:paraId="4D56F2A1" w14:textId="77777777" w:rsidTr="00EA2627">
        <w:trPr>
          <w:trHeight w:val="345"/>
        </w:trPr>
        <w:tc>
          <w:tcPr>
            <w:tcW w:w="2992" w:type="pct"/>
            <w:tcBorders>
              <w:top w:val="single" w:sz="4" w:space="0" w:color="E2EFDA"/>
              <w:left w:val="nil"/>
              <w:bottom w:val="single" w:sz="4" w:space="0" w:color="FFFFFF"/>
              <w:right w:val="single" w:sz="4" w:space="0" w:color="70AD47"/>
            </w:tcBorders>
            <w:shd w:val="clear" w:color="E2EFDA" w:fill="E2EFDA"/>
            <w:noWrap/>
            <w:vAlign w:val="bottom"/>
            <w:hideMark/>
          </w:tcPr>
          <w:p w14:paraId="0AB067BD"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1 - Primera infancia</w:t>
            </w:r>
          </w:p>
        </w:tc>
        <w:tc>
          <w:tcPr>
            <w:tcW w:w="623" w:type="pct"/>
            <w:tcBorders>
              <w:top w:val="single" w:sz="4" w:space="0" w:color="E2EFDA"/>
              <w:left w:val="nil"/>
              <w:bottom w:val="single" w:sz="4" w:space="0" w:color="FFFFFF"/>
              <w:right w:val="nil"/>
            </w:tcBorders>
            <w:shd w:val="clear" w:color="E2EFDA" w:fill="E2EFDA"/>
            <w:noWrap/>
            <w:vAlign w:val="bottom"/>
            <w:hideMark/>
          </w:tcPr>
          <w:p w14:paraId="2C887A81" w14:textId="77777777" w:rsidR="00BE58D8" w:rsidRPr="00BE58D8" w:rsidRDefault="00BE58D8" w:rsidP="00BE58D8">
            <w:pPr>
              <w:widowControl/>
              <w:autoSpaceDE/>
              <w:autoSpaceDN/>
              <w:rPr>
                <w:rFonts w:ascii="Calibri" w:eastAsia="Times New Roman" w:hAnsi="Calibri" w:cs="Calibri"/>
                <w:b/>
                <w:bCs/>
                <w:color w:val="000000"/>
                <w:lang w:val="es-CO" w:eastAsia="es-CO"/>
              </w:rPr>
            </w:pPr>
          </w:p>
        </w:tc>
        <w:tc>
          <w:tcPr>
            <w:tcW w:w="619" w:type="pct"/>
            <w:tcBorders>
              <w:top w:val="single" w:sz="4" w:space="0" w:color="E2EFDA"/>
              <w:left w:val="nil"/>
              <w:bottom w:val="single" w:sz="4" w:space="0" w:color="FFFFFF"/>
              <w:right w:val="nil"/>
            </w:tcBorders>
            <w:shd w:val="clear" w:color="E2EFDA" w:fill="E2EFDA"/>
            <w:noWrap/>
            <w:vAlign w:val="bottom"/>
            <w:hideMark/>
          </w:tcPr>
          <w:p w14:paraId="0AD06D39" w14:textId="77777777" w:rsidR="00BE58D8" w:rsidRPr="00BE58D8" w:rsidRDefault="00BE58D8" w:rsidP="00BE58D8">
            <w:pPr>
              <w:widowControl/>
              <w:autoSpaceDE/>
              <w:autoSpaceDN/>
              <w:rPr>
                <w:rFonts w:ascii="Times New Roman" w:eastAsia="Times New Roman" w:hAnsi="Times New Roman" w:cs="Times New Roman"/>
                <w:sz w:val="20"/>
                <w:szCs w:val="20"/>
                <w:lang w:val="es-CO" w:eastAsia="es-CO"/>
              </w:rPr>
            </w:pPr>
          </w:p>
        </w:tc>
        <w:tc>
          <w:tcPr>
            <w:tcW w:w="766" w:type="pct"/>
            <w:tcBorders>
              <w:top w:val="single" w:sz="4" w:space="0" w:color="E2EFDA"/>
              <w:left w:val="nil"/>
              <w:bottom w:val="single" w:sz="4" w:space="0" w:color="FFFFFF"/>
              <w:right w:val="nil"/>
            </w:tcBorders>
            <w:shd w:val="clear" w:color="E2EFDA" w:fill="E2EFDA"/>
            <w:noWrap/>
            <w:vAlign w:val="bottom"/>
            <w:hideMark/>
          </w:tcPr>
          <w:p w14:paraId="78FAECAF"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 </w:t>
            </w:r>
          </w:p>
        </w:tc>
      </w:tr>
      <w:tr w:rsidR="00BE58D8" w:rsidRPr="00BE58D8" w14:paraId="0D7A5F68"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1BA6EA79"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maternas perinatales</w:t>
            </w:r>
          </w:p>
        </w:tc>
        <w:tc>
          <w:tcPr>
            <w:tcW w:w="623" w:type="pct"/>
            <w:tcBorders>
              <w:top w:val="single" w:sz="4" w:space="0" w:color="E2EFDA"/>
              <w:left w:val="nil"/>
              <w:bottom w:val="single" w:sz="4" w:space="0" w:color="E2EFDA"/>
              <w:right w:val="nil"/>
            </w:tcBorders>
            <w:shd w:val="clear" w:color="auto" w:fill="auto"/>
            <w:noWrap/>
            <w:vAlign w:val="bottom"/>
            <w:hideMark/>
          </w:tcPr>
          <w:p w14:paraId="6D7DF195"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0,00%</w:t>
            </w:r>
          </w:p>
        </w:tc>
        <w:tc>
          <w:tcPr>
            <w:tcW w:w="619" w:type="pct"/>
            <w:tcBorders>
              <w:top w:val="single" w:sz="4" w:space="0" w:color="E2EFDA"/>
              <w:left w:val="nil"/>
              <w:bottom w:val="single" w:sz="4" w:space="0" w:color="E2EFDA"/>
              <w:right w:val="nil"/>
            </w:tcBorders>
            <w:shd w:val="clear" w:color="auto" w:fill="auto"/>
            <w:noWrap/>
            <w:vAlign w:val="bottom"/>
            <w:hideMark/>
          </w:tcPr>
          <w:p w14:paraId="13A9C1DD"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0,03%</w:t>
            </w:r>
          </w:p>
        </w:tc>
        <w:tc>
          <w:tcPr>
            <w:tcW w:w="766" w:type="pct"/>
            <w:tcBorders>
              <w:top w:val="single" w:sz="4" w:space="0" w:color="E2EFDA"/>
              <w:left w:val="nil"/>
              <w:bottom w:val="single" w:sz="4" w:space="0" w:color="E2EFDA"/>
              <w:right w:val="nil"/>
            </w:tcBorders>
            <w:shd w:val="clear" w:color="auto" w:fill="auto"/>
            <w:noWrap/>
            <w:vAlign w:val="bottom"/>
            <w:hideMark/>
          </w:tcPr>
          <w:p w14:paraId="727F01F1"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0,03%</w:t>
            </w:r>
          </w:p>
        </w:tc>
      </w:tr>
      <w:tr w:rsidR="00BE58D8" w:rsidRPr="00BE58D8" w14:paraId="0D8A7F71"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2AAADF24"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transmisibles y nutricionales</w:t>
            </w:r>
          </w:p>
        </w:tc>
        <w:tc>
          <w:tcPr>
            <w:tcW w:w="623" w:type="pct"/>
            <w:tcBorders>
              <w:top w:val="single" w:sz="4" w:space="0" w:color="E2EFDA"/>
              <w:left w:val="nil"/>
              <w:bottom w:val="single" w:sz="4" w:space="0" w:color="E2EFDA"/>
              <w:right w:val="nil"/>
            </w:tcBorders>
            <w:shd w:val="clear" w:color="auto" w:fill="auto"/>
            <w:noWrap/>
            <w:vAlign w:val="bottom"/>
            <w:hideMark/>
          </w:tcPr>
          <w:p w14:paraId="783F310E"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0,56%</w:t>
            </w:r>
          </w:p>
        </w:tc>
        <w:tc>
          <w:tcPr>
            <w:tcW w:w="619" w:type="pct"/>
            <w:tcBorders>
              <w:top w:val="single" w:sz="4" w:space="0" w:color="E2EFDA"/>
              <w:left w:val="nil"/>
              <w:bottom w:val="single" w:sz="4" w:space="0" w:color="E2EFDA"/>
              <w:right w:val="nil"/>
            </w:tcBorders>
            <w:shd w:val="clear" w:color="auto" w:fill="auto"/>
            <w:noWrap/>
            <w:vAlign w:val="bottom"/>
            <w:hideMark/>
          </w:tcPr>
          <w:p w14:paraId="2B49E325"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0,61%</w:t>
            </w:r>
          </w:p>
        </w:tc>
        <w:tc>
          <w:tcPr>
            <w:tcW w:w="766" w:type="pct"/>
            <w:tcBorders>
              <w:top w:val="nil"/>
              <w:left w:val="nil"/>
              <w:bottom w:val="single" w:sz="4" w:space="0" w:color="E2EFDA"/>
              <w:right w:val="nil"/>
            </w:tcBorders>
            <w:shd w:val="clear" w:color="auto" w:fill="auto"/>
            <w:noWrap/>
            <w:vAlign w:val="bottom"/>
            <w:hideMark/>
          </w:tcPr>
          <w:p w14:paraId="4C9BBC10"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0,04%</w:t>
            </w:r>
          </w:p>
        </w:tc>
      </w:tr>
      <w:tr w:rsidR="00BE58D8" w:rsidRPr="00BE58D8" w14:paraId="5E9628BB"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1547CC6C"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Enfermedades no transmisibles</w:t>
            </w:r>
          </w:p>
        </w:tc>
        <w:tc>
          <w:tcPr>
            <w:tcW w:w="623" w:type="pct"/>
            <w:tcBorders>
              <w:top w:val="single" w:sz="4" w:space="0" w:color="E2EFDA"/>
              <w:left w:val="nil"/>
              <w:bottom w:val="single" w:sz="4" w:space="0" w:color="E2EFDA"/>
              <w:right w:val="nil"/>
            </w:tcBorders>
            <w:shd w:val="clear" w:color="auto" w:fill="auto"/>
            <w:noWrap/>
            <w:vAlign w:val="bottom"/>
            <w:hideMark/>
          </w:tcPr>
          <w:p w14:paraId="7E7A11D0"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0,48%</w:t>
            </w:r>
          </w:p>
        </w:tc>
        <w:tc>
          <w:tcPr>
            <w:tcW w:w="619" w:type="pct"/>
            <w:tcBorders>
              <w:top w:val="single" w:sz="4" w:space="0" w:color="E2EFDA"/>
              <w:left w:val="nil"/>
              <w:bottom w:val="single" w:sz="4" w:space="0" w:color="E2EFDA"/>
              <w:right w:val="nil"/>
            </w:tcBorders>
            <w:shd w:val="clear" w:color="auto" w:fill="auto"/>
            <w:noWrap/>
            <w:vAlign w:val="bottom"/>
            <w:hideMark/>
          </w:tcPr>
          <w:p w14:paraId="2C0A5CD0"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0,54%</w:t>
            </w:r>
          </w:p>
        </w:tc>
        <w:tc>
          <w:tcPr>
            <w:tcW w:w="766" w:type="pct"/>
            <w:tcBorders>
              <w:top w:val="nil"/>
              <w:left w:val="nil"/>
              <w:bottom w:val="single" w:sz="4" w:space="0" w:color="E2EFDA"/>
              <w:right w:val="nil"/>
            </w:tcBorders>
            <w:shd w:val="clear" w:color="auto" w:fill="auto"/>
            <w:noWrap/>
            <w:vAlign w:val="bottom"/>
            <w:hideMark/>
          </w:tcPr>
          <w:p w14:paraId="249761F8"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0,06%</w:t>
            </w:r>
          </w:p>
        </w:tc>
      </w:tr>
      <w:tr w:rsidR="00BE58D8" w:rsidRPr="00BE58D8" w14:paraId="3E91427D"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41A56C45"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Lesiones</w:t>
            </w:r>
          </w:p>
        </w:tc>
        <w:tc>
          <w:tcPr>
            <w:tcW w:w="623" w:type="pct"/>
            <w:tcBorders>
              <w:top w:val="single" w:sz="4" w:space="0" w:color="E2EFDA"/>
              <w:left w:val="nil"/>
              <w:bottom w:val="single" w:sz="4" w:space="0" w:color="E2EFDA"/>
              <w:right w:val="nil"/>
            </w:tcBorders>
            <w:shd w:val="clear" w:color="auto" w:fill="auto"/>
            <w:noWrap/>
            <w:vAlign w:val="bottom"/>
            <w:hideMark/>
          </w:tcPr>
          <w:p w14:paraId="023760D9"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0,03%</w:t>
            </w:r>
          </w:p>
        </w:tc>
        <w:tc>
          <w:tcPr>
            <w:tcW w:w="619" w:type="pct"/>
            <w:tcBorders>
              <w:top w:val="single" w:sz="4" w:space="0" w:color="E2EFDA"/>
              <w:left w:val="nil"/>
              <w:bottom w:val="single" w:sz="4" w:space="0" w:color="E2EFDA"/>
              <w:right w:val="nil"/>
            </w:tcBorders>
            <w:shd w:val="clear" w:color="auto" w:fill="auto"/>
            <w:noWrap/>
            <w:vAlign w:val="bottom"/>
            <w:hideMark/>
          </w:tcPr>
          <w:p w14:paraId="218B06C7"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0,01%</w:t>
            </w:r>
          </w:p>
        </w:tc>
        <w:tc>
          <w:tcPr>
            <w:tcW w:w="766" w:type="pct"/>
            <w:tcBorders>
              <w:top w:val="nil"/>
              <w:left w:val="nil"/>
              <w:bottom w:val="single" w:sz="4" w:space="0" w:color="E2EFDA"/>
              <w:right w:val="nil"/>
            </w:tcBorders>
            <w:shd w:val="clear" w:color="auto" w:fill="auto"/>
            <w:noWrap/>
            <w:vAlign w:val="bottom"/>
            <w:hideMark/>
          </w:tcPr>
          <w:p w14:paraId="6D8FBEA2"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-0,03%</w:t>
            </w:r>
          </w:p>
        </w:tc>
      </w:tr>
      <w:tr w:rsidR="00BE58D8" w:rsidRPr="00BE58D8" w14:paraId="18E967E6"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65B09624" w14:textId="0A05794C"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 xml:space="preserve">Signos y </w:t>
            </w:r>
            <w:r w:rsidR="00373E0E" w:rsidRPr="00BE58D8">
              <w:rPr>
                <w:rFonts w:ascii="Calibri" w:eastAsia="Times New Roman" w:hAnsi="Calibri" w:cs="Calibri"/>
                <w:color w:val="548235"/>
                <w:lang w:val="es-CO" w:eastAsia="es-CO"/>
              </w:rPr>
              <w:t>síntomas</w:t>
            </w:r>
            <w:r w:rsidRPr="00BE58D8">
              <w:rPr>
                <w:rFonts w:ascii="Calibri" w:eastAsia="Times New Roman" w:hAnsi="Calibri" w:cs="Calibri"/>
                <w:color w:val="548235"/>
                <w:lang w:val="es-CO" w:eastAsia="es-CO"/>
              </w:rPr>
              <w:t xml:space="preserve"> mal definidos</w:t>
            </w:r>
          </w:p>
        </w:tc>
        <w:tc>
          <w:tcPr>
            <w:tcW w:w="623" w:type="pct"/>
            <w:tcBorders>
              <w:top w:val="single" w:sz="4" w:space="0" w:color="E2EFDA"/>
              <w:left w:val="nil"/>
              <w:bottom w:val="single" w:sz="4" w:space="0" w:color="E2EFDA"/>
              <w:right w:val="nil"/>
            </w:tcBorders>
            <w:shd w:val="clear" w:color="auto" w:fill="auto"/>
            <w:noWrap/>
            <w:vAlign w:val="bottom"/>
            <w:hideMark/>
          </w:tcPr>
          <w:p w14:paraId="427CD006"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0,11%</w:t>
            </w:r>
          </w:p>
        </w:tc>
        <w:tc>
          <w:tcPr>
            <w:tcW w:w="619" w:type="pct"/>
            <w:tcBorders>
              <w:top w:val="single" w:sz="4" w:space="0" w:color="E2EFDA"/>
              <w:left w:val="nil"/>
              <w:bottom w:val="single" w:sz="4" w:space="0" w:color="E2EFDA"/>
              <w:right w:val="nil"/>
            </w:tcBorders>
            <w:shd w:val="clear" w:color="auto" w:fill="auto"/>
            <w:noWrap/>
            <w:vAlign w:val="bottom"/>
            <w:hideMark/>
          </w:tcPr>
          <w:p w14:paraId="49455411"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0,10%</w:t>
            </w:r>
          </w:p>
        </w:tc>
        <w:tc>
          <w:tcPr>
            <w:tcW w:w="766" w:type="pct"/>
            <w:tcBorders>
              <w:top w:val="nil"/>
              <w:left w:val="nil"/>
              <w:bottom w:val="single" w:sz="4" w:space="0" w:color="E2EFDA"/>
              <w:right w:val="nil"/>
            </w:tcBorders>
            <w:shd w:val="clear" w:color="auto" w:fill="auto"/>
            <w:noWrap/>
            <w:vAlign w:val="bottom"/>
            <w:hideMark/>
          </w:tcPr>
          <w:p w14:paraId="03B6DA82"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-0,01%</w:t>
            </w:r>
          </w:p>
        </w:tc>
      </w:tr>
      <w:tr w:rsidR="00BE58D8" w:rsidRPr="00BE58D8" w14:paraId="651FC2A9" w14:textId="77777777" w:rsidTr="00EA2627">
        <w:trPr>
          <w:trHeight w:val="345"/>
        </w:trPr>
        <w:tc>
          <w:tcPr>
            <w:tcW w:w="2992" w:type="pct"/>
            <w:tcBorders>
              <w:top w:val="single" w:sz="4" w:space="0" w:color="C6E0B4"/>
              <w:left w:val="nil"/>
              <w:bottom w:val="single" w:sz="4" w:space="0" w:color="C6E0B4"/>
              <w:right w:val="single" w:sz="4" w:space="0" w:color="70AD47"/>
            </w:tcBorders>
            <w:shd w:val="clear" w:color="E2EFDA" w:fill="E2EFDA"/>
            <w:noWrap/>
            <w:vAlign w:val="bottom"/>
            <w:hideMark/>
          </w:tcPr>
          <w:p w14:paraId="4D439EA6"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Total 1 - Primera infancia</w:t>
            </w:r>
          </w:p>
        </w:tc>
        <w:tc>
          <w:tcPr>
            <w:tcW w:w="623" w:type="pct"/>
            <w:tcBorders>
              <w:top w:val="single" w:sz="4" w:space="0" w:color="C6E0B4"/>
              <w:left w:val="nil"/>
              <w:bottom w:val="single" w:sz="4" w:space="0" w:color="C6E0B4"/>
              <w:right w:val="nil"/>
            </w:tcBorders>
            <w:shd w:val="clear" w:color="E2EFDA" w:fill="E2EFDA"/>
            <w:noWrap/>
            <w:vAlign w:val="bottom"/>
            <w:hideMark/>
          </w:tcPr>
          <w:p w14:paraId="362A13B5"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1,19%</w:t>
            </w:r>
          </w:p>
        </w:tc>
        <w:tc>
          <w:tcPr>
            <w:tcW w:w="619" w:type="pct"/>
            <w:tcBorders>
              <w:top w:val="single" w:sz="4" w:space="0" w:color="C6E0B4"/>
              <w:left w:val="nil"/>
              <w:bottom w:val="single" w:sz="4" w:space="0" w:color="C6E0B4"/>
              <w:right w:val="nil"/>
            </w:tcBorders>
            <w:shd w:val="clear" w:color="E2EFDA" w:fill="E2EFDA"/>
            <w:noWrap/>
            <w:vAlign w:val="bottom"/>
            <w:hideMark/>
          </w:tcPr>
          <w:p w14:paraId="0742D296"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1,29%</w:t>
            </w:r>
          </w:p>
        </w:tc>
        <w:tc>
          <w:tcPr>
            <w:tcW w:w="766" w:type="pct"/>
            <w:tcBorders>
              <w:top w:val="single" w:sz="4" w:space="0" w:color="C6E0B4"/>
              <w:left w:val="nil"/>
              <w:bottom w:val="single" w:sz="4" w:space="0" w:color="C6E0B4"/>
              <w:right w:val="nil"/>
            </w:tcBorders>
            <w:shd w:val="clear" w:color="E2EFDA" w:fill="E2EFDA"/>
            <w:noWrap/>
            <w:vAlign w:val="bottom"/>
            <w:hideMark/>
          </w:tcPr>
          <w:p w14:paraId="29957114"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0,10%</w:t>
            </w:r>
          </w:p>
        </w:tc>
      </w:tr>
      <w:tr w:rsidR="00BE58D8" w:rsidRPr="00BE58D8" w14:paraId="65483141" w14:textId="77777777" w:rsidTr="00EA2627">
        <w:trPr>
          <w:trHeight w:val="345"/>
        </w:trPr>
        <w:tc>
          <w:tcPr>
            <w:tcW w:w="2992" w:type="pct"/>
            <w:tcBorders>
              <w:top w:val="single" w:sz="4" w:space="0" w:color="E2EFDA"/>
              <w:left w:val="nil"/>
              <w:bottom w:val="single" w:sz="4" w:space="0" w:color="FFFFFF"/>
              <w:right w:val="single" w:sz="4" w:space="0" w:color="70AD47"/>
            </w:tcBorders>
            <w:shd w:val="clear" w:color="E2EFDA" w:fill="E2EFDA"/>
            <w:noWrap/>
            <w:vAlign w:val="bottom"/>
            <w:hideMark/>
          </w:tcPr>
          <w:p w14:paraId="0E7BC8A8"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2 - Infancia</w:t>
            </w:r>
          </w:p>
        </w:tc>
        <w:tc>
          <w:tcPr>
            <w:tcW w:w="623" w:type="pct"/>
            <w:tcBorders>
              <w:top w:val="single" w:sz="4" w:space="0" w:color="E2EFDA"/>
              <w:left w:val="nil"/>
              <w:bottom w:val="single" w:sz="4" w:space="0" w:color="FFFFFF"/>
              <w:right w:val="nil"/>
            </w:tcBorders>
            <w:shd w:val="clear" w:color="E2EFDA" w:fill="E2EFDA"/>
            <w:noWrap/>
            <w:vAlign w:val="bottom"/>
            <w:hideMark/>
          </w:tcPr>
          <w:p w14:paraId="3DCD80CA" w14:textId="77777777" w:rsidR="00BE58D8" w:rsidRPr="00BE58D8" w:rsidRDefault="00BE58D8" w:rsidP="00BE58D8">
            <w:pPr>
              <w:widowControl/>
              <w:autoSpaceDE/>
              <w:autoSpaceDN/>
              <w:rPr>
                <w:rFonts w:ascii="Calibri" w:eastAsia="Times New Roman" w:hAnsi="Calibri" w:cs="Calibri"/>
                <w:b/>
                <w:bCs/>
                <w:color w:val="000000"/>
                <w:lang w:val="es-CO" w:eastAsia="es-CO"/>
              </w:rPr>
            </w:pPr>
          </w:p>
        </w:tc>
        <w:tc>
          <w:tcPr>
            <w:tcW w:w="619" w:type="pct"/>
            <w:tcBorders>
              <w:top w:val="single" w:sz="4" w:space="0" w:color="E2EFDA"/>
              <w:left w:val="nil"/>
              <w:bottom w:val="single" w:sz="4" w:space="0" w:color="FFFFFF"/>
              <w:right w:val="nil"/>
            </w:tcBorders>
            <w:shd w:val="clear" w:color="E2EFDA" w:fill="E2EFDA"/>
            <w:noWrap/>
            <w:vAlign w:val="bottom"/>
            <w:hideMark/>
          </w:tcPr>
          <w:p w14:paraId="0FD2A239" w14:textId="77777777" w:rsidR="00BE58D8" w:rsidRPr="00BE58D8" w:rsidRDefault="00BE58D8" w:rsidP="00BE58D8">
            <w:pPr>
              <w:widowControl/>
              <w:autoSpaceDE/>
              <w:autoSpaceDN/>
              <w:rPr>
                <w:rFonts w:ascii="Times New Roman" w:eastAsia="Times New Roman" w:hAnsi="Times New Roman" w:cs="Times New Roman"/>
                <w:sz w:val="20"/>
                <w:szCs w:val="20"/>
                <w:lang w:val="es-CO" w:eastAsia="es-CO"/>
              </w:rPr>
            </w:pPr>
          </w:p>
        </w:tc>
        <w:tc>
          <w:tcPr>
            <w:tcW w:w="766" w:type="pct"/>
            <w:tcBorders>
              <w:top w:val="single" w:sz="4" w:space="0" w:color="E2EFDA"/>
              <w:left w:val="nil"/>
              <w:bottom w:val="single" w:sz="4" w:space="0" w:color="FFFFFF"/>
              <w:right w:val="nil"/>
            </w:tcBorders>
            <w:shd w:val="clear" w:color="E2EFDA" w:fill="E2EFDA"/>
            <w:noWrap/>
            <w:vAlign w:val="bottom"/>
            <w:hideMark/>
          </w:tcPr>
          <w:p w14:paraId="1EA61A35"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 </w:t>
            </w:r>
          </w:p>
        </w:tc>
      </w:tr>
      <w:tr w:rsidR="00BE58D8" w:rsidRPr="00BE58D8" w14:paraId="1D4CD902"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1D9667D4"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transmisibles y nutricionales</w:t>
            </w:r>
          </w:p>
        </w:tc>
        <w:tc>
          <w:tcPr>
            <w:tcW w:w="623" w:type="pct"/>
            <w:tcBorders>
              <w:top w:val="single" w:sz="4" w:space="0" w:color="E2EFDA"/>
              <w:left w:val="nil"/>
              <w:bottom w:val="single" w:sz="4" w:space="0" w:color="E2EFDA"/>
              <w:right w:val="nil"/>
            </w:tcBorders>
            <w:shd w:val="clear" w:color="auto" w:fill="auto"/>
            <w:noWrap/>
            <w:vAlign w:val="bottom"/>
            <w:hideMark/>
          </w:tcPr>
          <w:p w14:paraId="2E19E1FF"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0,47%</w:t>
            </w:r>
          </w:p>
        </w:tc>
        <w:tc>
          <w:tcPr>
            <w:tcW w:w="619" w:type="pct"/>
            <w:tcBorders>
              <w:top w:val="single" w:sz="4" w:space="0" w:color="E2EFDA"/>
              <w:left w:val="nil"/>
              <w:bottom w:val="single" w:sz="4" w:space="0" w:color="E2EFDA"/>
              <w:right w:val="nil"/>
            </w:tcBorders>
            <w:shd w:val="clear" w:color="auto" w:fill="auto"/>
            <w:noWrap/>
            <w:vAlign w:val="bottom"/>
            <w:hideMark/>
          </w:tcPr>
          <w:p w14:paraId="31FFAD08"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0,42%</w:t>
            </w:r>
          </w:p>
        </w:tc>
        <w:tc>
          <w:tcPr>
            <w:tcW w:w="766" w:type="pct"/>
            <w:tcBorders>
              <w:top w:val="single" w:sz="4" w:space="0" w:color="E2EFDA"/>
              <w:left w:val="nil"/>
              <w:bottom w:val="single" w:sz="4" w:space="0" w:color="E2EFDA"/>
              <w:right w:val="nil"/>
            </w:tcBorders>
            <w:shd w:val="clear" w:color="auto" w:fill="auto"/>
            <w:noWrap/>
            <w:vAlign w:val="bottom"/>
            <w:hideMark/>
          </w:tcPr>
          <w:p w14:paraId="389DEAFE"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-0,05%</w:t>
            </w:r>
          </w:p>
        </w:tc>
      </w:tr>
      <w:tr w:rsidR="00BE58D8" w:rsidRPr="00BE58D8" w14:paraId="35D132B6"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282DE730"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Enfermedades no transmisibles</w:t>
            </w:r>
          </w:p>
        </w:tc>
        <w:tc>
          <w:tcPr>
            <w:tcW w:w="623" w:type="pct"/>
            <w:tcBorders>
              <w:top w:val="single" w:sz="4" w:space="0" w:color="E2EFDA"/>
              <w:left w:val="nil"/>
              <w:bottom w:val="single" w:sz="4" w:space="0" w:color="E2EFDA"/>
              <w:right w:val="nil"/>
            </w:tcBorders>
            <w:shd w:val="clear" w:color="auto" w:fill="auto"/>
            <w:noWrap/>
            <w:vAlign w:val="bottom"/>
            <w:hideMark/>
          </w:tcPr>
          <w:p w14:paraId="040ADE87"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1,11%</w:t>
            </w:r>
          </w:p>
        </w:tc>
        <w:tc>
          <w:tcPr>
            <w:tcW w:w="619" w:type="pct"/>
            <w:tcBorders>
              <w:top w:val="single" w:sz="4" w:space="0" w:color="E2EFDA"/>
              <w:left w:val="nil"/>
              <w:bottom w:val="single" w:sz="4" w:space="0" w:color="E2EFDA"/>
              <w:right w:val="nil"/>
            </w:tcBorders>
            <w:shd w:val="clear" w:color="auto" w:fill="auto"/>
            <w:noWrap/>
            <w:vAlign w:val="bottom"/>
            <w:hideMark/>
          </w:tcPr>
          <w:p w14:paraId="30079C76"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1,10%</w:t>
            </w:r>
          </w:p>
        </w:tc>
        <w:tc>
          <w:tcPr>
            <w:tcW w:w="766" w:type="pct"/>
            <w:tcBorders>
              <w:top w:val="nil"/>
              <w:left w:val="nil"/>
              <w:bottom w:val="single" w:sz="4" w:space="0" w:color="E2EFDA"/>
              <w:right w:val="nil"/>
            </w:tcBorders>
            <w:shd w:val="clear" w:color="auto" w:fill="auto"/>
            <w:noWrap/>
            <w:vAlign w:val="bottom"/>
            <w:hideMark/>
          </w:tcPr>
          <w:p w14:paraId="2F0A3648"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-0,01%</w:t>
            </w:r>
          </w:p>
        </w:tc>
      </w:tr>
      <w:tr w:rsidR="00BE58D8" w:rsidRPr="00BE58D8" w14:paraId="4562012A"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35933FB1"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Lesiones</w:t>
            </w:r>
          </w:p>
        </w:tc>
        <w:tc>
          <w:tcPr>
            <w:tcW w:w="623" w:type="pct"/>
            <w:tcBorders>
              <w:top w:val="single" w:sz="4" w:space="0" w:color="E2EFDA"/>
              <w:left w:val="nil"/>
              <w:bottom w:val="single" w:sz="4" w:space="0" w:color="E2EFDA"/>
              <w:right w:val="nil"/>
            </w:tcBorders>
            <w:shd w:val="clear" w:color="auto" w:fill="auto"/>
            <w:noWrap/>
            <w:vAlign w:val="bottom"/>
            <w:hideMark/>
          </w:tcPr>
          <w:p w14:paraId="6CFF3F64"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0,06%</w:t>
            </w:r>
          </w:p>
        </w:tc>
        <w:tc>
          <w:tcPr>
            <w:tcW w:w="619" w:type="pct"/>
            <w:tcBorders>
              <w:top w:val="single" w:sz="4" w:space="0" w:color="E2EFDA"/>
              <w:left w:val="nil"/>
              <w:bottom w:val="single" w:sz="4" w:space="0" w:color="E2EFDA"/>
              <w:right w:val="nil"/>
            </w:tcBorders>
            <w:shd w:val="clear" w:color="auto" w:fill="auto"/>
            <w:noWrap/>
            <w:vAlign w:val="bottom"/>
            <w:hideMark/>
          </w:tcPr>
          <w:p w14:paraId="172FD438"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0,09%</w:t>
            </w:r>
          </w:p>
        </w:tc>
        <w:tc>
          <w:tcPr>
            <w:tcW w:w="766" w:type="pct"/>
            <w:tcBorders>
              <w:top w:val="nil"/>
              <w:left w:val="nil"/>
              <w:bottom w:val="single" w:sz="4" w:space="0" w:color="E2EFDA"/>
              <w:right w:val="nil"/>
            </w:tcBorders>
            <w:shd w:val="clear" w:color="auto" w:fill="auto"/>
            <w:noWrap/>
            <w:vAlign w:val="bottom"/>
            <w:hideMark/>
          </w:tcPr>
          <w:p w14:paraId="20ED299C"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0,03%</w:t>
            </w:r>
          </w:p>
        </w:tc>
      </w:tr>
      <w:tr w:rsidR="00BE58D8" w:rsidRPr="00BE58D8" w14:paraId="4C997C2C"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5BD38AA3" w14:textId="3884BB04"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 xml:space="preserve">Signos y </w:t>
            </w:r>
            <w:r w:rsidR="00373E0E" w:rsidRPr="00BE58D8">
              <w:rPr>
                <w:rFonts w:ascii="Calibri" w:eastAsia="Times New Roman" w:hAnsi="Calibri" w:cs="Calibri"/>
                <w:color w:val="548235"/>
                <w:lang w:val="es-CO" w:eastAsia="es-CO"/>
              </w:rPr>
              <w:t>síntomas</w:t>
            </w:r>
            <w:r w:rsidRPr="00BE58D8">
              <w:rPr>
                <w:rFonts w:ascii="Calibri" w:eastAsia="Times New Roman" w:hAnsi="Calibri" w:cs="Calibri"/>
                <w:color w:val="548235"/>
                <w:lang w:val="es-CO" w:eastAsia="es-CO"/>
              </w:rPr>
              <w:t xml:space="preserve"> mal definidos</w:t>
            </w:r>
          </w:p>
        </w:tc>
        <w:tc>
          <w:tcPr>
            <w:tcW w:w="623" w:type="pct"/>
            <w:tcBorders>
              <w:top w:val="single" w:sz="4" w:space="0" w:color="E2EFDA"/>
              <w:left w:val="nil"/>
              <w:bottom w:val="single" w:sz="4" w:space="0" w:color="E2EFDA"/>
              <w:right w:val="nil"/>
            </w:tcBorders>
            <w:shd w:val="clear" w:color="auto" w:fill="auto"/>
            <w:noWrap/>
            <w:vAlign w:val="bottom"/>
            <w:hideMark/>
          </w:tcPr>
          <w:p w14:paraId="5D7A7C02"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0,21%</w:t>
            </w:r>
          </w:p>
        </w:tc>
        <w:tc>
          <w:tcPr>
            <w:tcW w:w="619" w:type="pct"/>
            <w:tcBorders>
              <w:top w:val="single" w:sz="4" w:space="0" w:color="E2EFDA"/>
              <w:left w:val="nil"/>
              <w:bottom w:val="single" w:sz="4" w:space="0" w:color="E2EFDA"/>
              <w:right w:val="nil"/>
            </w:tcBorders>
            <w:shd w:val="clear" w:color="auto" w:fill="auto"/>
            <w:noWrap/>
            <w:vAlign w:val="bottom"/>
            <w:hideMark/>
          </w:tcPr>
          <w:p w14:paraId="3EF44F0A"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0,14%</w:t>
            </w:r>
          </w:p>
        </w:tc>
        <w:tc>
          <w:tcPr>
            <w:tcW w:w="766" w:type="pct"/>
            <w:tcBorders>
              <w:top w:val="nil"/>
              <w:left w:val="nil"/>
              <w:bottom w:val="single" w:sz="4" w:space="0" w:color="E2EFDA"/>
              <w:right w:val="nil"/>
            </w:tcBorders>
            <w:shd w:val="clear" w:color="auto" w:fill="auto"/>
            <w:noWrap/>
            <w:vAlign w:val="bottom"/>
            <w:hideMark/>
          </w:tcPr>
          <w:p w14:paraId="3D890534"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-0,07%</w:t>
            </w:r>
          </w:p>
        </w:tc>
      </w:tr>
      <w:tr w:rsidR="00BE58D8" w:rsidRPr="00BE58D8" w14:paraId="4C57C114" w14:textId="77777777" w:rsidTr="00EA2627">
        <w:trPr>
          <w:trHeight w:val="345"/>
        </w:trPr>
        <w:tc>
          <w:tcPr>
            <w:tcW w:w="2992" w:type="pct"/>
            <w:tcBorders>
              <w:top w:val="single" w:sz="4" w:space="0" w:color="C6E0B4"/>
              <w:left w:val="nil"/>
              <w:bottom w:val="single" w:sz="4" w:space="0" w:color="C6E0B4"/>
              <w:right w:val="single" w:sz="4" w:space="0" w:color="70AD47"/>
            </w:tcBorders>
            <w:shd w:val="clear" w:color="E2EFDA" w:fill="E2EFDA"/>
            <w:noWrap/>
            <w:vAlign w:val="bottom"/>
            <w:hideMark/>
          </w:tcPr>
          <w:p w14:paraId="373D8D7C"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Total 2 - Infancia</w:t>
            </w:r>
          </w:p>
        </w:tc>
        <w:tc>
          <w:tcPr>
            <w:tcW w:w="623" w:type="pct"/>
            <w:tcBorders>
              <w:top w:val="single" w:sz="4" w:space="0" w:color="C6E0B4"/>
              <w:left w:val="nil"/>
              <w:bottom w:val="single" w:sz="4" w:space="0" w:color="C6E0B4"/>
              <w:right w:val="nil"/>
            </w:tcBorders>
            <w:shd w:val="clear" w:color="E2EFDA" w:fill="E2EFDA"/>
            <w:noWrap/>
            <w:vAlign w:val="bottom"/>
            <w:hideMark/>
          </w:tcPr>
          <w:p w14:paraId="4F699E4B"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1,85%</w:t>
            </w:r>
          </w:p>
        </w:tc>
        <w:tc>
          <w:tcPr>
            <w:tcW w:w="619" w:type="pct"/>
            <w:tcBorders>
              <w:top w:val="single" w:sz="4" w:space="0" w:color="C6E0B4"/>
              <w:left w:val="nil"/>
              <w:bottom w:val="single" w:sz="4" w:space="0" w:color="C6E0B4"/>
              <w:right w:val="nil"/>
            </w:tcBorders>
            <w:shd w:val="clear" w:color="E2EFDA" w:fill="E2EFDA"/>
            <w:noWrap/>
            <w:vAlign w:val="bottom"/>
            <w:hideMark/>
          </w:tcPr>
          <w:p w14:paraId="21EA91B1"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1,76%</w:t>
            </w:r>
          </w:p>
        </w:tc>
        <w:tc>
          <w:tcPr>
            <w:tcW w:w="766" w:type="pct"/>
            <w:tcBorders>
              <w:top w:val="single" w:sz="4" w:space="0" w:color="C6E0B4"/>
              <w:left w:val="nil"/>
              <w:bottom w:val="single" w:sz="4" w:space="0" w:color="C6E0B4"/>
              <w:right w:val="nil"/>
            </w:tcBorders>
            <w:shd w:val="clear" w:color="E2EFDA" w:fill="E2EFDA"/>
            <w:noWrap/>
            <w:vAlign w:val="bottom"/>
            <w:hideMark/>
          </w:tcPr>
          <w:p w14:paraId="3EE4031A"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-0,09%</w:t>
            </w:r>
          </w:p>
        </w:tc>
      </w:tr>
      <w:tr w:rsidR="00BE58D8" w:rsidRPr="00BE58D8" w14:paraId="319CFC11" w14:textId="77777777" w:rsidTr="00EA2627">
        <w:trPr>
          <w:trHeight w:val="345"/>
        </w:trPr>
        <w:tc>
          <w:tcPr>
            <w:tcW w:w="2992" w:type="pct"/>
            <w:tcBorders>
              <w:top w:val="single" w:sz="4" w:space="0" w:color="E2EFDA"/>
              <w:left w:val="nil"/>
              <w:bottom w:val="single" w:sz="4" w:space="0" w:color="FFFFFF"/>
              <w:right w:val="single" w:sz="4" w:space="0" w:color="70AD47"/>
            </w:tcBorders>
            <w:shd w:val="clear" w:color="E2EFDA" w:fill="E2EFDA"/>
            <w:noWrap/>
            <w:vAlign w:val="bottom"/>
            <w:hideMark/>
          </w:tcPr>
          <w:p w14:paraId="5D9704CA"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3 - Adolescencia</w:t>
            </w:r>
          </w:p>
        </w:tc>
        <w:tc>
          <w:tcPr>
            <w:tcW w:w="623" w:type="pct"/>
            <w:tcBorders>
              <w:top w:val="single" w:sz="4" w:space="0" w:color="E2EFDA"/>
              <w:left w:val="nil"/>
              <w:bottom w:val="single" w:sz="4" w:space="0" w:color="FFFFFF"/>
              <w:right w:val="nil"/>
            </w:tcBorders>
            <w:shd w:val="clear" w:color="E2EFDA" w:fill="E2EFDA"/>
            <w:noWrap/>
            <w:vAlign w:val="bottom"/>
            <w:hideMark/>
          </w:tcPr>
          <w:p w14:paraId="059FA223" w14:textId="77777777" w:rsidR="00BE58D8" w:rsidRPr="00BE58D8" w:rsidRDefault="00BE58D8" w:rsidP="00BE58D8">
            <w:pPr>
              <w:widowControl/>
              <w:autoSpaceDE/>
              <w:autoSpaceDN/>
              <w:rPr>
                <w:rFonts w:ascii="Calibri" w:eastAsia="Times New Roman" w:hAnsi="Calibri" w:cs="Calibri"/>
                <w:b/>
                <w:bCs/>
                <w:color w:val="000000"/>
                <w:lang w:val="es-CO" w:eastAsia="es-CO"/>
              </w:rPr>
            </w:pPr>
          </w:p>
        </w:tc>
        <w:tc>
          <w:tcPr>
            <w:tcW w:w="619" w:type="pct"/>
            <w:tcBorders>
              <w:top w:val="single" w:sz="4" w:space="0" w:color="E2EFDA"/>
              <w:left w:val="nil"/>
              <w:bottom w:val="single" w:sz="4" w:space="0" w:color="FFFFFF"/>
              <w:right w:val="nil"/>
            </w:tcBorders>
            <w:shd w:val="clear" w:color="E2EFDA" w:fill="E2EFDA"/>
            <w:noWrap/>
            <w:vAlign w:val="bottom"/>
            <w:hideMark/>
          </w:tcPr>
          <w:p w14:paraId="581BC9A4" w14:textId="77777777" w:rsidR="00BE58D8" w:rsidRPr="00BE58D8" w:rsidRDefault="00BE58D8" w:rsidP="00BE58D8">
            <w:pPr>
              <w:widowControl/>
              <w:autoSpaceDE/>
              <w:autoSpaceDN/>
              <w:rPr>
                <w:rFonts w:ascii="Times New Roman" w:eastAsia="Times New Roman" w:hAnsi="Times New Roman" w:cs="Times New Roman"/>
                <w:sz w:val="20"/>
                <w:szCs w:val="20"/>
                <w:lang w:val="es-CO" w:eastAsia="es-CO"/>
              </w:rPr>
            </w:pPr>
          </w:p>
        </w:tc>
        <w:tc>
          <w:tcPr>
            <w:tcW w:w="766" w:type="pct"/>
            <w:tcBorders>
              <w:top w:val="single" w:sz="4" w:space="0" w:color="E2EFDA"/>
              <w:left w:val="nil"/>
              <w:bottom w:val="single" w:sz="4" w:space="0" w:color="FFFFFF"/>
              <w:right w:val="nil"/>
            </w:tcBorders>
            <w:shd w:val="clear" w:color="E2EFDA" w:fill="E2EFDA"/>
            <w:noWrap/>
            <w:vAlign w:val="bottom"/>
            <w:hideMark/>
          </w:tcPr>
          <w:p w14:paraId="3D1389DF"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 </w:t>
            </w:r>
          </w:p>
        </w:tc>
      </w:tr>
      <w:tr w:rsidR="00BE58D8" w:rsidRPr="00BE58D8" w14:paraId="0FEC7EEF"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6E7ED9A9"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transmisibles y nutricionales</w:t>
            </w:r>
          </w:p>
        </w:tc>
        <w:tc>
          <w:tcPr>
            <w:tcW w:w="623" w:type="pct"/>
            <w:tcBorders>
              <w:top w:val="single" w:sz="4" w:space="0" w:color="E2EFDA"/>
              <w:left w:val="nil"/>
              <w:bottom w:val="single" w:sz="4" w:space="0" w:color="E2EFDA"/>
              <w:right w:val="nil"/>
            </w:tcBorders>
            <w:shd w:val="clear" w:color="auto" w:fill="auto"/>
            <w:noWrap/>
            <w:vAlign w:val="bottom"/>
            <w:hideMark/>
          </w:tcPr>
          <w:p w14:paraId="13711F29"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0,66%</w:t>
            </w:r>
          </w:p>
        </w:tc>
        <w:tc>
          <w:tcPr>
            <w:tcW w:w="619" w:type="pct"/>
            <w:tcBorders>
              <w:top w:val="single" w:sz="4" w:space="0" w:color="E2EFDA"/>
              <w:left w:val="nil"/>
              <w:bottom w:val="single" w:sz="4" w:space="0" w:color="E2EFDA"/>
              <w:right w:val="nil"/>
            </w:tcBorders>
            <w:shd w:val="clear" w:color="auto" w:fill="auto"/>
            <w:noWrap/>
            <w:vAlign w:val="bottom"/>
            <w:hideMark/>
          </w:tcPr>
          <w:p w14:paraId="75C5179F"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0,93%</w:t>
            </w:r>
          </w:p>
        </w:tc>
        <w:tc>
          <w:tcPr>
            <w:tcW w:w="766" w:type="pct"/>
            <w:tcBorders>
              <w:top w:val="single" w:sz="4" w:space="0" w:color="E2EFDA"/>
              <w:left w:val="nil"/>
              <w:bottom w:val="single" w:sz="4" w:space="0" w:color="E2EFDA"/>
              <w:right w:val="nil"/>
            </w:tcBorders>
            <w:shd w:val="clear" w:color="auto" w:fill="auto"/>
            <w:noWrap/>
            <w:vAlign w:val="bottom"/>
            <w:hideMark/>
          </w:tcPr>
          <w:p w14:paraId="252823A7"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0,26%</w:t>
            </w:r>
          </w:p>
        </w:tc>
      </w:tr>
      <w:tr w:rsidR="00BE58D8" w:rsidRPr="00BE58D8" w14:paraId="024460F0"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7ECE5250"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Enfermedades no transmisibles</w:t>
            </w:r>
          </w:p>
        </w:tc>
        <w:tc>
          <w:tcPr>
            <w:tcW w:w="623" w:type="pct"/>
            <w:tcBorders>
              <w:top w:val="single" w:sz="4" w:space="0" w:color="E2EFDA"/>
              <w:left w:val="nil"/>
              <w:bottom w:val="single" w:sz="4" w:space="0" w:color="E2EFDA"/>
              <w:right w:val="nil"/>
            </w:tcBorders>
            <w:shd w:val="clear" w:color="auto" w:fill="auto"/>
            <w:noWrap/>
            <w:vAlign w:val="bottom"/>
            <w:hideMark/>
          </w:tcPr>
          <w:p w14:paraId="4C38CFCE"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2,42%</w:t>
            </w:r>
          </w:p>
        </w:tc>
        <w:tc>
          <w:tcPr>
            <w:tcW w:w="619" w:type="pct"/>
            <w:tcBorders>
              <w:top w:val="single" w:sz="4" w:space="0" w:color="E2EFDA"/>
              <w:left w:val="nil"/>
              <w:bottom w:val="single" w:sz="4" w:space="0" w:color="E2EFDA"/>
              <w:right w:val="nil"/>
            </w:tcBorders>
            <w:shd w:val="clear" w:color="auto" w:fill="auto"/>
            <w:noWrap/>
            <w:vAlign w:val="bottom"/>
            <w:hideMark/>
          </w:tcPr>
          <w:p w14:paraId="3A88FEB5"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2,64%</w:t>
            </w:r>
          </w:p>
        </w:tc>
        <w:tc>
          <w:tcPr>
            <w:tcW w:w="766" w:type="pct"/>
            <w:tcBorders>
              <w:top w:val="nil"/>
              <w:left w:val="nil"/>
              <w:bottom w:val="single" w:sz="4" w:space="0" w:color="E2EFDA"/>
              <w:right w:val="nil"/>
            </w:tcBorders>
            <w:shd w:val="clear" w:color="auto" w:fill="auto"/>
            <w:noWrap/>
            <w:vAlign w:val="bottom"/>
            <w:hideMark/>
          </w:tcPr>
          <w:p w14:paraId="34A03CAC"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0,22%</w:t>
            </w:r>
          </w:p>
        </w:tc>
      </w:tr>
      <w:tr w:rsidR="00BE58D8" w:rsidRPr="00BE58D8" w14:paraId="2B647480"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1447917C"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Lesiones</w:t>
            </w:r>
          </w:p>
        </w:tc>
        <w:tc>
          <w:tcPr>
            <w:tcW w:w="623" w:type="pct"/>
            <w:tcBorders>
              <w:top w:val="single" w:sz="4" w:space="0" w:color="E2EFDA"/>
              <w:left w:val="nil"/>
              <w:bottom w:val="single" w:sz="4" w:space="0" w:color="E2EFDA"/>
              <w:right w:val="nil"/>
            </w:tcBorders>
            <w:shd w:val="clear" w:color="auto" w:fill="auto"/>
            <w:noWrap/>
            <w:vAlign w:val="bottom"/>
            <w:hideMark/>
          </w:tcPr>
          <w:p w14:paraId="18A501AB"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0,14%</w:t>
            </w:r>
          </w:p>
        </w:tc>
        <w:tc>
          <w:tcPr>
            <w:tcW w:w="619" w:type="pct"/>
            <w:tcBorders>
              <w:top w:val="single" w:sz="4" w:space="0" w:color="E2EFDA"/>
              <w:left w:val="nil"/>
              <w:bottom w:val="single" w:sz="4" w:space="0" w:color="E2EFDA"/>
              <w:right w:val="nil"/>
            </w:tcBorders>
            <w:shd w:val="clear" w:color="auto" w:fill="auto"/>
            <w:noWrap/>
            <w:vAlign w:val="bottom"/>
            <w:hideMark/>
          </w:tcPr>
          <w:p w14:paraId="0D3DA968"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0,13%</w:t>
            </w:r>
          </w:p>
        </w:tc>
        <w:tc>
          <w:tcPr>
            <w:tcW w:w="766" w:type="pct"/>
            <w:tcBorders>
              <w:top w:val="nil"/>
              <w:left w:val="nil"/>
              <w:bottom w:val="single" w:sz="4" w:space="0" w:color="E2EFDA"/>
              <w:right w:val="nil"/>
            </w:tcBorders>
            <w:shd w:val="clear" w:color="auto" w:fill="auto"/>
            <w:noWrap/>
            <w:vAlign w:val="bottom"/>
            <w:hideMark/>
          </w:tcPr>
          <w:p w14:paraId="1198BBAC"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-0,01%</w:t>
            </w:r>
          </w:p>
        </w:tc>
      </w:tr>
      <w:tr w:rsidR="00BE58D8" w:rsidRPr="00BE58D8" w14:paraId="2123C815"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47D6231F" w14:textId="4E9DE816"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 xml:space="preserve">Signos y </w:t>
            </w:r>
            <w:r w:rsidR="00373E0E" w:rsidRPr="00BE58D8">
              <w:rPr>
                <w:rFonts w:ascii="Calibri" w:eastAsia="Times New Roman" w:hAnsi="Calibri" w:cs="Calibri"/>
                <w:color w:val="548235"/>
                <w:lang w:val="es-CO" w:eastAsia="es-CO"/>
              </w:rPr>
              <w:t>síntomas</w:t>
            </w:r>
            <w:r w:rsidRPr="00BE58D8">
              <w:rPr>
                <w:rFonts w:ascii="Calibri" w:eastAsia="Times New Roman" w:hAnsi="Calibri" w:cs="Calibri"/>
                <w:color w:val="548235"/>
                <w:lang w:val="es-CO" w:eastAsia="es-CO"/>
              </w:rPr>
              <w:t xml:space="preserve"> mal definidos</w:t>
            </w:r>
          </w:p>
        </w:tc>
        <w:tc>
          <w:tcPr>
            <w:tcW w:w="623" w:type="pct"/>
            <w:tcBorders>
              <w:top w:val="single" w:sz="4" w:space="0" w:color="E2EFDA"/>
              <w:left w:val="nil"/>
              <w:bottom w:val="single" w:sz="4" w:space="0" w:color="E2EFDA"/>
              <w:right w:val="nil"/>
            </w:tcBorders>
            <w:shd w:val="clear" w:color="auto" w:fill="auto"/>
            <w:noWrap/>
            <w:vAlign w:val="bottom"/>
            <w:hideMark/>
          </w:tcPr>
          <w:p w14:paraId="7D0E472E"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0,27%</w:t>
            </w:r>
          </w:p>
        </w:tc>
        <w:tc>
          <w:tcPr>
            <w:tcW w:w="619" w:type="pct"/>
            <w:tcBorders>
              <w:top w:val="single" w:sz="4" w:space="0" w:color="E2EFDA"/>
              <w:left w:val="nil"/>
              <w:bottom w:val="single" w:sz="4" w:space="0" w:color="E2EFDA"/>
              <w:right w:val="nil"/>
            </w:tcBorders>
            <w:shd w:val="clear" w:color="auto" w:fill="auto"/>
            <w:noWrap/>
            <w:vAlign w:val="bottom"/>
            <w:hideMark/>
          </w:tcPr>
          <w:p w14:paraId="27CDB7A2"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0,33%</w:t>
            </w:r>
          </w:p>
        </w:tc>
        <w:tc>
          <w:tcPr>
            <w:tcW w:w="766" w:type="pct"/>
            <w:tcBorders>
              <w:top w:val="nil"/>
              <w:left w:val="nil"/>
              <w:bottom w:val="single" w:sz="4" w:space="0" w:color="E2EFDA"/>
              <w:right w:val="nil"/>
            </w:tcBorders>
            <w:shd w:val="clear" w:color="auto" w:fill="auto"/>
            <w:noWrap/>
            <w:vAlign w:val="bottom"/>
            <w:hideMark/>
          </w:tcPr>
          <w:p w14:paraId="1A0A8883"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0,05%</w:t>
            </w:r>
          </w:p>
        </w:tc>
      </w:tr>
      <w:tr w:rsidR="00BE58D8" w:rsidRPr="00BE58D8" w14:paraId="2F93C4F0" w14:textId="77777777" w:rsidTr="00EA2627">
        <w:trPr>
          <w:trHeight w:val="345"/>
        </w:trPr>
        <w:tc>
          <w:tcPr>
            <w:tcW w:w="2992" w:type="pct"/>
            <w:tcBorders>
              <w:top w:val="single" w:sz="4" w:space="0" w:color="C6E0B4"/>
              <w:left w:val="nil"/>
              <w:bottom w:val="single" w:sz="4" w:space="0" w:color="C6E0B4"/>
              <w:right w:val="single" w:sz="4" w:space="0" w:color="70AD47"/>
            </w:tcBorders>
            <w:shd w:val="clear" w:color="E2EFDA" w:fill="E2EFDA"/>
            <w:noWrap/>
            <w:vAlign w:val="bottom"/>
            <w:hideMark/>
          </w:tcPr>
          <w:p w14:paraId="74BF93D5"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lastRenderedPageBreak/>
              <w:t>Total 3 - Adolescencia</w:t>
            </w:r>
          </w:p>
        </w:tc>
        <w:tc>
          <w:tcPr>
            <w:tcW w:w="623" w:type="pct"/>
            <w:tcBorders>
              <w:top w:val="single" w:sz="4" w:space="0" w:color="C6E0B4"/>
              <w:left w:val="nil"/>
              <w:bottom w:val="single" w:sz="4" w:space="0" w:color="C6E0B4"/>
              <w:right w:val="nil"/>
            </w:tcBorders>
            <w:shd w:val="clear" w:color="E2EFDA" w:fill="E2EFDA"/>
            <w:noWrap/>
            <w:vAlign w:val="bottom"/>
            <w:hideMark/>
          </w:tcPr>
          <w:p w14:paraId="74975A25"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3,49%</w:t>
            </w:r>
          </w:p>
        </w:tc>
        <w:tc>
          <w:tcPr>
            <w:tcW w:w="619" w:type="pct"/>
            <w:tcBorders>
              <w:top w:val="single" w:sz="4" w:space="0" w:color="C6E0B4"/>
              <w:left w:val="nil"/>
              <w:bottom w:val="single" w:sz="4" w:space="0" w:color="C6E0B4"/>
              <w:right w:val="nil"/>
            </w:tcBorders>
            <w:shd w:val="clear" w:color="E2EFDA" w:fill="E2EFDA"/>
            <w:noWrap/>
            <w:vAlign w:val="bottom"/>
            <w:hideMark/>
          </w:tcPr>
          <w:p w14:paraId="6D6A42BD"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4,02%</w:t>
            </w:r>
          </w:p>
        </w:tc>
        <w:tc>
          <w:tcPr>
            <w:tcW w:w="766" w:type="pct"/>
            <w:tcBorders>
              <w:top w:val="single" w:sz="4" w:space="0" w:color="C6E0B4"/>
              <w:left w:val="nil"/>
              <w:bottom w:val="single" w:sz="4" w:space="0" w:color="C6E0B4"/>
              <w:right w:val="nil"/>
            </w:tcBorders>
            <w:shd w:val="clear" w:color="E2EFDA" w:fill="E2EFDA"/>
            <w:noWrap/>
            <w:vAlign w:val="bottom"/>
            <w:hideMark/>
          </w:tcPr>
          <w:p w14:paraId="208F2BE5"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0,53%</w:t>
            </w:r>
          </w:p>
        </w:tc>
      </w:tr>
      <w:tr w:rsidR="00BE58D8" w:rsidRPr="00BE58D8" w14:paraId="0FD218C7" w14:textId="77777777" w:rsidTr="00EA2627">
        <w:trPr>
          <w:trHeight w:val="345"/>
        </w:trPr>
        <w:tc>
          <w:tcPr>
            <w:tcW w:w="2992" w:type="pct"/>
            <w:tcBorders>
              <w:top w:val="single" w:sz="4" w:space="0" w:color="E2EFDA"/>
              <w:left w:val="nil"/>
              <w:bottom w:val="single" w:sz="4" w:space="0" w:color="FFFFFF"/>
              <w:right w:val="single" w:sz="4" w:space="0" w:color="70AD47"/>
            </w:tcBorders>
            <w:shd w:val="clear" w:color="E2EFDA" w:fill="E2EFDA"/>
            <w:noWrap/>
            <w:vAlign w:val="bottom"/>
            <w:hideMark/>
          </w:tcPr>
          <w:p w14:paraId="52F6EF5F"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4 - Juventud</w:t>
            </w:r>
          </w:p>
        </w:tc>
        <w:tc>
          <w:tcPr>
            <w:tcW w:w="623" w:type="pct"/>
            <w:tcBorders>
              <w:top w:val="single" w:sz="4" w:space="0" w:color="E2EFDA"/>
              <w:left w:val="nil"/>
              <w:bottom w:val="single" w:sz="4" w:space="0" w:color="FFFFFF"/>
              <w:right w:val="nil"/>
            </w:tcBorders>
            <w:shd w:val="clear" w:color="E2EFDA" w:fill="E2EFDA"/>
            <w:noWrap/>
            <w:vAlign w:val="bottom"/>
            <w:hideMark/>
          </w:tcPr>
          <w:p w14:paraId="6649F497" w14:textId="77777777" w:rsidR="00BE58D8" w:rsidRPr="00BE58D8" w:rsidRDefault="00BE58D8" w:rsidP="00BE58D8">
            <w:pPr>
              <w:widowControl/>
              <w:autoSpaceDE/>
              <w:autoSpaceDN/>
              <w:rPr>
                <w:rFonts w:ascii="Calibri" w:eastAsia="Times New Roman" w:hAnsi="Calibri" w:cs="Calibri"/>
                <w:b/>
                <w:bCs/>
                <w:color w:val="000000"/>
                <w:lang w:val="es-CO" w:eastAsia="es-CO"/>
              </w:rPr>
            </w:pPr>
          </w:p>
        </w:tc>
        <w:tc>
          <w:tcPr>
            <w:tcW w:w="619" w:type="pct"/>
            <w:tcBorders>
              <w:top w:val="single" w:sz="4" w:space="0" w:color="E2EFDA"/>
              <w:left w:val="nil"/>
              <w:bottom w:val="single" w:sz="4" w:space="0" w:color="FFFFFF"/>
              <w:right w:val="nil"/>
            </w:tcBorders>
            <w:shd w:val="clear" w:color="E2EFDA" w:fill="E2EFDA"/>
            <w:noWrap/>
            <w:vAlign w:val="bottom"/>
            <w:hideMark/>
          </w:tcPr>
          <w:p w14:paraId="3E391FF8" w14:textId="77777777" w:rsidR="00BE58D8" w:rsidRPr="00BE58D8" w:rsidRDefault="00BE58D8" w:rsidP="00BE58D8">
            <w:pPr>
              <w:widowControl/>
              <w:autoSpaceDE/>
              <w:autoSpaceDN/>
              <w:rPr>
                <w:rFonts w:ascii="Times New Roman" w:eastAsia="Times New Roman" w:hAnsi="Times New Roman" w:cs="Times New Roman"/>
                <w:sz w:val="20"/>
                <w:szCs w:val="20"/>
                <w:lang w:val="es-CO" w:eastAsia="es-CO"/>
              </w:rPr>
            </w:pPr>
          </w:p>
        </w:tc>
        <w:tc>
          <w:tcPr>
            <w:tcW w:w="766" w:type="pct"/>
            <w:tcBorders>
              <w:top w:val="single" w:sz="4" w:space="0" w:color="E2EFDA"/>
              <w:left w:val="nil"/>
              <w:bottom w:val="single" w:sz="4" w:space="0" w:color="FFFFFF"/>
              <w:right w:val="nil"/>
            </w:tcBorders>
            <w:shd w:val="clear" w:color="E2EFDA" w:fill="E2EFDA"/>
            <w:noWrap/>
            <w:vAlign w:val="bottom"/>
            <w:hideMark/>
          </w:tcPr>
          <w:p w14:paraId="308C4223"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 </w:t>
            </w:r>
          </w:p>
        </w:tc>
      </w:tr>
      <w:tr w:rsidR="00BE58D8" w:rsidRPr="00BE58D8" w14:paraId="6C231BB3"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0A0D3887"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maternas perinatales</w:t>
            </w:r>
          </w:p>
        </w:tc>
        <w:tc>
          <w:tcPr>
            <w:tcW w:w="623" w:type="pct"/>
            <w:tcBorders>
              <w:top w:val="single" w:sz="4" w:space="0" w:color="E2EFDA"/>
              <w:left w:val="nil"/>
              <w:bottom w:val="single" w:sz="4" w:space="0" w:color="E2EFDA"/>
              <w:right w:val="nil"/>
            </w:tcBorders>
            <w:shd w:val="clear" w:color="auto" w:fill="auto"/>
            <w:noWrap/>
            <w:vAlign w:val="bottom"/>
            <w:hideMark/>
          </w:tcPr>
          <w:p w14:paraId="383E494B"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0,00%</w:t>
            </w:r>
          </w:p>
        </w:tc>
        <w:tc>
          <w:tcPr>
            <w:tcW w:w="619" w:type="pct"/>
            <w:tcBorders>
              <w:top w:val="single" w:sz="4" w:space="0" w:color="E2EFDA"/>
              <w:left w:val="nil"/>
              <w:bottom w:val="single" w:sz="4" w:space="0" w:color="E2EFDA"/>
              <w:right w:val="nil"/>
            </w:tcBorders>
            <w:shd w:val="clear" w:color="auto" w:fill="auto"/>
            <w:noWrap/>
            <w:vAlign w:val="bottom"/>
            <w:hideMark/>
          </w:tcPr>
          <w:p w14:paraId="488E8934"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0,01%</w:t>
            </w:r>
          </w:p>
        </w:tc>
        <w:tc>
          <w:tcPr>
            <w:tcW w:w="766" w:type="pct"/>
            <w:tcBorders>
              <w:top w:val="single" w:sz="4" w:space="0" w:color="E2EFDA"/>
              <w:left w:val="nil"/>
              <w:bottom w:val="single" w:sz="4" w:space="0" w:color="E2EFDA"/>
              <w:right w:val="nil"/>
            </w:tcBorders>
            <w:shd w:val="clear" w:color="auto" w:fill="auto"/>
            <w:noWrap/>
            <w:vAlign w:val="bottom"/>
            <w:hideMark/>
          </w:tcPr>
          <w:p w14:paraId="1F326A42"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0,01%</w:t>
            </w:r>
          </w:p>
        </w:tc>
      </w:tr>
      <w:tr w:rsidR="00BE58D8" w:rsidRPr="00BE58D8" w14:paraId="7D5F8C96"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19EA84EF"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transmisibles y nutricionales</w:t>
            </w:r>
          </w:p>
        </w:tc>
        <w:tc>
          <w:tcPr>
            <w:tcW w:w="623" w:type="pct"/>
            <w:tcBorders>
              <w:top w:val="single" w:sz="4" w:space="0" w:color="E2EFDA"/>
              <w:left w:val="nil"/>
              <w:bottom w:val="single" w:sz="4" w:space="0" w:color="E2EFDA"/>
              <w:right w:val="nil"/>
            </w:tcBorders>
            <w:shd w:val="clear" w:color="auto" w:fill="auto"/>
            <w:noWrap/>
            <w:vAlign w:val="bottom"/>
            <w:hideMark/>
          </w:tcPr>
          <w:p w14:paraId="54FA95AC"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1,01%</w:t>
            </w:r>
          </w:p>
        </w:tc>
        <w:tc>
          <w:tcPr>
            <w:tcW w:w="619" w:type="pct"/>
            <w:tcBorders>
              <w:top w:val="single" w:sz="4" w:space="0" w:color="E2EFDA"/>
              <w:left w:val="nil"/>
              <w:bottom w:val="single" w:sz="4" w:space="0" w:color="E2EFDA"/>
              <w:right w:val="nil"/>
            </w:tcBorders>
            <w:shd w:val="clear" w:color="auto" w:fill="auto"/>
            <w:noWrap/>
            <w:vAlign w:val="bottom"/>
            <w:hideMark/>
          </w:tcPr>
          <w:p w14:paraId="2C4CC0F3"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1,52%</w:t>
            </w:r>
          </w:p>
        </w:tc>
        <w:tc>
          <w:tcPr>
            <w:tcW w:w="766" w:type="pct"/>
            <w:tcBorders>
              <w:top w:val="nil"/>
              <w:left w:val="nil"/>
              <w:bottom w:val="single" w:sz="4" w:space="0" w:color="E2EFDA"/>
              <w:right w:val="nil"/>
            </w:tcBorders>
            <w:shd w:val="clear" w:color="auto" w:fill="auto"/>
            <w:noWrap/>
            <w:vAlign w:val="bottom"/>
            <w:hideMark/>
          </w:tcPr>
          <w:p w14:paraId="1792FF79"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0,51%</w:t>
            </w:r>
          </w:p>
        </w:tc>
      </w:tr>
      <w:tr w:rsidR="00BE58D8" w:rsidRPr="00BE58D8" w14:paraId="2C6295CE"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55A14935"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Enfermedades no transmisibles</w:t>
            </w:r>
          </w:p>
        </w:tc>
        <w:tc>
          <w:tcPr>
            <w:tcW w:w="623" w:type="pct"/>
            <w:tcBorders>
              <w:top w:val="single" w:sz="4" w:space="0" w:color="E2EFDA"/>
              <w:left w:val="nil"/>
              <w:bottom w:val="single" w:sz="4" w:space="0" w:color="E2EFDA"/>
              <w:right w:val="nil"/>
            </w:tcBorders>
            <w:shd w:val="clear" w:color="auto" w:fill="auto"/>
            <w:noWrap/>
            <w:vAlign w:val="bottom"/>
            <w:hideMark/>
          </w:tcPr>
          <w:p w14:paraId="278253B1"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4,78%</w:t>
            </w:r>
          </w:p>
        </w:tc>
        <w:tc>
          <w:tcPr>
            <w:tcW w:w="619" w:type="pct"/>
            <w:tcBorders>
              <w:top w:val="single" w:sz="4" w:space="0" w:color="E2EFDA"/>
              <w:left w:val="nil"/>
              <w:bottom w:val="single" w:sz="4" w:space="0" w:color="E2EFDA"/>
              <w:right w:val="nil"/>
            </w:tcBorders>
            <w:shd w:val="clear" w:color="auto" w:fill="auto"/>
            <w:noWrap/>
            <w:vAlign w:val="bottom"/>
            <w:hideMark/>
          </w:tcPr>
          <w:p w14:paraId="4DD1742F"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5,30%</w:t>
            </w:r>
          </w:p>
        </w:tc>
        <w:tc>
          <w:tcPr>
            <w:tcW w:w="766" w:type="pct"/>
            <w:tcBorders>
              <w:top w:val="nil"/>
              <w:left w:val="nil"/>
              <w:bottom w:val="single" w:sz="4" w:space="0" w:color="E2EFDA"/>
              <w:right w:val="nil"/>
            </w:tcBorders>
            <w:shd w:val="clear" w:color="auto" w:fill="auto"/>
            <w:noWrap/>
            <w:vAlign w:val="bottom"/>
            <w:hideMark/>
          </w:tcPr>
          <w:p w14:paraId="77630277"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0,52%</w:t>
            </w:r>
          </w:p>
        </w:tc>
      </w:tr>
      <w:tr w:rsidR="00BE58D8" w:rsidRPr="00BE58D8" w14:paraId="0C5679D1"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5D19BC00"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Lesiones</w:t>
            </w:r>
          </w:p>
        </w:tc>
        <w:tc>
          <w:tcPr>
            <w:tcW w:w="623" w:type="pct"/>
            <w:tcBorders>
              <w:top w:val="single" w:sz="4" w:space="0" w:color="E2EFDA"/>
              <w:left w:val="nil"/>
              <w:bottom w:val="single" w:sz="4" w:space="0" w:color="E2EFDA"/>
              <w:right w:val="nil"/>
            </w:tcBorders>
            <w:shd w:val="clear" w:color="auto" w:fill="auto"/>
            <w:noWrap/>
            <w:vAlign w:val="bottom"/>
            <w:hideMark/>
          </w:tcPr>
          <w:p w14:paraId="3F4E46BC"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0,41%</w:t>
            </w:r>
          </w:p>
        </w:tc>
        <w:tc>
          <w:tcPr>
            <w:tcW w:w="619" w:type="pct"/>
            <w:tcBorders>
              <w:top w:val="single" w:sz="4" w:space="0" w:color="E2EFDA"/>
              <w:left w:val="nil"/>
              <w:bottom w:val="single" w:sz="4" w:space="0" w:color="E2EFDA"/>
              <w:right w:val="nil"/>
            </w:tcBorders>
            <w:shd w:val="clear" w:color="auto" w:fill="auto"/>
            <w:noWrap/>
            <w:vAlign w:val="bottom"/>
            <w:hideMark/>
          </w:tcPr>
          <w:p w14:paraId="38FC6201"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0,25%</w:t>
            </w:r>
          </w:p>
        </w:tc>
        <w:tc>
          <w:tcPr>
            <w:tcW w:w="766" w:type="pct"/>
            <w:tcBorders>
              <w:top w:val="nil"/>
              <w:left w:val="nil"/>
              <w:bottom w:val="single" w:sz="4" w:space="0" w:color="E2EFDA"/>
              <w:right w:val="nil"/>
            </w:tcBorders>
            <w:shd w:val="clear" w:color="auto" w:fill="auto"/>
            <w:noWrap/>
            <w:vAlign w:val="bottom"/>
            <w:hideMark/>
          </w:tcPr>
          <w:p w14:paraId="454893AF"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-0,16%</w:t>
            </w:r>
          </w:p>
        </w:tc>
      </w:tr>
      <w:tr w:rsidR="00BE58D8" w:rsidRPr="00BE58D8" w14:paraId="147173C8"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6C8C0736" w14:textId="3D00FB03"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 xml:space="preserve">Signos y </w:t>
            </w:r>
            <w:r w:rsidR="00373E0E" w:rsidRPr="00BE58D8">
              <w:rPr>
                <w:rFonts w:ascii="Calibri" w:eastAsia="Times New Roman" w:hAnsi="Calibri" w:cs="Calibri"/>
                <w:color w:val="548235"/>
                <w:lang w:val="es-CO" w:eastAsia="es-CO"/>
              </w:rPr>
              <w:t>síntomas</w:t>
            </w:r>
            <w:r w:rsidRPr="00BE58D8">
              <w:rPr>
                <w:rFonts w:ascii="Calibri" w:eastAsia="Times New Roman" w:hAnsi="Calibri" w:cs="Calibri"/>
                <w:color w:val="548235"/>
                <w:lang w:val="es-CO" w:eastAsia="es-CO"/>
              </w:rPr>
              <w:t xml:space="preserve"> mal definidos</w:t>
            </w:r>
          </w:p>
        </w:tc>
        <w:tc>
          <w:tcPr>
            <w:tcW w:w="623" w:type="pct"/>
            <w:tcBorders>
              <w:top w:val="single" w:sz="4" w:space="0" w:color="E2EFDA"/>
              <w:left w:val="nil"/>
              <w:bottom w:val="single" w:sz="4" w:space="0" w:color="E2EFDA"/>
              <w:right w:val="nil"/>
            </w:tcBorders>
            <w:shd w:val="clear" w:color="auto" w:fill="auto"/>
            <w:noWrap/>
            <w:vAlign w:val="bottom"/>
            <w:hideMark/>
          </w:tcPr>
          <w:p w14:paraId="52FD9CF9"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0,42%</w:t>
            </w:r>
          </w:p>
        </w:tc>
        <w:tc>
          <w:tcPr>
            <w:tcW w:w="619" w:type="pct"/>
            <w:tcBorders>
              <w:top w:val="single" w:sz="4" w:space="0" w:color="E2EFDA"/>
              <w:left w:val="nil"/>
              <w:bottom w:val="single" w:sz="4" w:space="0" w:color="E2EFDA"/>
              <w:right w:val="nil"/>
            </w:tcBorders>
            <w:shd w:val="clear" w:color="auto" w:fill="auto"/>
            <w:noWrap/>
            <w:vAlign w:val="bottom"/>
            <w:hideMark/>
          </w:tcPr>
          <w:p w14:paraId="667BEE1F"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0,43%</w:t>
            </w:r>
          </w:p>
        </w:tc>
        <w:tc>
          <w:tcPr>
            <w:tcW w:w="766" w:type="pct"/>
            <w:tcBorders>
              <w:top w:val="nil"/>
              <w:left w:val="nil"/>
              <w:bottom w:val="single" w:sz="4" w:space="0" w:color="E2EFDA"/>
              <w:right w:val="nil"/>
            </w:tcBorders>
            <w:shd w:val="clear" w:color="auto" w:fill="auto"/>
            <w:noWrap/>
            <w:vAlign w:val="bottom"/>
            <w:hideMark/>
          </w:tcPr>
          <w:p w14:paraId="3B6B0A28"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0,01%</w:t>
            </w:r>
          </w:p>
        </w:tc>
      </w:tr>
      <w:tr w:rsidR="00BE58D8" w:rsidRPr="00BE58D8" w14:paraId="08B30331" w14:textId="77777777" w:rsidTr="00EA2627">
        <w:trPr>
          <w:trHeight w:val="345"/>
        </w:trPr>
        <w:tc>
          <w:tcPr>
            <w:tcW w:w="2992" w:type="pct"/>
            <w:tcBorders>
              <w:top w:val="single" w:sz="4" w:space="0" w:color="C6E0B4"/>
              <w:left w:val="nil"/>
              <w:bottom w:val="single" w:sz="4" w:space="0" w:color="C6E0B4"/>
              <w:right w:val="single" w:sz="4" w:space="0" w:color="70AD47"/>
            </w:tcBorders>
            <w:shd w:val="clear" w:color="E2EFDA" w:fill="E2EFDA"/>
            <w:noWrap/>
            <w:vAlign w:val="bottom"/>
            <w:hideMark/>
          </w:tcPr>
          <w:p w14:paraId="5F736B90"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Total 4 - Juventud</w:t>
            </w:r>
          </w:p>
        </w:tc>
        <w:tc>
          <w:tcPr>
            <w:tcW w:w="623" w:type="pct"/>
            <w:tcBorders>
              <w:top w:val="single" w:sz="4" w:space="0" w:color="C6E0B4"/>
              <w:left w:val="nil"/>
              <w:bottom w:val="single" w:sz="4" w:space="0" w:color="C6E0B4"/>
              <w:right w:val="nil"/>
            </w:tcBorders>
            <w:shd w:val="clear" w:color="E2EFDA" w:fill="E2EFDA"/>
            <w:noWrap/>
            <w:vAlign w:val="bottom"/>
            <w:hideMark/>
          </w:tcPr>
          <w:p w14:paraId="69F25E15"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6,61%</w:t>
            </w:r>
          </w:p>
        </w:tc>
        <w:tc>
          <w:tcPr>
            <w:tcW w:w="619" w:type="pct"/>
            <w:tcBorders>
              <w:top w:val="single" w:sz="4" w:space="0" w:color="C6E0B4"/>
              <w:left w:val="nil"/>
              <w:bottom w:val="single" w:sz="4" w:space="0" w:color="C6E0B4"/>
              <w:right w:val="nil"/>
            </w:tcBorders>
            <w:shd w:val="clear" w:color="E2EFDA" w:fill="E2EFDA"/>
            <w:noWrap/>
            <w:vAlign w:val="bottom"/>
            <w:hideMark/>
          </w:tcPr>
          <w:p w14:paraId="1210459E"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7,51%</w:t>
            </w:r>
          </w:p>
        </w:tc>
        <w:tc>
          <w:tcPr>
            <w:tcW w:w="766" w:type="pct"/>
            <w:tcBorders>
              <w:top w:val="single" w:sz="4" w:space="0" w:color="C6E0B4"/>
              <w:left w:val="nil"/>
              <w:bottom w:val="single" w:sz="4" w:space="0" w:color="C6E0B4"/>
              <w:right w:val="nil"/>
            </w:tcBorders>
            <w:shd w:val="clear" w:color="E2EFDA" w:fill="E2EFDA"/>
            <w:noWrap/>
            <w:vAlign w:val="bottom"/>
            <w:hideMark/>
          </w:tcPr>
          <w:p w14:paraId="154B66CA"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0,90%</w:t>
            </w:r>
          </w:p>
        </w:tc>
      </w:tr>
      <w:tr w:rsidR="00BE58D8" w:rsidRPr="00BE58D8" w14:paraId="0E181044" w14:textId="77777777" w:rsidTr="00EA2627">
        <w:trPr>
          <w:trHeight w:val="345"/>
        </w:trPr>
        <w:tc>
          <w:tcPr>
            <w:tcW w:w="2992" w:type="pct"/>
            <w:tcBorders>
              <w:top w:val="single" w:sz="4" w:space="0" w:color="E2EFDA"/>
              <w:left w:val="nil"/>
              <w:bottom w:val="single" w:sz="4" w:space="0" w:color="FFFFFF"/>
              <w:right w:val="single" w:sz="4" w:space="0" w:color="70AD47"/>
            </w:tcBorders>
            <w:shd w:val="clear" w:color="E2EFDA" w:fill="E2EFDA"/>
            <w:noWrap/>
            <w:vAlign w:val="bottom"/>
            <w:hideMark/>
          </w:tcPr>
          <w:p w14:paraId="568E1DEE"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5 - Adultez</w:t>
            </w:r>
          </w:p>
        </w:tc>
        <w:tc>
          <w:tcPr>
            <w:tcW w:w="623" w:type="pct"/>
            <w:tcBorders>
              <w:top w:val="single" w:sz="4" w:space="0" w:color="E2EFDA"/>
              <w:left w:val="nil"/>
              <w:bottom w:val="single" w:sz="4" w:space="0" w:color="FFFFFF"/>
              <w:right w:val="nil"/>
            </w:tcBorders>
            <w:shd w:val="clear" w:color="E2EFDA" w:fill="E2EFDA"/>
            <w:noWrap/>
            <w:vAlign w:val="bottom"/>
            <w:hideMark/>
          </w:tcPr>
          <w:p w14:paraId="251F16F8" w14:textId="77777777" w:rsidR="00BE58D8" w:rsidRPr="00BE58D8" w:rsidRDefault="00BE58D8" w:rsidP="00BE58D8">
            <w:pPr>
              <w:widowControl/>
              <w:autoSpaceDE/>
              <w:autoSpaceDN/>
              <w:rPr>
                <w:rFonts w:ascii="Calibri" w:eastAsia="Times New Roman" w:hAnsi="Calibri" w:cs="Calibri"/>
                <w:b/>
                <w:bCs/>
                <w:color w:val="000000"/>
                <w:lang w:val="es-CO" w:eastAsia="es-CO"/>
              </w:rPr>
            </w:pPr>
          </w:p>
        </w:tc>
        <w:tc>
          <w:tcPr>
            <w:tcW w:w="619" w:type="pct"/>
            <w:tcBorders>
              <w:top w:val="single" w:sz="4" w:space="0" w:color="E2EFDA"/>
              <w:left w:val="nil"/>
              <w:bottom w:val="single" w:sz="4" w:space="0" w:color="FFFFFF"/>
              <w:right w:val="nil"/>
            </w:tcBorders>
            <w:shd w:val="clear" w:color="E2EFDA" w:fill="E2EFDA"/>
            <w:noWrap/>
            <w:vAlign w:val="bottom"/>
            <w:hideMark/>
          </w:tcPr>
          <w:p w14:paraId="34C0E3F6" w14:textId="77777777" w:rsidR="00BE58D8" w:rsidRPr="00BE58D8" w:rsidRDefault="00BE58D8" w:rsidP="00BE58D8">
            <w:pPr>
              <w:widowControl/>
              <w:autoSpaceDE/>
              <w:autoSpaceDN/>
              <w:rPr>
                <w:rFonts w:ascii="Times New Roman" w:eastAsia="Times New Roman" w:hAnsi="Times New Roman" w:cs="Times New Roman"/>
                <w:sz w:val="20"/>
                <w:szCs w:val="20"/>
                <w:lang w:val="es-CO" w:eastAsia="es-CO"/>
              </w:rPr>
            </w:pPr>
          </w:p>
        </w:tc>
        <w:tc>
          <w:tcPr>
            <w:tcW w:w="766" w:type="pct"/>
            <w:tcBorders>
              <w:top w:val="single" w:sz="4" w:space="0" w:color="E2EFDA"/>
              <w:left w:val="nil"/>
              <w:bottom w:val="single" w:sz="4" w:space="0" w:color="FFFFFF"/>
              <w:right w:val="nil"/>
            </w:tcBorders>
            <w:shd w:val="clear" w:color="E2EFDA" w:fill="E2EFDA"/>
            <w:noWrap/>
            <w:vAlign w:val="bottom"/>
            <w:hideMark/>
          </w:tcPr>
          <w:p w14:paraId="66F63339"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 </w:t>
            </w:r>
          </w:p>
        </w:tc>
      </w:tr>
      <w:tr w:rsidR="00BE58D8" w:rsidRPr="00BE58D8" w14:paraId="335FE5C5"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4C34AC29"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maternas perinatales</w:t>
            </w:r>
          </w:p>
        </w:tc>
        <w:tc>
          <w:tcPr>
            <w:tcW w:w="623" w:type="pct"/>
            <w:tcBorders>
              <w:top w:val="single" w:sz="4" w:space="0" w:color="E2EFDA"/>
              <w:left w:val="nil"/>
              <w:bottom w:val="single" w:sz="4" w:space="0" w:color="E2EFDA"/>
              <w:right w:val="nil"/>
            </w:tcBorders>
            <w:shd w:val="clear" w:color="auto" w:fill="auto"/>
            <w:noWrap/>
            <w:vAlign w:val="bottom"/>
            <w:hideMark/>
          </w:tcPr>
          <w:p w14:paraId="1BBD8839"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0,01%</w:t>
            </w:r>
          </w:p>
        </w:tc>
        <w:tc>
          <w:tcPr>
            <w:tcW w:w="619" w:type="pct"/>
            <w:tcBorders>
              <w:top w:val="single" w:sz="4" w:space="0" w:color="E2EFDA"/>
              <w:left w:val="nil"/>
              <w:bottom w:val="single" w:sz="4" w:space="0" w:color="E2EFDA"/>
              <w:right w:val="nil"/>
            </w:tcBorders>
            <w:shd w:val="clear" w:color="auto" w:fill="auto"/>
            <w:noWrap/>
            <w:vAlign w:val="bottom"/>
            <w:hideMark/>
          </w:tcPr>
          <w:p w14:paraId="511FB8B0"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0,05%</w:t>
            </w:r>
          </w:p>
        </w:tc>
        <w:tc>
          <w:tcPr>
            <w:tcW w:w="766" w:type="pct"/>
            <w:tcBorders>
              <w:top w:val="single" w:sz="4" w:space="0" w:color="E2EFDA"/>
              <w:left w:val="nil"/>
              <w:bottom w:val="single" w:sz="4" w:space="0" w:color="E2EFDA"/>
              <w:right w:val="nil"/>
            </w:tcBorders>
            <w:shd w:val="clear" w:color="auto" w:fill="auto"/>
            <w:noWrap/>
            <w:vAlign w:val="bottom"/>
            <w:hideMark/>
          </w:tcPr>
          <w:p w14:paraId="48FD2ACD"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0,03%</w:t>
            </w:r>
          </w:p>
        </w:tc>
      </w:tr>
      <w:tr w:rsidR="00BE58D8" w:rsidRPr="00BE58D8" w14:paraId="5228F48E"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00FE949B"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transmisibles y nutricionales</w:t>
            </w:r>
          </w:p>
        </w:tc>
        <w:tc>
          <w:tcPr>
            <w:tcW w:w="623" w:type="pct"/>
            <w:tcBorders>
              <w:top w:val="single" w:sz="4" w:space="0" w:color="E2EFDA"/>
              <w:left w:val="nil"/>
              <w:bottom w:val="single" w:sz="4" w:space="0" w:color="E2EFDA"/>
              <w:right w:val="nil"/>
            </w:tcBorders>
            <w:shd w:val="clear" w:color="auto" w:fill="auto"/>
            <w:noWrap/>
            <w:vAlign w:val="bottom"/>
            <w:hideMark/>
          </w:tcPr>
          <w:p w14:paraId="4197B036"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3,57%</w:t>
            </w:r>
          </w:p>
        </w:tc>
        <w:tc>
          <w:tcPr>
            <w:tcW w:w="619" w:type="pct"/>
            <w:tcBorders>
              <w:top w:val="single" w:sz="4" w:space="0" w:color="E2EFDA"/>
              <w:left w:val="nil"/>
              <w:bottom w:val="single" w:sz="4" w:space="0" w:color="E2EFDA"/>
              <w:right w:val="nil"/>
            </w:tcBorders>
            <w:shd w:val="clear" w:color="auto" w:fill="auto"/>
            <w:noWrap/>
            <w:vAlign w:val="bottom"/>
            <w:hideMark/>
          </w:tcPr>
          <w:p w14:paraId="734FE068"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3,79%</w:t>
            </w:r>
          </w:p>
        </w:tc>
        <w:tc>
          <w:tcPr>
            <w:tcW w:w="766" w:type="pct"/>
            <w:tcBorders>
              <w:top w:val="nil"/>
              <w:left w:val="nil"/>
              <w:bottom w:val="single" w:sz="4" w:space="0" w:color="E2EFDA"/>
              <w:right w:val="nil"/>
            </w:tcBorders>
            <w:shd w:val="clear" w:color="auto" w:fill="auto"/>
            <w:noWrap/>
            <w:vAlign w:val="bottom"/>
            <w:hideMark/>
          </w:tcPr>
          <w:p w14:paraId="5A60E473"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0,22%</w:t>
            </w:r>
          </w:p>
        </w:tc>
      </w:tr>
      <w:tr w:rsidR="00BE58D8" w:rsidRPr="00BE58D8" w14:paraId="2A826C9F"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083AD131"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Enfermedades no transmisibles</w:t>
            </w:r>
          </w:p>
        </w:tc>
        <w:tc>
          <w:tcPr>
            <w:tcW w:w="623" w:type="pct"/>
            <w:tcBorders>
              <w:top w:val="single" w:sz="4" w:space="0" w:color="E2EFDA"/>
              <w:left w:val="nil"/>
              <w:bottom w:val="single" w:sz="4" w:space="0" w:color="E2EFDA"/>
              <w:right w:val="nil"/>
            </w:tcBorders>
            <w:shd w:val="clear" w:color="auto" w:fill="auto"/>
            <w:noWrap/>
            <w:vAlign w:val="bottom"/>
            <w:hideMark/>
          </w:tcPr>
          <w:p w14:paraId="537803F7"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24,87%</w:t>
            </w:r>
          </w:p>
        </w:tc>
        <w:tc>
          <w:tcPr>
            <w:tcW w:w="619" w:type="pct"/>
            <w:tcBorders>
              <w:top w:val="single" w:sz="4" w:space="0" w:color="E2EFDA"/>
              <w:left w:val="nil"/>
              <w:bottom w:val="single" w:sz="4" w:space="0" w:color="E2EFDA"/>
              <w:right w:val="nil"/>
            </w:tcBorders>
            <w:shd w:val="clear" w:color="auto" w:fill="auto"/>
            <w:noWrap/>
            <w:vAlign w:val="bottom"/>
            <w:hideMark/>
          </w:tcPr>
          <w:p w14:paraId="3E3CF94A"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24,11%</w:t>
            </w:r>
          </w:p>
        </w:tc>
        <w:tc>
          <w:tcPr>
            <w:tcW w:w="766" w:type="pct"/>
            <w:tcBorders>
              <w:top w:val="nil"/>
              <w:left w:val="nil"/>
              <w:bottom w:val="single" w:sz="4" w:space="0" w:color="E2EFDA"/>
              <w:right w:val="nil"/>
            </w:tcBorders>
            <w:shd w:val="clear" w:color="auto" w:fill="auto"/>
            <w:noWrap/>
            <w:vAlign w:val="bottom"/>
            <w:hideMark/>
          </w:tcPr>
          <w:p w14:paraId="44346E90"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-0,77%</w:t>
            </w:r>
          </w:p>
        </w:tc>
      </w:tr>
      <w:tr w:rsidR="00BE58D8" w:rsidRPr="00BE58D8" w14:paraId="6844D989"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688DCF39"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Lesiones</w:t>
            </w:r>
          </w:p>
        </w:tc>
        <w:tc>
          <w:tcPr>
            <w:tcW w:w="623" w:type="pct"/>
            <w:tcBorders>
              <w:top w:val="single" w:sz="4" w:space="0" w:color="E2EFDA"/>
              <w:left w:val="nil"/>
              <w:bottom w:val="single" w:sz="4" w:space="0" w:color="E2EFDA"/>
              <w:right w:val="nil"/>
            </w:tcBorders>
            <w:shd w:val="clear" w:color="auto" w:fill="auto"/>
            <w:noWrap/>
            <w:vAlign w:val="bottom"/>
            <w:hideMark/>
          </w:tcPr>
          <w:p w14:paraId="2353B824"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3,16%</w:t>
            </w:r>
          </w:p>
        </w:tc>
        <w:tc>
          <w:tcPr>
            <w:tcW w:w="619" w:type="pct"/>
            <w:tcBorders>
              <w:top w:val="single" w:sz="4" w:space="0" w:color="E2EFDA"/>
              <w:left w:val="nil"/>
              <w:bottom w:val="single" w:sz="4" w:space="0" w:color="E2EFDA"/>
              <w:right w:val="nil"/>
            </w:tcBorders>
            <w:shd w:val="clear" w:color="auto" w:fill="auto"/>
            <w:noWrap/>
            <w:vAlign w:val="bottom"/>
            <w:hideMark/>
          </w:tcPr>
          <w:p w14:paraId="5DCC0F46"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2,16%</w:t>
            </w:r>
          </w:p>
        </w:tc>
        <w:tc>
          <w:tcPr>
            <w:tcW w:w="766" w:type="pct"/>
            <w:tcBorders>
              <w:top w:val="nil"/>
              <w:left w:val="nil"/>
              <w:bottom w:val="single" w:sz="4" w:space="0" w:color="E2EFDA"/>
              <w:right w:val="nil"/>
            </w:tcBorders>
            <w:shd w:val="clear" w:color="auto" w:fill="auto"/>
            <w:noWrap/>
            <w:vAlign w:val="bottom"/>
            <w:hideMark/>
          </w:tcPr>
          <w:p w14:paraId="7872D43B"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-1,00%</w:t>
            </w:r>
          </w:p>
        </w:tc>
      </w:tr>
      <w:tr w:rsidR="00BE58D8" w:rsidRPr="00BE58D8" w14:paraId="3DA284E5"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345A5195" w14:textId="5CF9273C"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 xml:space="preserve">Signos y </w:t>
            </w:r>
            <w:r w:rsidR="00373E0E" w:rsidRPr="00BE58D8">
              <w:rPr>
                <w:rFonts w:ascii="Calibri" w:eastAsia="Times New Roman" w:hAnsi="Calibri" w:cs="Calibri"/>
                <w:color w:val="548235"/>
                <w:lang w:val="es-CO" w:eastAsia="es-CO"/>
              </w:rPr>
              <w:t>síntomas</w:t>
            </w:r>
            <w:r w:rsidRPr="00BE58D8">
              <w:rPr>
                <w:rFonts w:ascii="Calibri" w:eastAsia="Times New Roman" w:hAnsi="Calibri" w:cs="Calibri"/>
                <w:color w:val="548235"/>
                <w:lang w:val="es-CO" w:eastAsia="es-CO"/>
              </w:rPr>
              <w:t xml:space="preserve"> mal definidos</w:t>
            </w:r>
          </w:p>
        </w:tc>
        <w:tc>
          <w:tcPr>
            <w:tcW w:w="623" w:type="pct"/>
            <w:tcBorders>
              <w:top w:val="single" w:sz="4" w:space="0" w:color="E2EFDA"/>
              <w:left w:val="nil"/>
              <w:bottom w:val="single" w:sz="4" w:space="0" w:color="E2EFDA"/>
              <w:right w:val="nil"/>
            </w:tcBorders>
            <w:shd w:val="clear" w:color="auto" w:fill="auto"/>
            <w:noWrap/>
            <w:vAlign w:val="bottom"/>
            <w:hideMark/>
          </w:tcPr>
          <w:p w14:paraId="07F8A1CA"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1,21%</w:t>
            </w:r>
          </w:p>
        </w:tc>
        <w:tc>
          <w:tcPr>
            <w:tcW w:w="619" w:type="pct"/>
            <w:tcBorders>
              <w:top w:val="single" w:sz="4" w:space="0" w:color="E2EFDA"/>
              <w:left w:val="nil"/>
              <w:bottom w:val="single" w:sz="4" w:space="0" w:color="E2EFDA"/>
              <w:right w:val="nil"/>
            </w:tcBorders>
            <w:shd w:val="clear" w:color="auto" w:fill="auto"/>
            <w:noWrap/>
            <w:vAlign w:val="bottom"/>
            <w:hideMark/>
          </w:tcPr>
          <w:p w14:paraId="686381FF"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1,14%</w:t>
            </w:r>
          </w:p>
        </w:tc>
        <w:tc>
          <w:tcPr>
            <w:tcW w:w="766" w:type="pct"/>
            <w:tcBorders>
              <w:top w:val="nil"/>
              <w:left w:val="nil"/>
              <w:bottom w:val="single" w:sz="4" w:space="0" w:color="E2EFDA"/>
              <w:right w:val="nil"/>
            </w:tcBorders>
            <w:shd w:val="clear" w:color="auto" w:fill="auto"/>
            <w:noWrap/>
            <w:vAlign w:val="bottom"/>
            <w:hideMark/>
          </w:tcPr>
          <w:p w14:paraId="4C7EF5A4"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-0,07%</w:t>
            </w:r>
          </w:p>
        </w:tc>
      </w:tr>
      <w:tr w:rsidR="00BE58D8" w:rsidRPr="00BE58D8" w14:paraId="456329FF" w14:textId="77777777" w:rsidTr="00EA2627">
        <w:trPr>
          <w:trHeight w:val="345"/>
        </w:trPr>
        <w:tc>
          <w:tcPr>
            <w:tcW w:w="2992" w:type="pct"/>
            <w:tcBorders>
              <w:top w:val="single" w:sz="4" w:space="0" w:color="C6E0B4"/>
              <w:left w:val="nil"/>
              <w:bottom w:val="single" w:sz="4" w:space="0" w:color="C6E0B4"/>
              <w:right w:val="single" w:sz="4" w:space="0" w:color="70AD47"/>
            </w:tcBorders>
            <w:shd w:val="clear" w:color="E2EFDA" w:fill="E2EFDA"/>
            <w:noWrap/>
            <w:vAlign w:val="bottom"/>
            <w:hideMark/>
          </w:tcPr>
          <w:p w14:paraId="1ED129BF"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Total 5 - Adultez</w:t>
            </w:r>
          </w:p>
        </w:tc>
        <w:tc>
          <w:tcPr>
            <w:tcW w:w="623" w:type="pct"/>
            <w:tcBorders>
              <w:top w:val="single" w:sz="4" w:space="0" w:color="C6E0B4"/>
              <w:left w:val="nil"/>
              <w:bottom w:val="single" w:sz="4" w:space="0" w:color="C6E0B4"/>
              <w:right w:val="nil"/>
            </w:tcBorders>
            <w:shd w:val="clear" w:color="E2EFDA" w:fill="E2EFDA"/>
            <w:noWrap/>
            <w:vAlign w:val="bottom"/>
            <w:hideMark/>
          </w:tcPr>
          <w:p w14:paraId="593B5515"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32,82%</w:t>
            </w:r>
          </w:p>
        </w:tc>
        <w:tc>
          <w:tcPr>
            <w:tcW w:w="619" w:type="pct"/>
            <w:tcBorders>
              <w:top w:val="single" w:sz="4" w:space="0" w:color="C6E0B4"/>
              <w:left w:val="nil"/>
              <w:bottom w:val="single" w:sz="4" w:space="0" w:color="C6E0B4"/>
              <w:right w:val="nil"/>
            </w:tcBorders>
            <w:shd w:val="clear" w:color="E2EFDA" w:fill="E2EFDA"/>
            <w:noWrap/>
            <w:vAlign w:val="bottom"/>
            <w:hideMark/>
          </w:tcPr>
          <w:p w14:paraId="543BF885"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31,24%</w:t>
            </w:r>
          </w:p>
        </w:tc>
        <w:tc>
          <w:tcPr>
            <w:tcW w:w="766" w:type="pct"/>
            <w:tcBorders>
              <w:top w:val="single" w:sz="4" w:space="0" w:color="C6E0B4"/>
              <w:left w:val="nil"/>
              <w:bottom w:val="single" w:sz="4" w:space="0" w:color="C6E0B4"/>
              <w:right w:val="nil"/>
            </w:tcBorders>
            <w:shd w:val="clear" w:color="E2EFDA" w:fill="E2EFDA"/>
            <w:noWrap/>
            <w:vAlign w:val="bottom"/>
            <w:hideMark/>
          </w:tcPr>
          <w:p w14:paraId="1BB9E3C1"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-1,57%</w:t>
            </w:r>
          </w:p>
        </w:tc>
      </w:tr>
      <w:tr w:rsidR="00BE58D8" w:rsidRPr="00BE58D8" w14:paraId="4FC67391" w14:textId="77777777" w:rsidTr="00EA2627">
        <w:trPr>
          <w:trHeight w:val="345"/>
        </w:trPr>
        <w:tc>
          <w:tcPr>
            <w:tcW w:w="2992" w:type="pct"/>
            <w:tcBorders>
              <w:top w:val="single" w:sz="4" w:space="0" w:color="E2EFDA"/>
              <w:left w:val="nil"/>
              <w:bottom w:val="single" w:sz="4" w:space="0" w:color="FFFFFF"/>
              <w:right w:val="single" w:sz="4" w:space="0" w:color="70AD47"/>
            </w:tcBorders>
            <w:shd w:val="clear" w:color="E2EFDA" w:fill="E2EFDA"/>
            <w:noWrap/>
            <w:vAlign w:val="bottom"/>
            <w:hideMark/>
          </w:tcPr>
          <w:p w14:paraId="084EEF09"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6 - Persona mayor</w:t>
            </w:r>
          </w:p>
        </w:tc>
        <w:tc>
          <w:tcPr>
            <w:tcW w:w="623" w:type="pct"/>
            <w:tcBorders>
              <w:top w:val="single" w:sz="4" w:space="0" w:color="E2EFDA"/>
              <w:left w:val="nil"/>
              <w:bottom w:val="single" w:sz="4" w:space="0" w:color="FFFFFF"/>
              <w:right w:val="nil"/>
            </w:tcBorders>
            <w:shd w:val="clear" w:color="E2EFDA" w:fill="E2EFDA"/>
            <w:noWrap/>
            <w:vAlign w:val="bottom"/>
            <w:hideMark/>
          </w:tcPr>
          <w:p w14:paraId="5734E61D" w14:textId="77777777" w:rsidR="00BE58D8" w:rsidRPr="00BE58D8" w:rsidRDefault="00BE58D8" w:rsidP="00BE58D8">
            <w:pPr>
              <w:widowControl/>
              <w:autoSpaceDE/>
              <w:autoSpaceDN/>
              <w:rPr>
                <w:rFonts w:ascii="Calibri" w:eastAsia="Times New Roman" w:hAnsi="Calibri" w:cs="Calibri"/>
                <w:b/>
                <w:bCs/>
                <w:color w:val="000000"/>
                <w:lang w:val="es-CO" w:eastAsia="es-CO"/>
              </w:rPr>
            </w:pPr>
          </w:p>
        </w:tc>
        <w:tc>
          <w:tcPr>
            <w:tcW w:w="619" w:type="pct"/>
            <w:tcBorders>
              <w:top w:val="single" w:sz="4" w:space="0" w:color="E2EFDA"/>
              <w:left w:val="nil"/>
              <w:bottom w:val="single" w:sz="4" w:space="0" w:color="FFFFFF"/>
              <w:right w:val="nil"/>
            </w:tcBorders>
            <w:shd w:val="clear" w:color="E2EFDA" w:fill="E2EFDA"/>
            <w:noWrap/>
            <w:vAlign w:val="bottom"/>
            <w:hideMark/>
          </w:tcPr>
          <w:p w14:paraId="236CC911" w14:textId="77777777" w:rsidR="00BE58D8" w:rsidRPr="00BE58D8" w:rsidRDefault="00BE58D8" w:rsidP="00BE58D8">
            <w:pPr>
              <w:widowControl/>
              <w:autoSpaceDE/>
              <w:autoSpaceDN/>
              <w:rPr>
                <w:rFonts w:ascii="Times New Roman" w:eastAsia="Times New Roman" w:hAnsi="Times New Roman" w:cs="Times New Roman"/>
                <w:sz w:val="20"/>
                <w:szCs w:val="20"/>
                <w:lang w:val="es-CO" w:eastAsia="es-CO"/>
              </w:rPr>
            </w:pPr>
          </w:p>
        </w:tc>
        <w:tc>
          <w:tcPr>
            <w:tcW w:w="766" w:type="pct"/>
            <w:tcBorders>
              <w:top w:val="single" w:sz="4" w:space="0" w:color="E2EFDA"/>
              <w:left w:val="nil"/>
              <w:bottom w:val="single" w:sz="4" w:space="0" w:color="FFFFFF"/>
              <w:right w:val="nil"/>
            </w:tcBorders>
            <w:shd w:val="clear" w:color="E2EFDA" w:fill="E2EFDA"/>
            <w:noWrap/>
            <w:vAlign w:val="bottom"/>
            <w:hideMark/>
          </w:tcPr>
          <w:p w14:paraId="1F6A658C"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 </w:t>
            </w:r>
          </w:p>
        </w:tc>
      </w:tr>
      <w:tr w:rsidR="00BE58D8" w:rsidRPr="00BE58D8" w14:paraId="6453F06F"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0B4C5500"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Condiciones transmisibles y nutricionales</w:t>
            </w:r>
          </w:p>
        </w:tc>
        <w:tc>
          <w:tcPr>
            <w:tcW w:w="623" w:type="pct"/>
            <w:tcBorders>
              <w:top w:val="single" w:sz="4" w:space="0" w:color="E2EFDA"/>
              <w:left w:val="nil"/>
              <w:bottom w:val="single" w:sz="4" w:space="0" w:color="E2EFDA"/>
              <w:right w:val="nil"/>
            </w:tcBorders>
            <w:shd w:val="clear" w:color="auto" w:fill="auto"/>
            <w:noWrap/>
            <w:vAlign w:val="bottom"/>
            <w:hideMark/>
          </w:tcPr>
          <w:p w14:paraId="0A6593E1"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4,74%</w:t>
            </w:r>
          </w:p>
        </w:tc>
        <w:tc>
          <w:tcPr>
            <w:tcW w:w="619" w:type="pct"/>
            <w:tcBorders>
              <w:top w:val="single" w:sz="4" w:space="0" w:color="E2EFDA"/>
              <w:left w:val="nil"/>
              <w:bottom w:val="single" w:sz="4" w:space="0" w:color="E2EFDA"/>
              <w:right w:val="nil"/>
            </w:tcBorders>
            <w:shd w:val="clear" w:color="auto" w:fill="auto"/>
            <w:noWrap/>
            <w:vAlign w:val="bottom"/>
            <w:hideMark/>
          </w:tcPr>
          <w:p w14:paraId="75E6DF06"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5,73%</w:t>
            </w:r>
          </w:p>
        </w:tc>
        <w:tc>
          <w:tcPr>
            <w:tcW w:w="766" w:type="pct"/>
            <w:tcBorders>
              <w:top w:val="single" w:sz="4" w:space="0" w:color="E2EFDA"/>
              <w:left w:val="nil"/>
              <w:bottom w:val="single" w:sz="4" w:space="0" w:color="E2EFDA"/>
              <w:right w:val="nil"/>
            </w:tcBorders>
            <w:shd w:val="clear" w:color="auto" w:fill="auto"/>
            <w:noWrap/>
            <w:vAlign w:val="bottom"/>
            <w:hideMark/>
          </w:tcPr>
          <w:p w14:paraId="3506E38A"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0,99%</w:t>
            </w:r>
          </w:p>
        </w:tc>
      </w:tr>
      <w:tr w:rsidR="00BE58D8" w:rsidRPr="00BE58D8" w14:paraId="1A8FA1F9"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033BC139"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Enfermedades no transmisibles</w:t>
            </w:r>
          </w:p>
        </w:tc>
        <w:tc>
          <w:tcPr>
            <w:tcW w:w="623" w:type="pct"/>
            <w:tcBorders>
              <w:top w:val="single" w:sz="4" w:space="0" w:color="E2EFDA"/>
              <w:left w:val="nil"/>
              <w:bottom w:val="single" w:sz="4" w:space="0" w:color="E2EFDA"/>
              <w:right w:val="nil"/>
            </w:tcBorders>
            <w:shd w:val="clear" w:color="auto" w:fill="auto"/>
            <w:noWrap/>
            <w:vAlign w:val="bottom"/>
            <w:hideMark/>
          </w:tcPr>
          <w:p w14:paraId="26705497"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43,75%</w:t>
            </w:r>
          </w:p>
        </w:tc>
        <w:tc>
          <w:tcPr>
            <w:tcW w:w="619" w:type="pct"/>
            <w:tcBorders>
              <w:top w:val="single" w:sz="4" w:space="0" w:color="E2EFDA"/>
              <w:left w:val="nil"/>
              <w:bottom w:val="single" w:sz="4" w:space="0" w:color="E2EFDA"/>
              <w:right w:val="nil"/>
            </w:tcBorders>
            <w:shd w:val="clear" w:color="auto" w:fill="auto"/>
            <w:noWrap/>
            <w:vAlign w:val="bottom"/>
            <w:hideMark/>
          </w:tcPr>
          <w:p w14:paraId="3E69F721"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42,60%</w:t>
            </w:r>
          </w:p>
        </w:tc>
        <w:tc>
          <w:tcPr>
            <w:tcW w:w="766" w:type="pct"/>
            <w:tcBorders>
              <w:top w:val="nil"/>
              <w:left w:val="nil"/>
              <w:bottom w:val="single" w:sz="4" w:space="0" w:color="E2EFDA"/>
              <w:right w:val="nil"/>
            </w:tcBorders>
            <w:shd w:val="clear" w:color="auto" w:fill="auto"/>
            <w:noWrap/>
            <w:vAlign w:val="bottom"/>
            <w:hideMark/>
          </w:tcPr>
          <w:p w14:paraId="023A8868"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-1,15%</w:t>
            </w:r>
          </w:p>
        </w:tc>
      </w:tr>
      <w:tr w:rsidR="00BE58D8" w:rsidRPr="00BE58D8" w14:paraId="7A75444F"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13459D09" w14:textId="77777777"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Lesiones</w:t>
            </w:r>
          </w:p>
        </w:tc>
        <w:tc>
          <w:tcPr>
            <w:tcW w:w="623" w:type="pct"/>
            <w:tcBorders>
              <w:top w:val="single" w:sz="4" w:space="0" w:color="E2EFDA"/>
              <w:left w:val="nil"/>
              <w:bottom w:val="single" w:sz="4" w:space="0" w:color="E2EFDA"/>
              <w:right w:val="nil"/>
            </w:tcBorders>
            <w:shd w:val="clear" w:color="auto" w:fill="auto"/>
            <w:noWrap/>
            <w:vAlign w:val="bottom"/>
            <w:hideMark/>
          </w:tcPr>
          <w:p w14:paraId="70A62900"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3,77%</w:t>
            </w:r>
          </w:p>
        </w:tc>
        <w:tc>
          <w:tcPr>
            <w:tcW w:w="619" w:type="pct"/>
            <w:tcBorders>
              <w:top w:val="single" w:sz="4" w:space="0" w:color="E2EFDA"/>
              <w:left w:val="nil"/>
              <w:bottom w:val="single" w:sz="4" w:space="0" w:color="E2EFDA"/>
              <w:right w:val="nil"/>
            </w:tcBorders>
            <w:shd w:val="clear" w:color="auto" w:fill="auto"/>
            <w:noWrap/>
            <w:vAlign w:val="bottom"/>
            <w:hideMark/>
          </w:tcPr>
          <w:p w14:paraId="317FD0D3"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3,95%</w:t>
            </w:r>
          </w:p>
        </w:tc>
        <w:tc>
          <w:tcPr>
            <w:tcW w:w="766" w:type="pct"/>
            <w:tcBorders>
              <w:top w:val="nil"/>
              <w:left w:val="nil"/>
              <w:bottom w:val="single" w:sz="4" w:space="0" w:color="E2EFDA"/>
              <w:right w:val="nil"/>
            </w:tcBorders>
            <w:shd w:val="clear" w:color="auto" w:fill="auto"/>
            <w:noWrap/>
            <w:vAlign w:val="bottom"/>
            <w:hideMark/>
          </w:tcPr>
          <w:p w14:paraId="0F7AF0D1"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0,18%</w:t>
            </w:r>
          </w:p>
        </w:tc>
      </w:tr>
      <w:tr w:rsidR="00BE58D8" w:rsidRPr="00BE58D8" w14:paraId="7B28C5D5" w14:textId="77777777" w:rsidTr="00EA2627">
        <w:trPr>
          <w:trHeight w:val="345"/>
        </w:trPr>
        <w:tc>
          <w:tcPr>
            <w:tcW w:w="2992" w:type="pct"/>
            <w:tcBorders>
              <w:top w:val="single" w:sz="4" w:space="0" w:color="E2EFDA"/>
              <w:left w:val="nil"/>
              <w:bottom w:val="single" w:sz="4" w:space="0" w:color="E2EFDA"/>
              <w:right w:val="single" w:sz="4" w:space="0" w:color="70AD47"/>
            </w:tcBorders>
            <w:shd w:val="clear" w:color="auto" w:fill="auto"/>
            <w:noWrap/>
            <w:vAlign w:val="bottom"/>
            <w:hideMark/>
          </w:tcPr>
          <w:p w14:paraId="7FCA885A" w14:textId="4D60FF9F" w:rsidR="00BE58D8" w:rsidRPr="00BE58D8" w:rsidRDefault="00BE58D8" w:rsidP="00BE58D8">
            <w:pPr>
              <w:widowControl/>
              <w:autoSpaceDE/>
              <w:autoSpaceDN/>
              <w:ind w:firstLineChars="100" w:firstLine="220"/>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 xml:space="preserve">Signos y </w:t>
            </w:r>
            <w:r w:rsidR="00373E0E" w:rsidRPr="00BE58D8">
              <w:rPr>
                <w:rFonts w:ascii="Calibri" w:eastAsia="Times New Roman" w:hAnsi="Calibri" w:cs="Calibri"/>
                <w:color w:val="548235"/>
                <w:lang w:val="es-CO" w:eastAsia="es-CO"/>
              </w:rPr>
              <w:t>síntomas</w:t>
            </w:r>
            <w:r w:rsidRPr="00BE58D8">
              <w:rPr>
                <w:rFonts w:ascii="Calibri" w:eastAsia="Times New Roman" w:hAnsi="Calibri" w:cs="Calibri"/>
                <w:color w:val="548235"/>
                <w:lang w:val="es-CO" w:eastAsia="es-CO"/>
              </w:rPr>
              <w:t xml:space="preserve"> mal definidos</w:t>
            </w:r>
          </w:p>
        </w:tc>
        <w:tc>
          <w:tcPr>
            <w:tcW w:w="623" w:type="pct"/>
            <w:tcBorders>
              <w:top w:val="single" w:sz="4" w:space="0" w:color="E2EFDA"/>
              <w:left w:val="nil"/>
              <w:bottom w:val="single" w:sz="4" w:space="0" w:color="E2EFDA"/>
              <w:right w:val="nil"/>
            </w:tcBorders>
            <w:shd w:val="clear" w:color="auto" w:fill="auto"/>
            <w:noWrap/>
            <w:vAlign w:val="bottom"/>
            <w:hideMark/>
          </w:tcPr>
          <w:p w14:paraId="17DDD611"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1,77%</w:t>
            </w:r>
          </w:p>
        </w:tc>
        <w:tc>
          <w:tcPr>
            <w:tcW w:w="619" w:type="pct"/>
            <w:tcBorders>
              <w:top w:val="single" w:sz="4" w:space="0" w:color="E2EFDA"/>
              <w:left w:val="nil"/>
              <w:bottom w:val="single" w:sz="4" w:space="0" w:color="E2EFDA"/>
              <w:right w:val="nil"/>
            </w:tcBorders>
            <w:shd w:val="clear" w:color="auto" w:fill="auto"/>
            <w:noWrap/>
            <w:vAlign w:val="bottom"/>
            <w:hideMark/>
          </w:tcPr>
          <w:p w14:paraId="3469F6E9"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1,90%</w:t>
            </w:r>
          </w:p>
        </w:tc>
        <w:tc>
          <w:tcPr>
            <w:tcW w:w="766" w:type="pct"/>
            <w:tcBorders>
              <w:top w:val="nil"/>
              <w:left w:val="nil"/>
              <w:bottom w:val="single" w:sz="4" w:space="0" w:color="E2EFDA"/>
              <w:right w:val="nil"/>
            </w:tcBorders>
            <w:shd w:val="clear" w:color="auto" w:fill="auto"/>
            <w:noWrap/>
            <w:vAlign w:val="bottom"/>
            <w:hideMark/>
          </w:tcPr>
          <w:p w14:paraId="60320CFA" w14:textId="77777777" w:rsidR="00BE58D8" w:rsidRPr="00BE58D8" w:rsidRDefault="00BE58D8" w:rsidP="00BE58D8">
            <w:pPr>
              <w:widowControl/>
              <w:autoSpaceDE/>
              <w:autoSpaceDN/>
              <w:jc w:val="right"/>
              <w:rPr>
                <w:rFonts w:ascii="Calibri" w:eastAsia="Times New Roman" w:hAnsi="Calibri" w:cs="Calibri"/>
                <w:color w:val="548235"/>
                <w:lang w:val="es-CO" w:eastAsia="es-CO"/>
              </w:rPr>
            </w:pPr>
            <w:r w:rsidRPr="00BE58D8">
              <w:rPr>
                <w:rFonts w:ascii="Calibri" w:eastAsia="Times New Roman" w:hAnsi="Calibri" w:cs="Calibri"/>
                <w:color w:val="548235"/>
                <w:lang w:val="es-CO" w:eastAsia="es-CO"/>
              </w:rPr>
              <w:t>0,13%</w:t>
            </w:r>
          </w:p>
        </w:tc>
      </w:tr>
      <w:tr w:rsidR="00BE58D8" w:rsidRPr="00BE58D8" w14:paraId="11841A2D" w14:textId="77777777" w:rsidTr="00EA2627">
        <w:trPr>
          <w:trHeight w:val="345"/>
        </w:trPr>
        <w:tc>
          <w:tcPr>
            <w:tcW w:w="2992" w:type="pct"/>
            <w:tcBorders>
              <w:top w:val="single" w:sz="4" w:space="0" w:color="C6E0B4"/>
              <w:left w:val="nil"/>
              <w:bottom w:val="single" w:sz="4" w:space="0" w:color="C6E0B4"/>
              <w:right w:val="single" w:sz="4" w:space="0" w:color="70AD47"/>
            </w:tcBorders>
            <w:shd w:val="clear" w:color="E2EFDA" w:fill="E2EFDA"/>
            <w:noWrap/>
            <w:vAlign w:val="bottom"/>
            <w:hideMark/>
          </w:tcPr>
          <w:p w14:paraId="663A759C" w14:textId="77777777" w:rsidR="00BE58D8" w:rsidRPr="00BE58D8" w:rsidRDefault="00BE58D8" w:rsidP="00BE58D8">
            <w:pPr>
              <w:widowControl/>
              <w:autoSpaceDE/>
              <w:autoSpaceDN/>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Total 6 - Persona mayor</w:t>
            </w:r>
          </w:p>
        </w:tc>
        <w:tc>
          <w:tcPr>
            <w:tcW w:w="623" w:type="pct"/>
            <w:tcBorders>
              <w:top w:val="single" w:sz="4" w:space="0" w:color="C6E0B4"/>
              <w:left w:val="nil"/>
              <w:bottom w:val="single" w:sz="4" w:space="0" w:color="C6E0B4"/>
              <w:right w:val="nil"/>
            </w:tcBorders>
            <w:shd w:val="clear" w:color="E2EFDA" w:fill="E2EFDA"/>
            <w:noWrap/>
            <w:vAlign w:val="bottom"/>
            <w:hideMark/>
          </w:tcPr>
          <w:p w14:paraId="6BBEDDFA"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54,03%</w:t>
            </w:r>
          </w:p>
        </w:tc>
        <w:tc>
          <w:tcPr>
            <w:tcW w:w="619" w:type="pct"/>
            <w:tcBorders>
              <w:top w:val="single" w:sz="4" w:space="0" w:color="C6E0B4"/>
              <w:left w:val="nil"/>
              <w:bottom w:val="single" w:sz="4" w:space="0" w:color="C6E0B4"/>
              <w:right w:val="nil"/>
            </w:tcBorders>
            <w:shd w:val="clear" w:color="E2EFDA" w:fill="E2EFDA"/>
            <w:noWrap/>
            <w:vAlign w:val="bottom"/>
            <w:hideMark/>
          </w:tcPr>
          <w:p w14:paraId="1456A6C6"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54,18%</w:t>
            </w:r>
          </w:p>
        </w:tc>
        <w:tc>
          <w:tcPr>
            <w:tcW w:w="766" w:type="pct"/>
            <w:tcBorders>
              <w:top w:val="single" w:sz="4" w:space="0" w:color="C6E0B4"/>
              <w:left w:val="nil"/>
              <w:bottom w:val="single" w:sz="4" w:space="0" w:color="C6E0B4"/>
              <w:right w:val="nil"/>
            </w:tcBorders>
            <w:shd w:val="clear" w:color="E2EFDA" w:fill="E2EFDA"/>
            <w:noWrap/>
            <w:vAlign w:val="bottom"/>
            <w:hideMark/>
          </w:tcPr>
          <w:p w14:paraId="5B48C395"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0,14%</w:t>
            </w:r>
          </w:p>
        </w:tc>
      </w:tr>
      <w:tr w:rsidR="00BE58D8" w:rsidRPr="00BE58D8" w14:paraId="69D6BC1F" w14:textId="77777777" w:rsidTr="00EA2627">
        <w:trPr>
          <w:trHeight w:val="345"/>
        </w:trPr>
        <w:tc>
          <w:tcPr>
            <w:tcW w:w="2992" w:type="pct"/>
            <w:tcBorders>
              <w:top w:val="single" w:sz="8" w:space="0" w:color="70AD47"/>
              <w:left w:val="single" w:sz="8" w:space="0" w:color="70AD47"/>
              <w:bottom w:val="single" w:sz="8" w:space="0" w:color="70AD47"/>
              <w:right w:val="single" w:sz="4" w:space="0" w:color="70AD47"/>
            </w:tcBorders>
            <w:shd w:val="clear" w:color="auto" w:fill="auto"/>
            <w:noWrap/>
            <w:vAlign w:val="bottom"/>
            <w:hideMark/>
          </w:tcPr>
          <w:p w14:paraId="13ECEB2B" w14:textId="77777777" w:rsidR="00BE58D8" w:rsidRPr="00BE58D8" w:rsidRDefault="00BE58D8" w:rsidP="00BE58D8">
            <w:pPr>
              <w:widowControl/>
              <w:autoSpaceDE/>
              <w:autoSpaceDN/>
              <w:rPr>
                <w:rFonts w:ascii="Calibri" w:eastAsia="Times New Roman" w:hAnsi="Calibri" w:cs="Calibri"/>
                <w:b/>
                <w:bCs/>
                <w:color w:val="000000"/>
                <w:lang w:val="es-CO" w:eastAsia="es-CO"/>
              </w:rPr>
            </w:pPr>
            <w:proofErr w:type="gramStart"/>
            <w:r w:rsidRPr="00BE58D8">
              <w:rPr>
                <w:rFonts w:ascii="Calibri" w:eastAsia="Times New Roman" w:hAnsi="Calibri" w:cs="Calibri"/>
                <w:b/>
                <w:bCs/>
                <w:color w:val="000000"/>
                <w:lang w:val="es-CO" w:eastAsia="es-CO"/>
              </w:rPr>
              <w:t>Total</w:t>
            </w:r>
            <w:proofErr w:type="gramEnd"/>
            <w:r w:rsidRPr="00BE58D8">
              <w:rPr>
                <w:rFonts w:ascii="Calibri" w:eastAsia="Times New Roman" w:hAnsi="Calibri" w:cs="Calibri"/>
                <w:b/>
                <w:bCs/>
                <w:color w:val="000000"/>
                <w:lang w:val="es-CO" w:eastAsia="es-CO"/>
              </w:rPr>
              <w:t xml:space="preserve"> general</w:t>
            </w:r>
          </w:p>
        </w:tc>
        <w:tc>
          <w:tcPr>
            <w:tcW w:w="623" w:type="pct"/>
            <w:tcBorders>
              <w:top w:val="single" w:sz="8" w:space="0" w:color="70AD47"/>
              <w:left w:val="nil"/>
              <w:bottom w:val="single" w:sz="8" w:space="0" w:color="70AD47"/>
              <w:right w:val="nil"/>
            </w:tcBorders>
            <w:shd w:val="clear" w:color="auto" w:fill="auto"/>
            <w:noWrap/>
            <w:vAlign w:val="bottom"/>
            <w:hideMark/>
          </w:tcPr>
          <w:p w14:paraId="03069AA7"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100,00%</w:t>
            </w:r>
          </w:p>
        </w:tc>
        <w:tc>
          <w:tcPr>
            <w:tcW w:w="619" w:type="pct"/>
            <w:tcBorders>
              <w:top w:val="single" w:sz="8" w:space="0" w:color="70AD47"/>
              <w:left w:val="nil"/>
              <w:bottom w:val="single" w:sz="8" w:space="0" w:color="70AD47"/>
              <w:right w:val="single" w:sz="8" w:space="0" w:color="70AD47"/>
            </w:tcBorders>
            <w:shd w:val="clear" w:color="auto" w:fill="auto"/>
            <w:noWrap/>
            <w:vAlign w:val="bottom"/>
            <w:hideMark/>
          </w:tcPr>
          <w:p w14:paraId="2F67BDD4"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100,00%</w:t>
            </w:r>
          </w:p>
        </w:tc>
        <w:tc>
          <w:tcPr>
            <w:tcW w:w="766" w:type="pct"/>
            <w:tcBorders>
              <w:top w:val="single" w:sz="8" w:space="0" w:color="70AD47"/>
              <w:left w:val="nil"/>
              <w:bottom w:val="single" w:sz="8" w:space="0" w:color="70AD47"/>
              <w:right w:val="nil"/>
            </w:tcBorders>
            <w:shd w:val="clear" w:color="auto" w:fill="auto"/>
            <w:noWrap/>
            <w:vAlign w:val="bottom"/>
            <w:hideMark/>
          </w:tcPr>
          <w:p w14:paraId="39EA3A98" w14:textId="77777777" w:rsidR="00BE58D8" w:rsidRPr="00BE58D8" w:rsidRDefault="00BE58D8" w:rsidP="00BE58D8">
            <w:pPr>
              <w:widowControl/>
              <w:autoSpaceDE/>
              <w:autoSpaceDN/>
              <w:jc w:val="right"/>
              <w:rPr>
                <w:rFonts w:ascii="Calibri" w:eastAsia="Times New Roman" w:hAnsi="Calibri" w:cs="Calibri"/>
                <w:b/>
                <w:bCs/>
                <w:color w:val="000000"/>
                <w:lang w:val="es-CO" w:eastAsia="es-CO"/>
              </w:rPr>
            </w:pPr>
            <w:r w:rsidRPr="00BE58D8">
              <w:rPr>
                <w:rFonts w:ascii="Calibri" w:eastAsia="Times New Roman" w:hAnsi="Calibri" w:cs="Calibri"/>
                <w:b/>
                <w:bCs/>
                <w:color w:val="000000"/>
                <w:lang w:val="es-CO" w:eastAsia="es-CO"/>
              </w:rPr>
              <w:t>0,00%</w:t>
            </w:r>
          </w:p>
        </w:tc>
      </w:tr>
    </w:tbl>
    <w:p w14:paraId="73094E24" w14:textId="5FDC9295" w:rsidR="007C7DE4" w:rsidRPr="007F0FA7" w:rsidRDefault="007C7DE4" w:rsidP="00093B44">
      <w:pPr>
        <w:jc w:val="both"/>
        <w:rPr>
          <w:rFonts w:ascii="Humanst521 BT" w:hAnsi="Humanst521 BT" w:cstheme="minorBidi"/>
        </w:rPr>
      </w:pPr>
      <w:r w:rsidRPr="007F0FA7">
        <w:rPr>
          <w:rFonts w:ascii="Humanst521 BT" w:hAnsi="Humanst521 BT" w:cstheme="minorBidi"/>
        </w:rPr>
        <w:t>Fuente: Sistema Integrado de Información UISALUD</w:t>
      </w:r>
    </w:p>
    <w:p w14:paraId="4707B3DD" w14:textId="77777777" w:rsidR="007C7DE4" w:rsidRPr="007F0FA7" w:rsidRDefault="007C7DE4" w:rsidP="00093B44">
      <w:pPr>
        <w:jc w:val="both"/>
        <w:rPr>
          <w:rFonts w:ascii="Humanst521 BT" w:hAnsi="Humanst521 BT" w:cstheme="minorBidi"/>
        </w:rPr>
      </w:pPr>
    </w:p>
    <w:p w14:paraId="4DA7CD3B" w14:textId="77777777" w:rsidR="007C7DE4" w:rsidRPr="007F0FA7" w:rsidRDefault="007C7DE4" w:rsidP="00093B44">
      <w:pPr>
        <w:rPr>
          <w:rFonts w:ascii="Humanst521 BT" w:hAnsi="Humanst521 BT" w:cstheme="minorHAnsi"/>
          <w:lang w:eastAsia="x-none"/>
        </w:rPr>
      </w:pPr>
    </w:p>
    <w:p w14:paraId="39791FEF" w14:textId="4965D315" w:rsidR="007C7DE4" w:rsidRPr="007F0FA7" w:rsidRDefault="007C7DE4" w:rsidP="00093B44">
      <w:pPr>
        <w:pStyle w:val="Descripcin"/>
        <w:keepNext/>
        <w:spacing w:line="240" w:lineRule="auto"/>
        <w:rPr>
          <w:rFonts w:ascii="Humanst521 BT" w:eastAsia="Verdana" w:hAnsi="Humanst521 BT" w:cs="Verdana"/>
          <w:b w:val="0"/>
          <w:bCs w:val="0"/>
          <w:color w:val="auto"/>
          <w:sz w:val="22"/>
          <w:szCs w:val="22"/>
          <w:lang w:val="es-ES"/>
        </w:rPr>
      </w:pPr>
      <w:bookmarkStart w:id="86" w:name="_Toc175638511"/>
      <w:bookmarkStart w:id="87" w:name="_Toc231286265"/>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66118">
        <w:rPr>
          <w:rFonts w:ascii="Humanst521 BT" w:eastAsia="Verdana" w:hAnsi="Humanst521 BT" w:cs="Verdana"/>
          <w:b w:val="0"/>
          <w:bCs w:val="0"/>
          <w:noProof/>
          <w:color w:val="auto"/>
          <w:sz w:val="22"/>
          <w:szCs w:val="22"/>
          <w:lang w:val="es-ES"/>
        </w:rPr>
        <w:t>20</w:t>
      </w:r>
      <w:r w:rsidRPr="007F0FA7">
        <w:rPr>
          <w:rFonts w:ascii="Humanst521 BT" w:eastAsia="Verdana" w:hAnsi="Humanst521 BT" w:cs="Verdana"/>
          <w:b w:val="0"/>
          <w:bCs w:val="0"/>
          <w:color w:val="auto"/>
          <w:sz w:val="22"/>
          <w:szCs w:val="22"/>
          <w:lang w:val="es-ES"/>
        </w:rPr>
        <w:fldChar w:fldCharType="end"/>
      </w:r>
      <w:r w:rsidRPr="007F0FA7">
        <w:rPr>
          <w:rFonts w:ascii="Humanst521 BT" w:eastAsia="Verdana" w:hAnsi="Humanst521 BT" w:cs="Verdana"/>
          <w:b w:val="0"/>
          <w:bCs w:val="0"/>
          <w:color w:val="auto"/>
          <w:sz w:val="22"/>
          <w:szCs w:val="22"/>
          <w:lang w:val="es-ES"/>
        </w:rPr>
        <w:t>. Principales causas de atención por subgrupo.</w:t>
      </w:r>
      <w:bookmarkEnd w:id="86"/>
      <w:bookmarkEnd w:id="87"/>
    </w:p>
    <w:tbl>
      <w:tblPr>
        <w:tblW w:w="8711" w:type="dxa"/>
        <w:tblCellMar>
          <w:left w:w="70" w:type="dxa"/>
          <w:right w:w="70" w:type="dxa"/>
        </w:tblCellMar>
        <w:tblLook w:val="04A0" w:firstRow="1" w:lastRow="0" w:firstColumn="1" w:lastColumn="0" w:noHBand="0" w:noVBand="1"/>
      </w:tblPr>
      <w:tblGrid>
        <w:gridCol w:w="2586"/>
        <w:gridCol w:w="1530"/>
        <w:gridCol w:w="1533"/>
        <w:gridCol w:w="1533"/>
        <w:gridCol w:w="1529"/>
      </w:tblGrid>
      <w:tr w:rsidR="00FA5EE7" w:rsidRPr="00FA5EE7" w14:paraId="06C608DA" w14:textId="77777777" w:rsidTr="00FA5EE7">
        <w:trPr>
          <w:trHeight w:val="348"/>
        </w:trPr>
        <w:tc>
          <w:tcPr>
            <w:tcW w:w="2586" w:type="dxa"/>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49A8AF65"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Subgrupo de causa</w:t>
            </w:r>
          </w:p>
        </w:tc>
        <w:tc>
          <w:tcPr>
            <w:tcW w:w="1530" w:type="dxa"/>
            <w:tcBorders>
              <w:top w:val="single" w:sz="8" w:space="0" w:color="67B93E"/>
              <w:left w:val="nil"/>
              <w:bottom w:val="single" w:sz="8" w:space="0" w:color="67B93E"/>
              <w:right w:val="single" w:sz="8" w:space="0" w:color="67B93E"/>
            </w:tcBorders>
            <w:shd w:val="clear" w:color="000000" w:fill="C5E0B3"/>
            <w:vAlign w:val="center"/>
            <w:hideMark/>
          </w:tcPr>
          <w:p w14:paraId="675D9F30"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Año 2023</w:t>
            </w:r>
          </w:p>
        </w:tc>
        <w:tc>
          <w:tcPr>
            <w:tcW w:w="1533" w:type="dxa"/>
            <w:tcBorders>
              <w:top w:val="single" w:sz="8" w:space="0" w:color="67B93E"/>
              <w:left w:val="nil"/>
              <w:bottom w:val="single" w:sz="8" w:space="0" w:color="67B93E"/>
              <w:right w:val="single" w:sz="8" w:space="0" w:color="67B93E"/>
            </w:tcBorders>
            <w:shd w:val="clear" w:color="000000" w:fill="C5E0B3"/>
            <w:vAlign w:val="center"/>
            <w:hideMark/>
          </w:tcPr>
          <w:p w14:paraId="0DB0EB0D"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Año 2024</w:t>
            </w:r>
          </w:p>
        </w:tc>
        <w:tc>
          <w:tcPr>
            <w:tcW w:w="1533" w:type="dxa"/>
            <w:tcBorders>
              <w:top w:val="single" w:sz="8" w:space="0" w:color="67B93E"/>
              <w:left w:val="nil"/>
              <w:bottom w:val="single" w:sz="8" w:space="0" w:color="67B93E"/>
              <w:right w:val="single" w:sz="8" w:space="0" w:color="67B93E"/>
            </w:tcBorders>
            <w:shd w:val="clear" w:color="000000" w:fill="C5E0B3"/>
            <w:vAlign w:val="center"/>
            <w:hideMark/>
          </w:tcPr>
          <w:p w14:paraId="573619CD"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Año 2025</w:t>
            </w:r>
          </w:p>
        </w:tc>
        <w:tc>
          <w:tcPr>
            <w:tcW w:w="1529" w:type="dxa"/>
            <w:tcBorders>
              <w:top w:val="single" w:sz="8" w:space="0" w:color="67B93E"/>
              <w:left w:val="nil"/>
              <w:bottom w:val="single" w:sz="8" w:space="0" w:color="67B93E"/>
              <w:right w:val="single" w:sz="8" w:space="0" w:color="67B93E"/>
            </w:tcBorders>
            <w:shd w:val="clear" w:color="000000" w:fill="C5E0B3"/>
            <w:vAlign w:val="center"/>
            <w:hideMark/>
          </w:tcPr>
          <w:p w14:paraId="5188C3A2"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Cambio en Puntos %</w:t>
            </w:r>
          </w:p>
        </w:tc>
      </w:tr>
      <w:tr w:rsidR="00FA5EE7" w:rsidRPr="00FA5EE7" w14:paraId="09858C50" w14:textId="77777777" w:rsidTr="00FA5EE7">
        <w:trPr>
          <w:trHeight w:val="462"/>
        </w:trPr>
        <w:tc>
          <w:tcPr>
            <w:tcW w:w="2586" w:type="dxa"/>
            <w:tcBorders>
              <w:top w:val="nil"/>
              <w:left w:val="single" w:sz="8" w:space="0" w:color="67B93E"/>
              <w:bottom w:val="single" w:sz="8" w:space="0" w:color="67B93E"/>
              <w:right w:val="single" w:sz="8" w:space="0" w:color="67B93E"/>
            </w:tcBorders>
            <w:shd w:val="clear" w:color="auto" w:fill="auto"/>
            <w:vAlign w:val="center"/>
            <w:hideMark/>
          </w:tcPr>
          <w:p w14:paraId="764E555B"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Enfermedades cardiovasculares</w:t>
            </w:r>
          </w:p>
        </w:tc>
        <w:tc>
          <w:tcPr>
            <w:tcW w:w="1530" w:type="dxa"/>
            <w:tcBorders>
              <w:top w:val="nil"/>
              <w:left w:val="nil"/>
              <w:bottom w:val="single" w:sz="8" w:space="0" w:color="67B93E"/>
              <w:right w:val="single" w:sz="8" w:space="0" w:color="67B93E"/>
            </w:tcBorders>
            <w:shd w:val="clear" w:color="auto" w:fill="auto"/>
            <w:vAlign w:val="center"/>
            <w:hideMark/>
          </w:tcPr>
          <w:p w14:paraId="362D6CCF"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8,47%</w:t>
            </w:r>
          </w:p>
        </w:tc>
        <w:tc>
          <w:tcPr>
            <w:tcW w:w="1533" w:type="dxa"/>
            <w:tcBorders>
              <w:top w:val="nil"/>
              <w:left w:val="nil"/>
              <w:bottom w:val="single" w:sz="8" w:space="0" w:color="67B93E"/>
              <w:right w:val="single" w:sz="8" w:space="0" w:color="67B93E"/>
            </w:tcBorders>
            <w:shd w:val="clear" w:color="auto" w:fill="auto"/>
            <w:vAlign w:val="center"/>
            <w:hideMark/>
          </w:tcPr>
          <w:p w14:paraId="07B418A5"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13,29%</w:t>
            </w:r>
          </w:p>
        </w:tc>
        <w:tc>
          <w:tcPr>
            <w:tcW w:w="1533" w:type="dxa"/>
            <w:tcBorders>
              <w:top w:val="nil"/>
              <w:left w:val="nil"/>
              <w:bottom w:val="single" w:sz="8" w:space="0" w:color="67B93E"/>
              <w:right w:val="single" w:sz="8" w:space="0" w:color="67B93E"/>
            </w:tcBorders>
            <w:shd w:val="clear" w:color="auto" w:fill="auto"/>
            <w:vAlign w:val="center"/>
            <w:hideMark/>
          </w:tcPr>
          <w:p w14:paraId="23222472"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14,27%</w:t>
            </w:r>
          </w:p>
        </w:tc>
        <w:tc>
          <w:tcPr>
            <w:tcW w:w="1529" w:type="dxa"/>
            <w:tcBorders>
              <w:top w:val="nil"/>
              <w:left w:val="nil"/>
              <w:bottom w:val="single" w:sz="8" w:space="0" w:color="67B93E"/>
              <w:right w:val="single" w:sz="8" w:space="0" w:color="67B93E"/>
            </w:tcBorders>
            <w:shd w:val="clear" w:color="auto" w:fill="auto"/>
            <w:vAlign w:val="center"/>
            <w:hideMark/>
          </w:tcPr>
          <w:p w14:paraId="6FDCED39"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0,98%</w:t>
            </w:r>
          </w:p>
        </w:tc>
      </w:tr>
      <w:tr w:rsidR="00FA5EE7" w:rsidRPr="00FA5EE7" w14:paraId="1091E959" w14:textId="77777777" w:rsidTr="00FA5EE7">
        <w:trPr>
          <w:trHeight w:val="462"/>
        </w:trPr>
        <w:tc>
          <w:tcPr>
            <w:tcW w:w="2586" w:type="dxa"/>
            <w:tcBorders>
              <w:top w:val="nil"/>
              <w:left w:val="single" w:sz="8" w:space="0" w:color="67B93E"/>
              <w:bottom w:val="single" w:sz="8" w:space="0" w:color="67B93E"/>
              <w:right w:val="single" w:sz="8" w:space="0" w:color="67B93E"/>
            </w:tcBorders>
            <w:shd w:val="clear" w:color="000000" w:fill="F2F2F2"/>
            <w:vAlign w:val="center"/>
            <w:hideMark/>
          </w:tcPr>
          <w:p w14:paraId="63647C0D"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Enfermedades musculoesqueléticas</w:t>
            </w:r>
          </w:p>
        </w:tc>
        <w:tc>
          <w:tcPr>
            <w:tcW w:w="1530" w:type="dxa"/>
            <w:tcBorders>
              <w:top w:val="nil"/>
              <w:left w:val="nil"/>
              <w:bottom w:val="single" w:sz="8" w:space="0" w:color="67B93E"/>
              <w:right w:val="single" w:sz="8" w:space="0" w:color="67B93E"/>
            </w:tcBorders>
            <w:shd w:val="clear" w:color="000000" w:fill="F2F2F2"/>
            <w:vAlign w:val="center"/>
            <w:hideMark/>
          </w:tcPr>
          <w:p w14:paraId="20F7F842"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16,77%</w:t>
            </w:r>
          </w:p>
        </w:tc>
        <w:tc>
          <w:tcPr>
            <w:tcW w:w="1533" w:type="dxa"/>
            <w:tcBorders>
              <w:top w:val="nil"/>
              <w:left w:val="nil"/>
              <w:bottom w:val="single" w:sz="8" w:space="0" w:color="67B93E"/>
              <w:right w:val="single" w:sz="8" w:space="0" w:color="67B93E"/>
            </w:tcBorders>
            <w:shd w:val="clear" w:color="000000" w:fill="F2F2F2"/>
            <w:vAlign w:val="center"/>
            <w:hideMark/>
          </w:tcPr>
          <w:p w14:paraId="63FBC747"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10,99%</w:t>
            </w:r>
          </w:p>
        </w:tc>
        <w:tc>
          <w:tcPr>
            <w:tcW w:w="1533" w:type="dxa"/>
            <w:tcBorders>
              <w:top w:val="nil"/>
              <w:left w:val="nil"/>
              <w:bottom w:val="single" w:sz="8" w:space="0" w:color="67B93E"/>
              <w:right w:val="single" w:sz="8" w:space="0" w:color="67B93E"/>
            </w:tcBorders>
            <w:shd w:val="clear" w:color="000000" w:fill="F2F2F2"/>
            <w:vAlign w:val="center"/>
            <w:hideMark/>
          </w:tcPr>
          <w:p w14:paraId="4D18DDB0"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11,79%</w:t>
            </w:r>
          </w:p>
        </w:tc>
        <w:tc>
          <w:tcPr>
            <w:tcW w:w="1529" w:type="dxa"/>
            <w:tcBorders>
              <w:top w:val="nil"/>
              <w:left w:val="nil"/>
              <w:bottom w:val="single" w:sz="8" w:space="0" w:color="67B93E"/>
              <w:right w:val="single" w:sz="8" w:space="0" w:color="67B93E"/>
            </w:tcBorders>
            <w:shd w:val="clear" w:color="000000" w:fill="F2F2F2"/>
            <w:vAlign w:val="center"/>
            <w:hideMark/>
          </w:tcPr>
          <w:p w14:paraId="4DFD7C2F"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0,80%</w:t>
            </w:r>
          </w:p>
        </w:tc>
      </w:tr>
      <w:tr w:rsidR="00FA5EE7" w:rsidRPr="00FA5EE7" w14:paraId="7033DF7F" w14:textId="77777777" w:rsidTr="00FA5EE7">
        <w:trPr>
          <w:trHeight w:val="234"/>
        </w:trPr>
        <w:tc>
          <w:tcPr>
            <w:tcW w:w="2586" w:type="dxa"/>
            <w:tcBorders>
              <w:top w:val="nil"/>
              <w:left w:val="single" w:sz="8" w:space="0" w:color="67B93E"/>
              <w:bottom w:val="single" w:sz="8" w:space="0" w:color="67B93E"/>
              <w:right w:val="single" w:sz="8" w:space="0" w:color="67B93E"/>
            </w:tcBorders>
            <w:shd w:val="clear" w:color="auto" w:fill="auto"/>
            <w:vAlign w:val="center"/>
            <w:hideMark/>
          </w:tcPr>
          <w:p w14:paraId="48B1BFBE"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Infecciones respiratorias</w:t>
            </w:r>
          </w:p>
        </w:tc>
        <w:tc>
          <w:tcPr>
            <w:tcW w:w="1530" w:type="dxa"/>
            <w:tcBorders>
              <w:top w:val="nil"/>
              <w:left w:val="nil"/>
              <w:bottom w:val="single" w:sz="8" w:space="0" w:color="67B93E"/>
              <w:right w:val="single" w:sz="8" w:space="0" w:color="67B93E"/>
            </w:tcBorders>
            <w:shd w:val="clear" w:color="auto" w:fill="auto"/>
            <w:vAlign w:val="center"/>
            <w:hideMark/>
          </w:tcPr>
          <w:p w14:paraId="6615AFA4"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11,16%</w:t>
            </w:r>
          </w:p>
        </w:tc>
        <w:tc>
          <w:tcPr>
            <w:tcW w:w="1533" w:type="dxa"/>
            <w:tcBorders>
              <w:top w:val="nil"/>
              <w:left w:val="nil"/>
              <w:bottom w:val="single" w:sz="8" w:space="0" w:color="67B93E"/>
              <w:right w:val="single" w:sz="8" w:space="0" w:color="67B93E"/>
            </w:tcBorders>
            <w:shd w:val="clear" w:color="auto" w:fill="auto"/>
            <w:vAlign w:val="center"/>
            <w:hideMark/>
          </w:tcPr>
          <w:p w14:paraId="69001BB0"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10,79%</w:t>
            </w:r>
          </w:p>
        </w:tc>
        <w:tc>
          <w:tcPr>
            <w:tcW w:w="1533" w:type="dxa"/>
            <w:tcBorders>
              <w:top w:val="nil"/>
              <w:left w:val="nil"/>
              <w:bottom w:val="single" w:sz="8" w:space="0" w:color="67B93E"/>
              <w:right w:val="single" w:sz="8" w:space="0" w:color="67B93E"/>
            </w:tcBorders>
            <w:shd w:val="clear" w:color="auto" w:fill="auto"/>
            <w:vAlign w:val="center"/>
            <w:hideMark/>
          </w:tcPr>
          <w:p w14:paraId="44332B78"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10,78%</w:t>
            </w:r>
          </w:p>
        </w:tc>
        <w:tc>
          <w:tcPr>
            <w:tcW w:w="1529" w:type="dxa"/>
            <w:tcBorders>
              <w:top w:val="nil"/>
              <w:left w:val="nil"/>
              <w:bottom w:val="single" w:sz="8" w:space="0" w:color="67B93E"/>
              <w:right w:val="single" w:sz="8" w:space="0" w:color="67B93E"/>
            </w:tcBorders>
            <w:shd w:val="clear" w:color="auto" w:fill="auto"/>
            <w:vAlign w:val="center"/>
            <w:hideMark/>
          </w:tcPr>
          <w:p w14:paraId="7A177015"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-0,01%</w:t>
            </w:r>
          </w:p>
        </w:tc>
      </w:tr>
      <w:tr w:rsidR="00FA5EE7" w:rsidRPr="00FA5EE7" w14:paraId="7AEB7945" w14:textId="77777777" w:rsidTr="00FA5EE7">
        <w:trPr>
          <w:trHeight w:val="348"/>
        </w:trPr>
        <w:tc>
          <w:tcPr>
            <w:tcW w:w="2586" w:type="dxa"/>
            <w:tcBorders>
              <w:top w:val="nil"/>
              <w:left w:val="single" w:sz="8" w:space="0" w:color="67B93E"/>
              <w:bottom w:val="single" w:sz="8" w:space="0" w:color="67B93E"/>
              <w:right w:val="single" w:sz="8" w:space="0" w:color="67B93E"/>
            </w:tcBorders>
            <w:shd w:val="clear" w:color="000000" w:fill="F2F2F2"/>
            <w:vAlign w:val="center"/>
            <w:hideMark/>
          </w:tcPr>
          <w:p w14:paraId="1111ED5F"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Enfermedades de la piel</w:t>
            </w:r>
          </w:p>
        </w:tc>
        <w:tc>
          <w:tcPr>
            <w:tcW w:w="1530" w:type="dxa"/>
            <w:tcBorders>
              <w:top w:val="nil"/>
              <w:left w:val="nil"/>
              <w:bottom w:val="single" w:sz="8" w:space="0" w:color="67B93E"/>
              <w:right w:val="single" w:sz="8" w:space="0" w:color="67B93E"/>
            </w:tcBorders>
            <w:shd w:val="clear" w:color="000000" w:fill="F2F2F2"/>
            <w:vAlign w:val="center"/>
            <w:hideMark/>
          </w:tcPr>
          <w:p w14:paraId="77CC0E14"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5,44%</w:t>
            </w:r>
          </w:p>
        </w:tc>
        <w:tc>
          <w:tcPr>
            <w:tcW w:w="1533" w:type="dxa"/>
            <w:tcBorders>
              <w:top w:val="nil"/>
              <w:left w:val="nil"/>
              <w:bottom w:val="single" w:sz="8" w:space="0" w:color="67B93E"/>
              <w:right w:val="single" w:sz="8" w:space="0" w:color="67B93E"/>
            </w:tcBorders>
            <w:shd w:val="clear" w:color="000000" w:fill="F2F2F2"/>
            <w:vAlign w:val="center"/>
            <w:hideMark/>
          </w:tcPr>
          <w:p w14:paraId="6A451AC9"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9,53%</w:t>
            </w:r>
          </w:p>
        </w:tc>
        <w:tc>
          <w:tcPr>
            <w:tcW w:w="1533" w:type="dxa"/>
            <w:tcBorders>
              <w:top w:val="nil"/>
              <w:left w:val="nil"/>
              <w:bottom w:val="single" w:sz="8" w:space="0" w:color="67B93E"/>
              <w:right w:val="single" w:sz="8" w:space="0" w:color="67B93E"/>
            </w:tcBorders>
            <w:shd w:val="clear" w:color="000000" w:fill="F2F2F2"/>
            <w:vAlign w:val="center"/>
            <w:hideMark/>
          </w:tcPr>
          <w:p w14:paraId="7821853B"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8,93%</w:t>
            </w:r>
          </w:p>
        </w:tc>
        <w:tc>
          <w:tcPr>
            <w:tcW w:w="1529" w:type="dxa"/>
            <w:tcBorders>
              <w:top w:val="nil"/>
              <w:left w:val="nil"/>
              <w:bottom w:val="single" w:sz="8" w:space="0" w:color="67B93E"/>
              <w:right w:val="single" w:sz="8" w:space="0" w:color="67B93E"/>
            </w:tcBorders>
            <w:shd w:val="clear" w:color="000000" w:fill="F2F2F2"/>
            <w:vAlign w:val="center"/>
            <w:hideMark/>
          </w:tcPr>
          <w:p w14:paraId="39011E12"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-0,60%</w:t>
            </w:r>
          </w:p>
        </w:tc>
      </w:tr>
      <w:tr w:rsidR="00FA5EE7" w:rsidRPr="00FA5EE7" w14:paraId="7ADBC0AA" w14:textId="77777777" w:rsidTr="00FA5EE7">
        <w:trPr>
          <w:trHeight w:val="348"/>
        </w:trPr>
        <w:tc>
          <w:tcPr>
            <w:tcW w:w="2586" w:type="dxa"/>
            <w:tcBorders>
              <w:top w:val="nil"/>
              <w:left w:val="single" w:sz="8" w:space="0" w:color="67B93E"/>
              <w:bottom w:val="single" w:sz="8" w:space="0" w:color="67B93E"/>
              <w:right w:val="single" w:sz="8" w:space="0" w:color="67B93E"/>
            </w:tcBorders>
            <w:shd w:val="clear" w:color="auto" w:fill="auto"/>
            <w:vAlign w:val="center"/>
            <w:hideMark/>
          </w:tcPr>
          <w:p w14:paraId="36983903"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Enfermedades infecciosas y parasitarias</w:t>
            </w:r>
          </w:p>
        </w:tc>
        <w:tc>
          <w:tcPr>
            <w:tcW w:w="1530" w:type="dxa"/>
            <w:tcBorders>
              <w:top w:val="nil"/>
              <w:left w:val="nil"/>
              <w:bottom w:val="single" w:sz="8" w:space="0" w:color="67B93E"/>
              <w:right w:val="single" w:sz="8" w:space="0" w:color="67B93E"/>
            </w:tcBorders>
            <w:shd w:val="clear" w:color="auto" w:fill="auto"/>
            <w:vAlign w:val="center"/>
            <w:hideMark/>
          </w:tcPr>
          <w:p w14:paraId="08D00621"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8,09%</w:t>
            </w:r>
          </w:p>
        </w:tc>
        <w:tc>
          <w:tcPr>
            <w:tcW w:w="1533" w:type="dxa"/>
            <w:tcBorders>
              <w:top w:val="nil"/>
              <w:left w:val="nil"/>
              <w:bottom w:val="single" w:sz="8" w:space="0" w:color="67B93E"/>
              <w:right w:val="single" w:sz="8" w:space="0" w:color="67B93E"/>
            </w:tcBorders>
            <w:shd w:val="clear" w:color="auto" w:fill="auto"/>
            <w:vAlign w:val="center"/>
            <w:hideMark/>
          </w:tcPr>
          <w:p w14:paraId="2F87D1E4"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9,34%</w:t>
            </w:r>
          </w:p>
        </w:tc>
        <w:tc>
          <w:tcPr>
            <w:tcW w:w="1533" w:type="dxa"/>
            <w:tcBorders>
              <w:top w:val="nil"/>
              <w:left w:val="nil"/>
              <w:bottom w:val="single" w:sz="8" w:space="0" w:color="67B93E"/>
              <w:right w:val="single" w:sz="8" w:space="0" w:color="67B93E"/>
            </w:tcBorders>
            <w:shd w:val="clear" w:color="auto" w:fill="auto"/>
            <w:vAlign w:val="center"/>
            <w:hideMark/>
          </w:tcPr>
          <w:p w14:paraId="088BF09F"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8,76%</w:t>
            </w:r>
          </w:p>
        </w:tc>
        <w:tc>
          <w:tcPr>
            <w:tcW w:w="1529" w:type="dxa"/>
            <w:tcBorders>
              <w:top w:val="nil"/>
              <w:left w:val="nil"/>
              <w:bottom w:val="single" w:sz="8" w:space="0" w:color="67B93E"/>
              <w:right w:val="single" w:sz="8" w:space="0" w:color="67B93E"/>
            </w:tcBorders>
            <w:shd w:val="clear" w:color="auto" w:fill="auto"/>
            <w:vAlign w:val="center"/>
            <w:hideMark/>
          </w:tcPr>
          <w:p w14:paraId="7B9AC09A"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-0,58%</w:t>
            </w:r>
          </w:p>
        </w:tc>
      </w:tr>
      <w:tr w:rsidR="00FA5EE7" w:rsidRPr="00FA5EE7" w14:paraId="155B9213" w14:textId="77777777" w:rsidTr="00FA5EE7">
        <w:trPr>
          <w:trHeight w:val="234"/>
        </w:trPr>
        <w:tc>
          <w:tcPr>
            <w:tcW w:w="2586" w:type="dxa"/>
            <w:tcBorders>
              <w:top w:val="nil"/>
              <w:left w:val="single" w:sz="8" w:space="0" w:color="67B93E"/>
              <w:bottom w:val="single" w:sz="8" w:space="0" w:color="67B93E"/>
              <w:right w:val="single" w:sz="8" w:space="0" w:color="67B93E"/>
            </w:tcBorders>
            <w:shd w:val="clear" w:color="000000" w:fill="F2F2F2"/>
            <w:vAlign w:val="center"/>
            <w:hideMark/>
          </w:tcPr>
          <w:p w14:paraId="5B7B292D"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lastRenderedPageBreak/>
              <w:t>Desordenes endocrinos</w:t>
            </w:r>
          </w:p>
        </w:tc>
        <w:tc>
          <w:tcPr>
            <w:tcW w:w="1530" w:type="dxa"/>
            <w:tcBorders>
              <w:top w:val="nil"/>
              <w:left w:val="nil"/>
              <w:bottom w:val="single" w:sz="8" w:space="0" w:color="67B93E"/>
              <w:right w:val="single" w:sz="8" w:space="0" w:color="67B93E"/>
            </w:tcBorders>
            <w:shd w:val="clear" w:color="000000" w:fill="F2F2F2"/>
            <w:vAlign w:val="center"/>
            <w:hideMark/>
          </w:tcPr>
          <w:p w14:paraId="1EE78116"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5,23%</w:t>
            </w:r>
          </w:p>
        </w:tc>
        <w:tc>
          <w:tcPr>
            <w:tcW w:w="1533" w:type="dxa"/>
            <w:tcBorders>
              <w:top w:val="nil"/>
              <w:left w:val="nil"/>
              <w:bottom w:val="single" w:sz="8" w:space="0" w:color="67B93E"/>
              <w:right w:val="single" w:sz="8" w:space="0" w:color="67B93E"/>
            </w:tcBorders>
            <w:shd w:val="clear" w:color="000000" w:fill="F2F2F2"/>
            <w:vAlign w:val="center"/>
            <w:hideMark/>
          </w:tcPr>
          <w:p w14:paraId="324FE563"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7,78%</w:t>
            </w:r>
          </w:p>
        </w:tc>
        <w:tc>
          <w:tcPr>
            <w:tcW w:w="1533" w:type="dxa"/>
            <w:tcBorders>
              <w:top w:val="nil"/>
              <w:left w:val="nil"/>
              <w:bottom w:val="single" w:sz="8" w:space="0" w:color="67B93E"/>
              <w:right w:val="single" w:sz="8" w:space="0" w:color="67B93E"/>
            </w:tcBorders>
            <w:shd w:val="clear" w:color="000000" w:fill="F2F2F2"/>
            <w:vAlign w:val="center"/>
            <w:hideMark/>
          </w:tcPr>
          <w:p w14:paraId="3E1FC9E0"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8,02%</w:t>
            </w:r>
          </w:p>
        </w:tc>
        <w:tc>
          <w:tcPr>
            <w:tcW w:w="1529" w:type="dxa"/>
            <w:tcBorders>
              <w:top w:val="nil"/>
              <w:left w:val="nil"/>
              <w:bottom w:val="single" w:sz="8" w:space="0" w:color="67B93E"/>
              <w:right w:val="single" w:sz="8" w:space="0" w:color="67B93E"/>
            </w:tcBorders>
            <w:shd w:val="clear" w:color="000000" w:fill="F2F2F2"/>
            <w:vAlign w:val="center"/>
            <w:hideMark/>
          </w:tcPr>
          <w:p w14:paraId="64907814"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0,24%</w:t>
            </w:r>
          </w:p>
        </w:tc>
      </w:tr>
      <w:tr w:rsidR="00FA5EE7" w:rsidRPr="00FA5EE7" w14:paraId="63A4981F" w14:textId="77777777" w:rsidTr="00FA5EE7">
        <w:trPr>
          <w:trHeight w:val="462"/>
        </w:trPr>
        <w:tc>
          <w:tcPr>
            <w:tcW w:w="2586" w:type="dxa"/>
            <w:tcBorders>
              <w:top w:val="nil"/>
              <w:left w:val="single" w:sz="8" w:space="0" w:color="67B93E"/>
              <w:bottom w:val="single" w:sz="8" w:space="0" w:color="67B93E"/>
              <w:right w:val="single" w:sz="8" w:space="0" w:color="67B93E"/>
            </w:tcBorders>
            <w:shd w:val="clear" w:color="auto" w:fill="auto"/>
            <w:vAlign w:val="center"/>
            <w:hideMark/>
          </w:tcPr>
          <w:p w14:paraId="74FFB193"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Enfermedades genitourinarias</w:t>
            </w:r>
          </w:p>
        </w:tc>
        <w:tc>
          <w:tcPr>
            <w:tcW w:w="1530" w:type="dxa"/>
            <w:tcBorders>
              <w:top w:val="nil"/>
              <w:left w:val="nil"/>
              <w:bottom w:val="single" w:sz="8" w:space="0" w:color="67B93E"/>
              <w:right w:val="single" w:sz="8" w:space="0" w:color="67B93E"/>
            </w:tcBorders>
            <w:shd w:val="clear" w:color="auto" w:fill="auto"/>
            <w:vAlign w:val="center"/>
            <w:hideMark/>
          </w:tcPr>
          <w:p w14:paraId="104C49F8"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4,82%</w:t>
            </w:r>
          </w:p>
        </w:tc>
        <w:tc>
          <w:tcPr>
            <w:tcW w:w="1533" w:type="dxa"/>
            <w:tcBorders>
              <w:top w:val="nil"/>
              <w:left w:val="nil"/>
              <w:bottom w:val="single" w:sz="8" w:space="0" w:color="67B93E"/>
              <w:right w:val="single" w:sz="8" w:space="0" w:color="67B93E"/>
            </w:tcBorders>
            <w:shd w:val="clear" w:color="auto" w:fill="auto"/>
            <w:vAlign w:val="center"/>
            <w:hideMark/>
          </w:tcPr>
          <w:p w14:paraId="59BE626B"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6,29%</w:t>
            </w:r>
          </w:p>
        </w:tc>
        <w:tc>
          <w:tcPr>
            <w:tcW w:w="1533" w:type="dxa"/>
            <w:tcBorders>
              <w:top w:val="nil"/>
              <w:left w:val="nil"/>
              <w:bottom w:val="single" w:sz="8" w:space="0" w:color="67B93E"/>
              <w:right w:val="single" w:sz="8" w:space="0" w:color="67B93E"/>
            </w:tcBorders>
            <w:shd w:val="clear" w:color="auto" w:fill="auto"/>
            <w:vAlign w:val="center"/>
            <w:hideMark/>
          </w:tcPr>
          <w:p w14:paraId="77D28CF7"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4,63%</w:t>
            </w:r>
          </w:p>
        </w:tc>
        <w:tc>
          <w:tcPr>
            <w:tcW w:w="1529" w:type="dxa"/>
            <w:tcBorders>
              <w:top w:val="nil"/>
              <w:left w:val="nil"/>
              <w:bottom w:val="single" w:sz="8" w:space="0" w:color="67B93E"/>
              <w:right w:val="single" w:sz="8" w:space="0" w:color="67B93E"/>
            </w:tcBorders>
            <w:shd w:val="clear" w:color="auto" w:fill="auto"/>
            <w:vAlign w:val="center"/>
            <w:hideMark/>
          </w:tcPr>
          <w:p w14:paraId="6376E7B9"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-1,66%</w:t>
            </w:r>
          </w:p>
        </w:tc>
      </w:tr>
      <w:tr w:rsidR="00FA5EE7" w:rsidRPr="00FA5EE7" w14:paraId="69BE4D2B" w14:textId="77777777" w:rsidTr="00FA5EE7">
        <w:trPr>
          <w:trHeight w:val="462"/>
        </w:trPr>
        <w:tc>
          <w:tcPr>
            <w:tcW w:w="2586" w:type="dxa"/>
            <w:tcBorders>
              <w:top w:val="nil"/>
              <w:left w:val="single" w:sz="8" w:space="0" w:color="67B93E"/>
              <w:bottom w:val="single" w:sz="8" w:space="0" w:color="67B93E"/>
              <w:right w:val="single" w:sz="8" w:space="0" w:color="67B93E"/>
            </w:tcBorders>
            <w:shd w:val="clear" w:color="000000" w:fill="F2F2F2"/>
            <w:vAlign w:val="center"/>
            <w:hideMark/>
          </w:tcPr>
          <w:p w14:paraId="3C6CB707"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Enfermedades neuropsiquiátricas</w:t>
            </w:r>
          </w:p>
        </w:tc>
        <w:tc>
          <w:tcPr>
            <w:tcW w:w="1530" w:type="dxa"/>
            <w:tcBorders>
              <w:top w:val="nil"/>
              <w:left w:val="nil"/>
              <w:bottom w:val="single" w:sz="8" w:space="0" w:color="67B93E"/>
              <w:right w:val="single" w:sz="8" w:space="0" w:color="67B93E"/>
            </w:tcBorders>
            <w:shd w:val="clear" w:color="000000" w:fill="F2F2F2"/>
            <w:vAlign w:val="center"/>
            <w:hideMark/>
          </w:tcPr>
          <w:p w14:paraId="31B6523F"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12,55%</w:t>
            </w:r>
          </w:p>
        </w:tc>
        <w:tc>
          <w:tcPr>
            <w:tcW w:w="1533" w:type="dxa"/>
            <w:tcBorders>
              <w:top w:val="nil"/>
              <w:left w:val="nil"/>
              <w:bottom w:val="single" w:sz="8" w:space="0" w:color="67B93E"/>
              <w:right w:val="single" w:sz="8" w:space="0" w:color="67B93E"/>
            </w:tcBorders>
            <w:shd w:val="clear" w:color="000000" w:fill="F2F2F2"/>
            <w:vAlign w:val="center"/>
            <w:hideMark/>
          </w:tcPr>
          <w:p w14:paraId="3A7E1866"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6,18%</w:t>
            </w:r>
          </w:p>
        </w:tc>
        <w:tc>
          <w:tcPr>
            <w:tcW w:w="1533" w:type="dxa"/>
            <w:tcBorders>
              <w:top w:val="nil"/>
              <w:left w:val="nil"/>
              <w:bottom w:val="single" w:sz="8" w:space="0" w:color="67B93E"/>
              <w:right w:val="single" w:sz="8" w:space="0" w:color="67B93E"/>
            </w:tcBorders>
            <w:shd w:val="clear" w:color="000000" w:fill="F2F2F2"/>
            <w:vAlign w:val="center"/>
            <w:hideMark/>
          </w:tcPr>
          <w:p w14:paraId="127ACEE9"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7,67%</w:t>
            </w:r>
          </w:p>
        </w:tc>
        <w:tc>
          <w:tcPr>
            <w:tcW w:w="1529" w:type="dxa"/>
            <w:tcBorders>
              <w:top w:val="nil"/>
              <w:left w:val="nil"/>
              <w:bottom w:val="single" w:sz="8" w:space="0" w:color="67B93E"/>
              <w:right w:val="single" w:sz="8" w:space="0" w:color="67B93E"/>
            </w:tcBorders>
            <w:shd w:val="clear" w:color="000000" w:fill="F2F2F2"/>
            <w:vAlign w:val="center"/>
            <w:hideMark/>
          </w:tcPr>
          <w:p w14:paraId="0C60698F"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1,49%</w:t>
            </w:r>
          </w:p>
        </w:tc>
      </w:tr>
      <w:tr w:rsidR="00FA5EE7" w:rsidRPr="00FA5EE7" w14:paraId="508D06CA" w14:textId="77777777" w:rsidTr="00FA5EE7">
        <w:trPr>
          <w:trHeight w:val="348"/>
        </w:trPr>
        <w:tc>
          <w:tcPr>
            <w:tcW w:w="2586" w:type="dxa"/>
            <w:tcBorders>
              <w:top w:val="nil"/>
              <w:left w:val="single" w:sz="8" w:space="0" w:color="67B93E"/>
              <w:bottom w:val="single" w:sz="8" w:space="0" w:color="67B93E"/>
              <w:right w:val="single" w:sz="8" w:space="0" w:color="67B93E"/>
            </w:tcBorders>
            <w:shd w:val="clear" w:color="auto" w:fill="auto"/>
            <w:vAlign w:val="center"/>
            <w:hideMark/>
          </w:tcPr>
          <w:p w14:paraId="44A349A1"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Enfermedades digestivas</w:t>
            </w:r>
          </w:p>
        </w:tc>
        <w:tc>
          <w:tcPr>
            <w:tcW w:w="1530" w:type="dxa"/>
            <w:tcBorders>
              <w:top w:val="nil"/>
              <w:left w:val="nil"/>
              <w:bottom w:val="single" w:sz="8" w:space="0" w:color="67B93E"/>
              <w:right w:val="single" w:sz="8" w:space="0" w:color="67B93E"/>
            </w:tcBorders>
            <w:shd w:val="clear" w:color="auto" w:fill="auto"/>
            <w:vAlign w:val="center"/>
            <w:hideMark/>
          </w:tcPr>
          <w:p w14:paraId="474C8B9E"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5,83%</w:t>
            </w:r>
          </w:p>
        </w:tc>
        <w:tc>
          <w:tcPr>
            <w:tcW w:w="1533" w:type="dxa"/>
            <w:tcBorders>
              <w:top w:val="nil"/>
              <w:left w:val="nil"/>
              <w:bottom w:val="single" w:sz="8" w:space="0" w:color="67B93E"/>
              <w:right w:val="single" w:sz="8" w:space="0" w:color="67B93E"/>
            </w:tcBorders>
            <w:shd w:val="clear" w:color="auto" w:fill="auto"/>
            <w:vAlign w:val="center"/>
            <w:hideMark/>
          </w:tcPr>
          <w:p w14:paraId="5E94F5FA"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5,08%</w:t>
            </w:r>
          </w:p>
        </w:tc>
        <w:tc>
          <w:tcPr>
            <w:tcW w:w="1533" w:type="dxa"/>
            <w:tcBorders>
              <w:top w:val="nil"/>
              <w:left w:val="nil"/>
              <w:bottom w:val="single" w:sz="8" w:space="0" w:color="67B93E"/>
              <w:right w:val="single" w:sz="8" w:space="0" w:color="67B93E"/>
            </w:tcBorders>
            <w:shd w:val="clear" w:color="auto" w:fill="auto"/>
            <w:vAlign w:val="center"/>
            <w:hideMark/>
          </w:tcPr>
          <w:p w14:paraId="13AD5FE6"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5,66%</w:t>
            </w:r>
          </w:p>
        </w:tc>
        <w:tc>
          <w:tcPr>
            <w:tcW w:w="1529" w:type="dxa"/>
            <w:tcBorders>
              <w:top w:val="nil"/>
              <w:left w:val="nil"/>
              <w:bottom w:val="single" w:sz="8" w:space="0" w:color="67B93E"/>
              <w:right w:val="single" w:sz="8" w:space="0" w:color="67B93E"/>
            </w:tcBorders>
            <w:shd w:val="clear" w:color="auto" w:fill="auto"/>
            <w:vAlign w:val="center"/>
            <w:hideMark/>
          </w:tcPr>
          <w:p w14:paraId="7D44B97E"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0,58%</w:t>
            </w:r>
          </w:p>
        </w:tc>
      </w:tr>
      <w:tr w:rsidR="00FA5EE7" w:rsidRPr="00FA5EE7" w14:paraId="430B8834" w14:textId="77777777" w:rsidTr="00FA5EE7">
        <w:trPr>
          <w:trHeight w:val="462"/>
        </w:trPr>
        <w:tc>
          <w:tcPr>
            <w:tcW w:w="2586" w:type="dxa"/>
            <w:tcBorders>
              <w:top w:val="nil"/>
              <w:left w:val="single" w:sz="8" w:space="0" w:color="67B93E"/>
              <w:bottom w:val="single" w:sz="8" w:space="0" w:color="67B93E"/>
              <w:right w:val="single" w:sz="8" w:space="0" w:color="67B93E"/>
            </w:tcBorders>
            <w:shd w:val="clear" w:color="000000" w:fill="F2F2F2"/>
            <w:vAlign w:val="center"/>
            <w:hideMark/>
          </w:tcPr>
          <w:p w14:paraId="4D4A6280" w14:textId="77777777" w:rsidR="00FA5EE7" w:rsidRPr="00FA5EE7" w:rsidRDefault="00FA5EE7" w:rsidP="00FA5EE7">
            <w:pPr>
              <w:widowControl/>
              <w:autoSpaceDE/>
              <w:autoSpaceDN/>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Signos y síntomas mal definidos</w:t>
            </w:r>
          </w:p>
        </w:tc>
        <w:tc>
          <w:tcPr>
            <w:tcW w:w="1530" w:type="dxa"/>
            <w:tcBorders>
              <w:top w:val="nil"/>
              <w:left w:val="nil"/>
              <w:bottom w:val="single" w:sz="8" w:space="0" w:color="67B93E"/>
              <w:right w:val="single" w:sz="8" w:space="0" w:color="67B93E"/>
            </w:tcBorders>
            <w:shd w:val="clear" w:color="000000" w:fill="F2F2F2"/>
            <w:vAlign w:val="center"/>
            <w:hideMark/>
          </w:tcPr>
          <w:p w14:paraId="39B1B0A7" w14:textId="77777777" w:rsidR="00FA5EE7" w:rsidRPr="00FA5EE7" w:rsidRDefault="00FA5EE7" w:rsidP="00FA5EE7">
            <w:pPr>
              <w:widowControl/>
              <w:autoSpaceDE/>
              <w:autoSpaceDN/>
              <w:jc w:val="right"/>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5,01%</w:t>
            </w:r>
          </w:p>
        </w:tc>
        <w:tc>
          <w:tcPr>
            <w:tcW w:w="1533" w:type="dxa"/>
            <w:tcBorders>
              <w:top w:val="nil"/>
              <w:left w:val="nil"/>
              <w:bottom w:val="single" w:sz="8" w:space="0" w:color="67B93E"/>
              <w:right w:val="single" w:sz="8" w:space="0" w:color="67B93E"/>
            </w:tcBorders>
            <w:shd w:val="clear" w:color="000000" w:fill="F2F2F2"/>
            <w:vAlign w:val="center"/>
            <w:hideMark/>
          </w:tcPr>
          <w:p w14:paraId="70D2BC93"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4,70%</w:t>
            </w:r>
          </w:p>
        </w:tc>
        <w:tc>
          <w:tcPr>
            <w:tcW w:w="1533" w:type="dxa"/>
            <w:tcBorders>
              <w:top w:val="nil"/>
              <w:left w:val="nil"/>
              <w:bottom w:val="single" w:sz="8" w:space="0" w:color="67B93E"/>
              <w:right w:val="single" w:sz="8" w:space="0" w:color="67B93E"/>
            </w:tcBorders>
            <w:shd w:val="clear" w:color="000000" w:fill="F2F2F2"/>
            <w:vAlign w:val="center"/>
            <w:hideMark/>
          </w:tcPr>
          <w:p w14:paraId="5F993F4C"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4,62%</w:t>
            </w:r>
          </w:p>
        </w:tc>
        <w:tc>
          <w:tcPr>
            <w:tcW w:w="1529" w:type="dxa"/>
            <w:tcBorders>
              <w:top w:val="nil"/>
              <w:left w:val="nil"/>
              <w:bottom w:val="single" w:sz="8" w:space="0" w:color="67B93E"/>
              <w:right w:val="single" w:sz="8" w:space="0" w:color="67B93E"/>
            </w:tcBorders>
            <w:shd w:val="clear" w:color="000000" w:fill="F2F2F2"/>
            <w:vAlign w:val="center"/>
            <w:hideMark/>
          </w:tcPr>
          <w:p w14:paraId="151E3608" w14:textId="77777777" w:rsidR="00FA5EE7" w:rsidRPr="00FA5EE7" w:rsidRDefault="00FA5EE7" w:rsidP="00FA5EE7">
            <w:pPr>
              <w:widowControl/>
              <w:autoSpaceDE/>
              <w:autoSpaceDN/>
              <w:jc w:val="center"/>
              <w:rPr>
                <w:rFonts w:ascii="Humanst521 BT" w:eastAsia="Times New Roman" w:hAnsi="Humanst521 BT" w:cs="Calibri"/>
                <w:color w:val="000000"/>
                <w:sz w:val="20"/>
                <w:szCs w:val="20"/>
                <w:lang w:val="es-CO" w:eastAsia="es-CO"/>
              </w:rPr>
            </w:pPr>
            <w:r w:rsidRPr="00FA5EE7">
              <w:rPr>
                <w:rFonts w:ascii="Humanst521 BT" w:eastAsia="Times New Roman" w:hAnsi="Humanst521 BT" w:cs="Calibri"/>
                <w:color w:val="000000"/>
                <w:sz w:val="20"/>
                <w:szCs w:val="20"/>
                <w:lang w:eastAsia="es-CO"/>
              </w:rPr>
              <w:t>-0,08%</w:t>
            </w:r>
          </w:p>
        </w:tc>
      </w:tr>
      <w:tr w:rsidR="00FA5EE7" w:rsidRPr="00FA5EE7" w14:paraId="778EF4B1" w14:textId="77777777" w:rsidTr="00FA5EE7">
        <w:trPr>
          <w:trHeight w:val="348"/>
        </w:trPr>
        <w:tc>
          <w:tcPr>
            <w:tcW w:w="2586" w:type="dxa"/>
            <w:tcBorders>
              <w:top w:val="nil"/>
              <w:left w:val="single" w:sz="8" w:space="0" w:color="67B93E"/>
              <w:bottom w:val="single" w:sz="8" w:space="0" w:color="67B93E"/>
              <w:right w:val="single" w:sz="8" w:space="0" w:color="67B93E"/>
            </w:tcBorders>
            <w:shd w:val="clear" w:color="000000" w:fill="C5E0B3"/>
            <w:vAlign w:val="center"/>
            <w:hideMark/>
          </w:tcPr>
          <w:p w14:paraId="2C750EAE"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Total</w:t>
            </w:r>
          </w:p>
        </w:tc>
        <w:tc>
          <w:tcPr>
            <w:tcW w:w="1530" w:type="dxa"/>
            <w:tcBorders>
              <w:top w:val="nil"/>
              <w:left w:val="nil"/>
              <w:bottom w:val="single" w:sz="8" w:space="0" w:color="67B93E"/>
              <w:right w:val="single" w:sz="8" w:space="0" w:color="67B93E"/>
            </w:tcBorders>
            <w:shd w:val="clear" w:color="000000" w:fill="C5E0B3"/>
            <w:vAlign w:val="center"/>
            <w:hideMark/>
          </w:tcPr>
          <w:p w14:paraId="21C0F03F"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83,37%</w:t>
            </w:r>
          </w:p>
        </w:tc>
        <w:tc>
          <w:tcPr>
            <w:tcW w:w="1533" w:type="dxa"/>
            <w:tcBorders>
              <w:top w:val="nil"/>
              <w:left w:val="nil"/>
              <w:bottom w:val="single" w:sz="8" w:space="0" w:color="67B93E"/>
              <w:right w:val="single" w:sz="8" w:space="0" w:color="67B93E"/>
            </w:tcBorders>
            <w:shd w:val="clear" w:color="000000" w:fill="C5E0B3"/>
            <w:vAlign w:val="center"/>
            <w:hideMark/>
          </w:tcPr>
          <w:p w14:paraId="01CD5BDC"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83,97%</w:t>
            </w:r>
          </w:p>
        </w:tc>
        <w:tc>
          <w:tcPr>
            <w:tcW w:w="1533" w:type="dxa"/>
            <w:tcBorders>
              <w:top w:val="nil"/>
              <w:left w:val="nil"/>
              <w:bottom w:val="single" w:sz="8" w:space="0" w:color="67B93E"/>
              <w:right w:val="single" w:sz="8" w:space="0" w:color="67B93E"/>
            </w:tcBorders>
            <w:shd w:val="clear" w:color="000000" w:fill="C5E0B3"/>
            <w:vAlign w:val="center"/>
            <w:hideMark/>
          </w:tcPr>
          <w:p w14:paraId="3E49B886"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85,13%</w:t>
            </w:r>
          </w:p>
        </w:tc>
        <w:tc>
          <w:tcPr>
            <w:tcW w:w="1529" w:type="dxa"/>
            <w:tcBorders>
              <w:top w:val="nil"/>
              <w:left w:val="nil"/>
              <w:bottom w:val="single" w:sz="8" w:space="0" w:color="67B93E"/>
              <w:right w:val="single" w:sz="8" w:space="0" w:color="67B93E"/>
            </w:tcBorders>
            <w:shd w:val="clear" w:color="000000" w:fill="C5E0B3"/>
            <w:vAlign w:val="center"/>
            <w:hideMark/>
          </w:tcPr>
          <w:p w14:paraId="2D38CFF7" w14:textId="77777777" w:rsidR="00FA5EE7" w:rsidRPr="00FA5EE7" w:rsidRDefault="00FA5EE7" w:rsidP="00FA5EE7">
            <w:pPr>
              <w:widowControl/>
              <w:autoSpaceDE/>
              <w:autoSpaceDN/>
              <w:jc w:val="center"/>
              <w:rPr>
                <w:rFonts w:ascii="Humanst521 BT" w:eastAsia="Times New Roman" w:hAnsi="Humanst521 BT" w:cs="Calibri"/>
                <w:b/>
                <w:bCs/>
                <w:color w:val="000000"/>
                <w:sz w:val="20"/>
                <w:szCs w:val="20"/>
                <w:lang w:val="es-CO" w:eastAsia="es-CO"/>
              </w:rPr>
            </w:pPr>
            <w:r w:rsidRPr="00FA5EE7">
              <w:rPr>
                <w:rFonts w:ascii="Humanst521 BT" w:eastAsia="Times New Roman" w:hAnsi="Humanst521 BT" w:cs="Calibri"/>
                <w:b/>
                <w:bCs/>
                <w:color w:val="000000"/>
                <w:sz w:val="20"/>
                <w:szCs w:val="20"/>
                <w:lang w:eastAsia="es-CO"/>
              </w:rPr>
              <w:t>1,16%</w:t>
            </w:r>
          </w:p>
        </w:tc>
      </w:tr>
    </w:tbl>
    <w:p w14:paraId="76CAE2F2" w14:textId="77777777" w:rsidR="007C7DE4" w:rsidRPr="007F0FA7" w:rsidRDefault="007C7DE4" w:rsidP="00093B44">
      <w:pPr>
        <w:pStyle w:val="Textopredeterminado1"/>
        <w:tabs>
          <w:tab w:val="left" w:pos="720"/>
          <w:tab w:val="left" w:pos="1083"/>
        </w:tabs>
        <w:jc w:val="both"/>
        <w:rPr>
          <w:rFonts w:ascii="Humanst521 BT" w:hAnsi="Humanst521 BT" w:cstheme="minorBidi"/>
          <w:sz w:val="22"/>
          <w:szCs w:val="22"/>
        </w:rPr>
      </w:pPr>
    </w:p>
    <w:p w14:paraId="20999D57" w14:textId="77777777" w:rsidR="007C7DE4" w:rsidRPr="007F0FA7" w:rsidRDefault="007C7DE4" w:rsidP="00093B44">
      <w:pPr>
        <w:pStyle w:val="Textopredeterminado1"/>
        <w:tabs>
          <w:tab w:val="left" w:pos="720"/>
          <w:tab w:val="left" w:pos="1083"/>
        </w:tabs>
        <w:jc w:val="both"/>
        <w:rPr>
          <w:rFonts w:ascii="Humanst521 BT" w:hAnsi="Humanst521 BT" w:cstheme="minorBidi"/>
          <w:sz w:val="22"/>
          <w:szCs w:val="22"/>
        </w:rPr>
      </w:pPr>
    </w:p>
    <w:p w14:paraId="4035D8F7" w14:textId="77777777" w:rsidR="007C7DE4" w:rsidRPr="007F0FA7" w:rsidRDefault="007C7DE4" w:rsidP="00093B44">
      <w:pPr>
        <w:jc w:val="both"/>
        <w:rPr>
          <w:rFonts w:ascii="Humanst521 BT" w:hAnsi="Humanst521 BT" w:cstheme="minorBidi"/>
        </w:rPr>
      </w:pPr>
      <w:r w:rsidRPr="007F0FA7">
        <w:rPr>
          <w:rFonts w:ascii="Humanst521 BT" w:hAnsi="Humanst521 BT" w:cstheme="minorBidi"/>
        </w:rPr>
        <w:t>Fuente: Sistema Integrado de UISALUD</w:t>
      </w:r>
    </w:p>
    <w:p w14:paraId="6CD144B5" w14:textId="77777777" w:rsidR="007C7DE4" w:rsidRDefault="007C7DE4" w:rsidP="00093B44">
      <w:pPr>
        <w:pStyle w:val="Textopredeterminado1"/>
        <w:tabs>
          <w:tab w:val="left" w:pos="720"/>
          <w:tab w:val="left" w:pos="1083"/>
        </w:tabs>
        <w:jc w:val="both"/>
        <w:rPr>
          <w:rFonts w:ascii="Humanst521 BT" w:hAnsi="Humanst521 BT" w:cstheme="minorBidi"/>
          <w:sz w:val="22"/>
          <w:szCs w:val="22"/>
        </w:rPr>
      </w:pPr>
    </w:p>
    <w:p w14:paraId="77E1805D" w14:textId="77777777" w:rsidR="00E93DFE" w:rsidRPr="00356B25" w:rsidRDefault="00E93DFE" w:rsidP="00E93DFE">
      <w:pPr>
        <w:widowControl/>
        <w:autoSpaceDE/>
        <w:autoSpaceDN/>
        <w:spacing w:before="100" w:beforeAutospacing="1" w:after="100" w:afterAutospacing="1"/>
        <w:jc w:val="both"/>
        <w:rPr>
          <w:rFonts w:ascii="Humanst521 BT" w:eastAsia="Times New Roman" w:hAnsi="Humanst521 BT" w:cs="Times New Roman"/>
          <w:lang w:val="es-CO" w:eastAsia="es-CO"/>
        </w:rPr>
      </w:pPr>
      <w:r w:rsidRPr="00356B25">
        <w:rPr>
          <w:rFonts w:ascii="Humanst521 BT" w:eastAsia="Times New Roman" w:hAnsi="Humanst521 BT" w:cs="Times New Roman"/>
          <w:lang w:val="es-CO" w:eastAsia="es-CO"/>
        </w:rPr>
        <w:t xml:space="preserve">El comportamiento de la morbilidad atendida en UISALUD entre 2023 y 2025 </w:t>
      </w:r>
      <w:r>
        <w:rPr>
          <w:rFonts w:ascii="Humanst521 BT" w:eastAsia="Times New Roman" w:hAnsi="Humanst521 BT" w:cs="Times New Roman"/>
          <w:lang w:val="es-CO" w:eastAsia="es-CO"/>
        </w:rPr>
        <w:t xml:space="preserve">por subgrupo </w:t>
      </w:r>
      <w:r w:rsidRPr="00356B25">
        <w:rPr>
          <w:rFonts w:ascii="Humanst521 BT" w:eastAsia="Times New Roman" w:hAnsi="Humanst521 BT" w:cs="Times New Roman"/>
          <w:lang w:val="es-CO" w:eastAsia="es-CO"/>
        </w:rPr>
        <w:t>muestra cambios importantes en los motivos de consulta. Llama la atención el aumento progresivo de las atenciones por enfermedades cardiovasculares, que pasan de 8,47% a 14,27%, así como el crecimiento de los trastornos endocrinos. Esto refleja una mayor demanda de servicios asociada a condiciones crónicas, en línea con el envejecimiento de la población afiliada, y plantea la necesidad de seguir fortaleciendo las acciones de control y seguimiento de estos pacientes.</w:t>
      </w:r>
    </w:p>
    <w:p w14:paraId="2106595D" w14:textId="77777777" w:rsidR="00E93DFE" w:rsidRPr="00356B25" w:rsidRDefault="00E93DFE" w:rsidP="00E93DFE">
      <w:pPr>
        <w:widowControl/>
        <w:autoSpaceDE/>
        <w:autoSpaceDN/>
        <w:spacing w:before="100" w:beforeAutospacing="1" w:after="100" w:afterAutospacing="1"/>
        <w:jc w:val="both"/>
        <w:rPr>
          <w:rFonts w:ascii="Humanst521 BT" w:eastAsia="Times New Roman" w:hAnsi="Humanst521 BT" w:cs="Times New Roman"/>
          <w:lang w:val="es-CO" w:eastAsia="es-CO"/>
        </w:rPr>
      </w:pPr>
      <w:r w:rsidRPr="00356B25">
        <w:rPr>
          <w:rFonts w:ascii="Humanst521 BT" w:eastAsia="Times New Roman" w:hAnsi="Humanst521 BT" w:cs="Times New Roman"/>
          <w:lang w:val="es-CO" w:eastAsia="es-CO"/>
        </w:rPr>
        <w:t>Al mismo tiempo, se mantiene la presencia de enfermedades infecciosas dentro de la atención, especialmente las infecciones respiratorias, que conservan una proporción estable, y las enfermedades infecciosas y parasitarias, junto con un aumento en las enfermedades de la piel. Este comportamiento sugiere que, además de las patologías crónicas, continúan existiendo factores que favorecen la consulta por enfermedades transmisibles, por lo que es clave mantener las acciones de promoción de la salud y prevención.</w:t>
      </w:r>
    </w:p>
    <w:p w14:paraId="0B9EF5B8" w14:textId="77777777" w:rsidR="00E93DFE" w:rsidRPr="00356B25" w:rsidRDefault="00E93DFE" w:rsidP="00E93DFE">
      <w:pPr>
        <w:widowControl/>
        <w:autoSpaceDE/>
        <w:autoSpaceDN/>
        <w:spacing w:before="100" w:beforeAutospacing="1" w:after="100" w:afterAutospacing="1"/>
        <w:jc w:val="both"/>
        <w:rPr>
          <w:rFonts w:ascii="Humanst521 BT" w:eastAsia="Times New Roman" w:hAnsi="Humanst521 BT" w:cs="Times New Roman"/>
          <w:lang w:val="es-CO" w:eastAsia="es-CO"/>
        </w:rPr>
      </w:pPr>
      <w:r w:rsidRPr="00356B25">
        <w:rPr>
          <w:rFonts w:ascii="Humanst521 BT" w:eastAsia="Times New Roman" w:hAnsi="Humanst521 BT" w:cs="Times New Roman"/>
          <w:lang w:val="es-CO" w:eastAsia="es-CO"/>
        </w:rPr>
        <w:t>Finalmente, algunos grupos presentan variaciones que vale la pena seguir de cerca, como las enfermedades musculoesqueléticas, que disminuyen frente a 2023 pero muestran un leve aumento en 2025, y las enfermedades neuropsiquiátricas, cuyo comportamiento ha sido variable en el periodo. En conjunto, se observa una mayor concentración de la atención en estos subgrupos, lo que permite orientar mejor las acciones institucionales hacia los problemas que más están generando consulta en la población afiliada.</w:t>
      </w:r>
    </w:p>
    <w:p w14:paraId="07421FAD" w14:textId="28B5BD98" w:rsidR="00FD5C00" w:rsidRPr="007F0FA7" w:rsidRDefault="00643335" w:rsidP="00CF2550">
      <w:pPr>
        <w:pStyle w:val="Descripcin"/>
        <w:spacing w:line="240" w:lineRule="auto"/>
        <w:outlineLvl w:val="3"/>
        <w:rPr>
          <w:rFonts w:ascii="Humanst521 BT" w:eastAsia="Verdana" w:hAnsi="Humanst521 BT" w:cs="Verdana"/>
          <w:color w:val="auto"/>
          <w:sz w:val="22"/>
          <w:szCs w:val="22"/>
          <w:lang w:val="es-ES"/>
        </w:rPr>
      </w:pPr>
      <w:bookmarkStart w:id="88" w:name="_Toc231286801"/>
      <w:bookmarkStart w:id="89" w:name="_Toc532822438"/>
      <w:bookmarkStart w:id="90" w:name="_Toc533147877"/>
      <w:bookmarkStart w:id="91" w:name="_Toc175638512"/>
      <w:r w:rsidRPr="00C8589C">
        <w:rPr>
          <w:rFonts w:ascii="Humanst521 BT" w:eastAsia="Verdana" w:hAnsi="Humanst521 BT" w:cs="Verdana"/>
          <w:sz w:val="22"/>
          <w:szCs w:val="22"/>
          <w:lang w:val="es-ES"/>
        </w:rPr>
        <w:t>5.2.1.</w:t>
      </w:r>
      <w:r w:rsidR="00C61CA6" w:rsidRPr="00C8589C">
        <w:rPr>
          <w:rFonts w:ascii="Humanst521 BT" w:eastAsia="Verdana" w:hAnsi="Humanst521 BT" w:cs="Verdana"/>
          <w:sz w:val="22"/>
          <w:szCs w:val="22"/>
          <w:lang w:val="es-ES"/>
        </w:rPr>
        <w:t>2. Eventos</w:t>
      </w:r>
      <w:r w:rsidR="005537B0" w:rsidRPr="00C8589C">
        <w:rPr>
          <w:rFonts w:ascii="Humanst521 BT" w:eastAsia="Verdana" w:hAnsi="Humanst521 BT" w:cs="Verdana"/>
          <w:sz w:val="22"/>
          <w:szCs w:val="22"/>
          <w:lang w:val="es-ES"/>
        </w:rPr>
        <w:t xml:space="preserve"> de interés en Salud Pública</w:t>
      </w:r>
      <w:bookmarkEnd w:id="88"/>
    </w:p>
    <w:p w14:paraId="27B6F026" w14:textId="737600D8" w:rsidR="007C1D77" w:rsidRPr="007C1D77" w:rsidRDefault="007C1D77" w:rsidP="007C1D77">
      <w:pPr>
        <w:widowControl/>
        <w:autoSpaceDE/>
        <w:autoSpaceDN/>
        <w:spacing w:before="100" w:beforeAutospacing="1" w:after="100" w:afterAutospacing="1"/>
        <w:jc w:val="both"/>
        <w:rPr>
          <w:rFonts w:ascii="Humanst521 BT" w:eastAsia="Times New Roman" w:hAnsi="Humanst521 BT" w:cs="Times New Roman"/>
          <w:lang w:val="es-CO" w:eastAsia="es-CO"/>
        </w:rPr>
      </w:pPr>
      <w:r w:rsidRPr="007C1D77">
        <w:rPr>
          <w:rFonts w:ascii="Humanst521 BT" w:eastAsia="Times New Roman" w:hAnsi="Humanst521 BT" w:cs="Times New Roman"/>
          <w:lang w:val="es-CO" w:eastAsia="es-CO"/>
        </w:rPr>
        <w:t xml:space="preserve">El análisis de los eventos de vigilancia en salud pública en UISALUD evidencia una </w:t>
      </w:r>
      <w:r w:rsidRPr="00370096">
        <w:rPr>
          <w:rFonts w:ascii="Humanst521 BT" w:eastAsia="Times New Roman" w:hAnsi="Humanst521 BT" w:cs="Times New Roman"/>
          <w:lang w:val="es-CO" w:eastAsia="es-CO"/>
        </w:rPr>
        <w:t xml:space="preserve">concentración en dengue, </w:t>
      </w:r>
      <w:r w:rsidRPr="007C1D77">
        <w:rPr>
          <w:rFonts w:ascii="Humanst521 BT" w:eastAsia="Times New Roman" w:hAnsi="Humanst521 BT" w:cs="Times New Roman"/>
          <w:lang w:val="es-CO" w:eastAsia="es-CO"/>
        </w:rPr>
        <w:t>que representa el 75,26% de los eventos notificados en el periodo actual, a pesar de mostrar una reducción frente al periodo anterior (-54,38%). Este comportamiento sugiere que, aunque se ha logrado una disminución importante en el número de casos, el dengue continúa siendo el principal evento de interés en salud pública, lo que podría estar relacionado con condiciones ambientales favorables para la transmisión y la persistencia de factores de riesgo en el entorno. En menor proporción, se destacan las agresiones por animales potencialmente transmisores de rabia (9,28%), que también disminuyen, lo cual puede reflejar avances en acciones de prevención y control.</w:t>
      </w:r>
    </w:p>
    <w:p w14:paraId="30279761" w14:textId="77777777" w:rsidR="007C1D77" w:rsidRPr="007C1D77" w:rsidRDefault="007C1D77" w:rsidP="007C1D77">
      <w:pPr>
        <w:widowControl/>
        <w:autoSpaceDE/>
        <w:autoSpaceDN/>
        <w:spacing w:before="100" w:beforeAutospacing="1" w:after="100" w:afterAutospacing="1"/>
        <w:jc w:val="both"/>
        <w:rPr>
          <w:rFonts w:ascii="Humanst521 BT" w:eastAsia="Times New Roman" w:hAnsi="Humanst521 BT" w:cs="Times New Roman"/>
          <w:lang w:val="es-CO" w:eastAsia="es-CO"/>
        </w:rPr>
      </w:pPr>
      <w:r w:rsidRPr="007C1D77">
        <w:rPr>
          <w:rFonts w:ascii="Humanst521 BT" w:eastAsia="Times New Roman" w:hAnsi="Humanst521 BT" w:cs="Times New Roman"/>
          <w:lang w:val="es-CO" w:eastAsia="es-CO"/>
        </w:rPr>
        <w:lastRenderedPageBreak/>
        <w:t>Por otro lado, eventos como intento de suicidio, tuberculosis y VIH/SIDA mantienen una participación menor pero relevante, con tendencia a la reducción en comparación con el periodo anterior. Sin embargo, su importancia radica en el impacto individual y social que generan, así como en la necesidad de intervenciones continuas en salud mental, control de enfermedades transmisibles y seguimiento a poblaciones vulnerables. Llama la atención la disminución marcada o ausencia de notificación en varios eventos (variaciones cercanas al -100%), lo que podría explicarse por una reducción real de casos, pero también por posibles variaciones en la captación, el reporte o la vigilancia activa.</w:t>
      </w:r>
    </w:p>
    <w:p w14:paraId="79E73934" w14:textId="77777777" w:rsidR="007C1D77" w:rsidRPr="007C1D77" w:rsidRDefault="007C1D77" w:rsidP="007C1D77">
      <w:pPr>
        <w:widowControl/>
        <w:autoSpaceDE/>
        <w:autoSpaceDN/>
        <w:spacing w:before="100" w:beforeAutospacing="1" w:after="100" w:afterAutospacing="1"/>
        <w:jc w:val="both"/>
        <w:rPr>
          <w:rFonts w:ascii="Humanst521 BT" w:eastAsia="Times New Roman" w:hAnsi="Humanst521 BT" w:cs="Times New Roman"/>
          <w:lang w:val="es-CO" w:eastAsia="es-CO"/>
        </w:rPr>
      </w:pPr>
      <w:r w:rsidRPr="007C1D77">
        <w:rPr>
          <w:rFonts w:ascii="Humanst521 BT" w:eastAsia="Times New Roman" w:hAnsi="Humanst521 BT" w:cs="Times New Roman"/>
          <w:lang w:val="es-CO" w:eastAsia="es-CO"/>
        </w:rPr>
        <w:t>En conjunto, la reducción global del 55,71% en los eventos notificados sugiere un cambio importante en el comportamiento de la notificación o en la ocurrencia de los eventos, lo que hace necesario fortalecer los procesos de vigilancia epidemiológica para garantizar la calidad y oportunidad del dato. Estos resultados orientan la priorización de intervenciones hacia enfermedades transmitidas por vectores, el mantenimiento de acciones en salud mental y zoonosis, y la revisión de estrategias de búsqueda activa y notificación, con el fin de asegurar una adecuada caracterización del riesgo en la población afiliada.</w:t>
      </w:r>
    </w:p>
    <w:p w14:paraId="6553B8B0" w14:textId="53313454" w:rsidR="00C151BD" w:rsidRPr="007F0FA7" w:rsidRDefault="00C151BD" w:rsidP="00093B44">
      <w:pPr>
        <w:pStyle w:val="Descripcin"/>
        <w:spacing w:line="240" w:lineRule="auto"/>
        <w:rPr>
          <w:rFonts w:ascii="Humanst521 BT" w:eastAsia="Verdana" w:hAnsi="Humanst521 BT" w:cs="Verdana"/>
          <w:b w:val="0"/>
          <w:bCs w:val="0"/>
          <w:color w:val="auto"/>
          <w:sz w:val="22"/>
          <w:szCs w:val="22"/>
          <w:lang w:val="es-ES"/>
        </w:rPr>
      </w:pPr>
      <w:bookmarkStart w:id="92" w:name="_Toc231286764"/>
      <w:r w:rsidRPr="007F0FA7">
        <w:rPr>
          <w:rFonts w:ascii="Humanst521 BT" w:eastAsia="Verdana" w:hAnsi="Humanst521 BT" w:cs="Verdana"/>
          <w:b w:val="0"/>
          <w:bCs w:val="0"/>
          <w:color w:val="auto"/>
          <w:sz w:val="22"/>
          <w:szCs w:val="22"/>
          <w:lang w:val="es-ES"/>
        </w:rPr>
        <w:t xml:space="preserve">Figura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Figura_ \* ARABIC </w:instrText>
      </w:r>
      <w:r w:rsidRPr="007F0FA7">
        <w:rPr>
          <w:rFonts w:ascii="Humanst521 BT" w:eastAsia="Verdana" w:hAnsi="Humanst521 BT" w:cs="Verdana"/>
          <w:b w:val="0"/>
          <w:bCs w:val="0"/>
          <w:color w:val="auto"/>
          <w:sz w:val="22"/>
          <w:szCs w:val="22"/>
          <w:lang w:val="es-ES"/>
        </w:rPr>
        <w:fldChar w:fldCharType="separate"/>
      </w:r>
      <w:r w:rsidR="00266118">
        <w:rPr>
          <w:rFonts w:ascii="Humanst521 BT" w:eastAsia="Verdana" w:hAnsi="Humanst521 BT" w:cs="Verdana"/>
          <w:b w:val="0"/>
          <w:bCs w:val="0"/>
          <w:noProof/>
          <w:color w:val="auto"/>
          <w:sz w:val="22"/>
          <w:szCs w:val="22"/>
          <w:lang w:val="es-ES"/>
        </w:rPr>
        <w:t>2</w:t>
      </w:r>
      <w:r w:rsidRPr="007F0FA7">
        <w:rPr>
          <w:rFonts w:ascii="Humanst521 BT" w:eastAsia="Verdana" w:hAnsi="Humanst521 BT" w:cs="Verdana"/>
          <w:b w:val="0"/>
          <w:bCs w:val="0"/>
          <w:color w:val="auto"/>
          <w:sz w:val="22"/>
          <w:szCs w:val="22"/>
          <w:lang w:val="es-ES"/>
        </w:rPr>
        <w:fldChar w:fldCharType="end"/>
      </w:r>
      <w:r w:rsidRPr="007F0FA7">
        <w:rPr>
          <w:rFonts w:ascii="Humanst521 BT" w:eastAsia="Verdana" w:hAnsi="Humanst521 BT" w:cs="Verdana"/>
          <w:b w:val="0"/>
          <w:bCs w:val="0"/>
          <w:color w:val="auto"/>
          <w:sz w:val="22"/>
          <w:szCs w:val="22"/>
          <w:lang w:val="es-ES"/>
        </w:rPr>
        <w:t xml:space="preserve">: Distribución de los casos eventos de interés en salud </w:t>
      </w:r>
      <w:r w:rsidR="00687012" w:rsidRPr="007F0FA7">
        <w:rPr>
          <w:rFonts w:ascii="Humanst521 BT" w:eastAsia="Verdana" w:hAnsi="Humanst521 BT" w:cs="Verdana"/>
          <w:b w:val="0"/>
          <w:bCs w:val="0"/>
          <w:color w:val="auto"/>
          <w:sz w:val="22"/>
          <w:szCs w:val="22"/>
          <w:lang w:val="es-ES"/>
        </w:rPr>
        <w:t>pública</w:t>
      </w:r>
      <w:r w:rsidRPr="007F0FA7">
        <w:rPr>
          <w:rFonts w:ascii="Humanst521 BT" w:eastAsia="Verdana" w:hAnsi="Humanst521 BT" w:cs="Verdana"/>
          <w:b w:val="0"/>
          <w:bCs w:val="0"/>
          <w:color w:val="auto"/>
          <w:sz w:val="22"/>
          <w:szCs w:val="22"/>
          <w:lang w:val="es-ES"/>
        </w:rPr>
        <w:t>, UISALUD,</w:t>
      </w:r>
      <w:r w:rsidR="00C02D31">
        <w:rPr>
          <w:rFonts w:ascii="Humanst521 BT" w:eastAsia="Verdana" w:hAnsi="Humanst521 BT" w:cs="Verdana"/>
          <w:b w:val="0"/>
          <w:bCs w:val="0"/>
          <w:color w:val="auto"/>
          <w:sz w:val="22"/>
          <w:szCs w:val="22"/>
          <w:lang w:val="es-ES"/>
        </w:rPr>
        <w:t xml:space="preserve"> - 2025</w:t>
      </w:r>
      <w:bookmarkEnd w:id="92"/>
    </w:p>
    <w:p w14:paraId="2B77A7D8" w14:textId="490EADE0" w:rsidR="005537B0" w:rsidRPr="007F0FA7" w:rsidRDefault="005537B0" w:rsidP="00CF2550">
      <w:pPr>
        <w:rPr>
          <w:rFonts w:ascii="Humanst521 BT" w:hAnsi="Humanst521 BT"/>
        </w:rPr>
      </w:pPr>
    </w:p>
    <w:p w14:paraId="3462DD18" w14:textId="5F80D4E1" w:rsidR="009E4A5F" w:rsidRDefault="009E4A5F" w:rsidP="00CF2550">
      <w:pPr>
        <w:pStyle w:val="Descripcin"/>
        <w:spacing w:line="240" w:lineRule="auto"/>
        <w:rPr>
          <w:rFonts w:ascii="Humanst521 BT" w:eastAsia="Verdana" w:hAnsi="Humanst521 BT" w:cs="Verdana"/>
          <w:color w:val="auto"/>
          <w:sz w:val="22"/>
          <w:szCs w:val="22"/>
          <w:lang w:val="es-ES"/>
        </w:rPr>
      </w:pPr>
      <w:r>
        <w:rPr>
          <w:noProof/>
        </w:rPr>
        <w:drawing>
          <wp:inline distT="0" distB="0" distL="0" distR="0" wp14:anchorId="6C73986C" wp14:editId="3BCB52EB">
            <wp:extent cx="6070600" cy="2752725"/>
            <wp:effectExtent l="0" t="0" r="6350" b="9525"/>
            <wp:docPr id="23" name="Gráfico 23">
              <a:extLst xmlns:a="http://schemas.openxmlformats.org/drawingml/2006/main">
                <a:ext uri="{FF2B5EF4-FFF2-40B4-BE49-F238E27FC236}">
                  <a16:creationId xmlns:a16="http://schemas.microsoft.com/office/drawing/2014/main" id="{E7F7392C-5DD2-4EEF-9C68-CAE2F886CB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B49EE4D" w14:textId="4C093403" w:rsidR="00926BDE" w:rsidRPr="00C8589C" w:rsidRDefault="00643335" w:rsidP="00CF2550">
      <w:pPr>
        <w:pStyle w:val="Descripcin"/>
        <w:spacing w:line="240" w:lineRule="auto"/>
        <w:outlineLvl w:val="3"/>
        <w:rPr>
          <w:rFonts w:ascii="Humanst521 BT" w:eastAsia="Verdana" w:hAnsi="Humanst521 BT" w:cs="Verdana"/>
          <w:sz w:val="22"/>
          <w:szCs w:val="22"/>
          <w:lang w:val="es-ES"/>
        </w:rPr>
      </w:pPr>
      <w:bookmarkStart w:id="93" w:name="_Toc231286802"/>
      <w:r w:rsidRPr="00C8589C">
        <w:rPr>
          <w:rFonts w:ascii="Humanst521 BT" w:eastAsia="Verdana" w:hAnsi="Humanst521 BT" w:cs="Verdana"/>
          <w:sz w:val="22"/>
          <w:szCs w:val="22"/>
          <w:lang w:val="es-ES"/>
        </w:rPr>
        <w:t>5.2.1.</w:t>
      </w:r>
      <w:r w:rsidR="00C61CA6" w:rsidRPr="00C8589C">
        <w:rPr>
          <w:rFonts w:ascii="Humanst521 BT" w:eastAsia="Verdana" w:hAnsi="Humanst521 BT" w:cs="Verdana"/>
          <w:sz w:val="22"/>
          <w:szCs w:val="22"/>
          <w:lang w:val="es-ES"/>
        </w:rPr>
        <w:t>3. Morbilidad</w:t>
      </w:r>
      <w:r w:rsidR="00926BDE" w:rsidRPr="00C8589C">
        <w:rPr>
          <w:rFonts w:ascii="Humanst521 BT" w:eastAsia="Verdana" w:hAnsi="Humanst521 BT" w:cs="Verdana"/>
          <w:sz w:val="22"/>
          <w:szCs w:val="22"/>
          <w:lang w:val="es-ES"/>
        </w:rPr>
        <w:t xml:space="preserve"> </w:t>
      </w:r>
      <w:r w:rsidR="00AE205B" w:rsidRPr="00C8589C">
        <w:rPr>
          <w:rFonts w:ascii="Humanst521 BT" w:eastAsia="Verdana" w:hAnsi="Humanst521 BT" w:cs="Verdana"/>
          <w:sz w:val="22"/>
          <w:szCs w:val="22"/>
          <w:lang w:val="es-ES"/>
        </w:rPr>
        <w:t>T</w:t>
      </w:r>
      <w:r w:rsidR="00926BDE" w:rsidRPr="00C8589C">
        <w:rPr>
          <w:rFonts w:ascii="Humanst521 BT" w:eastAsia="Verdana" w:hAnsi="Humanst521 BT" w:cs="Verdana"/>
          <w:sz w:val="22"/>
          <w:szCs w:val="22"/>
          <w:lang w:val="es-ES"/>
        </w:rPr>
        <w:t>razadora</w:t>
      </w:r>
      <w:bookmarkEnd w:id="93"/>
    </w:p>
    <w:p w14:paraId="77D663CD" w14:textId="07D2A8C5" w:rsidR="00B769E5" w:rsidRPr="007F0FA7" w:rsidRDefault="00B769E5" w:rsidP="00093B44">
      <w:pPr>
        <w:pStyle w:val="Descripcin"/>
        <w:keepNext/>
        <w:spacing w:line="240" w:lineRule="auto"/>
        <w:rPr>
          <w:rFonts w:ascii="Humanst521 BT" w:eastAsia="Verdana" w:hAnsi="Humanst521 BT" w:cs="Verdana"/>
          <w:b w:val="0"/>
          <w:bCs w:val="0"/>
          <w:color w:val="auto"/>
          <w:sz w:val="22"/>
          <w:szCs w:val="22"/>
          <w:lang w:val="es-ES"/>
        </w:rPr>
      </w:pPr>
      <w:bookmarkStart w:id="94" w:name="_Toc161298198"/>
      <w:bookmarkStart w:id="95" w:name="_Toc161318818"/>
      <w:bookmarkStart w:id="96" w:name="_Toc231286266"/>
      <w:bookmarkEnd w:id="89"/>
      <w:bookmarkEnd w:id="90"/>
      <w:bookmarkEnd w:id="91"/>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66118">
        <w:rPr>
          <w:rFonts w:ascii="Humanst521 BT" w:eastAsia="Verdana" w:hAnsi="Humanst521 BT" w:cs="Verdana"/>
          <w:b w:val="0"/>
          <w:bCs w:val="0"/>
          <w:noProof/>
          <w:color w:val="auto"/>
          <w:sz w:val="22"/>
          <w:szCs w:val="22"/>
          <w:lang w:val="es-ES"/>
        </w:rPr>
        <w:t>21</w:t>
      </w:r>
      <w:r w:rsidRPr="007F0FA7">
        <w:rPr>
          <w:rFonts w:ascii="Humanst521 BT" w:eastAsia="Verdana" w:hAnsi="Humanst521 BT" w:cs="Verdana"/>
          <w:b w:val="0"/>
          <w:bCs w:val="0"/>
          <w:color w:val="auto"/>
          <w:sz w:val="22"/>
          <w:szCs w:val="22"/>
          <w:lang w:val="es-ES"/>
        </w:rPr>
        <w:fldChar w:fldCharType="end"/>
      </w:r>
      <w:r w:rsidR="00580EDB">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Indicadores de morbilidad trazadora, UISALUD</w:t>
      </w:r>
      <w:r w:rsidR="00BB2D50" w:rsidRPr="007F0FA7">
        <w:rPr>
          <w:rFonts w:ascii="Humanst521 BT" w:eastAsia="Verdana" w:hAnsi="Humanst521 BT" w:cs="Verdana"/>
          <w:b w:val="0"/>
          <w:bCs w:val="0"/>
          <w:color w:val="auto"/>
          <w:sz w:val="22"/>
          <w:szCs w:val="22"/>
          <w:lang w:val="es-ES"/>
        </w:rPr>
        <w:t>- SISPRO</w:t>
      </w:r>
      <w:r w:rsidRPr="007F0FA7">
        <w:rPr>
          <w:rFonts w:ascii="Humanst521 BT" w:eastAsia="Verdana" w:hAnsi="Humanst521 BT" w:cs="Verdana"/>
          <w:b w:val="0"/>
          <w:bCs w:val="0"/>
          <w:color w:val="auto"/>
          <w:sz w:val="22"/>
          <w:szCs w:val="22"/>
          <w:lang w:val="es-ES"/>
        </w:rPr>
        <w:t>, 20</w:t>
      </w:r>
      <w:r w:rsidR="00EF68A6" w:rsidRPr="007F0FA7">
        <w:rPr>
          <w:rFonts w:ascii="Humanst521 BT" w:eastAsia="Verdana" w:hAnsi="Humanst521 BT" w:cs="Verdana"/>
          <w:b w:val="0"/>
          <w:bCs w:val="0"/>
          <w:color w:val="auto"/>
          <w:sz w:val="22"/>
          <w:szCs w:val="22"/>
          <w:lang w:val="es-ES"/>
        </w:rPr>
        <w:t>16</w:t>
      </w:r>
      <w:r w:rsidRPr="007F0FA7">
        <w:rPr>
          <w:rFonts w:ascii="Humanst521 BT" w:eastAsia="Verdana" w:hAnsi="Humanst521 BT" w:cs="Verdana"/>
          <w:b w:val="0"/>
          <w:bCs w:val="0"/>
          <w:color w:val="auto"/>
          <w:sz w:val="22"/>
          <w:szCs w:val="22"/>
          <w:lang w:val="es-ES"/>
        </w:rPr>
        <w:t>-202</w:t>
      </w:r>
      <w:r w:rsidR="00926ABC">
        <w:rPr>
          <w:rFonts w:ascii="Humanst521 BT" w:eastAsia="Verdana" w:hAnsi="Humanst521 BT" w:cs="Verdana"/>
          <w:b w:val="0"/>
          <w:bCs w:val="0"/>
          <w:color w:val="auto"/>
          <w:sz w:val="22"/>
          <w:szCs w:val="22"/>
          <w:lang w:val="es-ES"/>
        </w:rPr>
        <w:t>6</w:t>
      </w:r>
      <w:bookmarkEnd w:id="94"/>
      <w:bookmarkEnd w:id="95"/>
      <w:bookmarkEnd w:id="96"/>
      <w:r w:rsidR="00A15C4C" w:rsidRPr="007F0FA7">
        <w:rPr>
          <w:rFonts w:ascii="Humanst521 BT" w:eastAsia="Verdana" w:hAnsi="Humanst521 BT" w:cs="Verdana"/>
          <w:b w:val="0"/>
          <w:bCs w:val="0"/>
          <w:color w:val="auto"/>
          <w:sz w:val="22"/>
          <w:szCs w:val="22"/>
          <w:lang w:val="es-ES"/>
        </w:rPr>
        <w:t xml:space="preserve"> </w:t>
      </w:r>
    </w:p>
    <w:tbl>
      <w:tblPr>
        <w:tblW w:w="8234" w:type="dxa"/>
        <w:tblCellMar>
          <w:left w:w="70" w:type="dxa"/>
          <w:right w:w="70" w:type="dxa"/>
        </w:tblCellMar>
        <w:tblLook w:val="04A0" w:firstRow="1" w:lastRow="0" w:firstColumn="1" w:lastColumn="0" w:noHBand="0" w:noVBand="1"/>
      </w:tblPr>
      <w:tblGrid>
        <w:gridCol w:w="6356"/>
        <w:gridCol w:w="1878"/>
      </w:tblGrid>
      <w:tr w:rsidR="00D65D8A" w:rsidRPr="00D65D8A" w14:paraId="77BD96B3" w14:textId="77777777" w:rsidTr="00D65D8A">
        <w:trPr>
          <w:trHeight w:val="255"/>
        </w:trPr>
        <w:tc>
          <w:tcPr>
            <w:tcW w:w="6356" w:type="dxa"/>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16E734BA" w14:textId="77777777" w:rsidR="00D65D8A" w:rsidRPr="00D65D8A" w:rsidRDefault="00D65D8A" w:rsidP="00D65D8A">
            <w:pPr>
              <w:widowControl/>
              <w:autoSpaceDE/>
              <w:autoSpaceDN/>
              <w:jc w:val="center"/>
              <w:rPr>
                <w:rFonts w:ascii="Humanst521 BT" w:eastAsia="Times New Roman" w:hAnsi="Humanst521 BT" w:cs="Calibri"/>
                <w:b/>
                <w:bCs/>
                <w:color w:val="000000"/>
                <w:sz w:val="20"/>
                <w:szCs w:val="20"/>
                <w:lang w:val="es-CO" w:eastAsia="es-CO"/>
              </w:rPr>
            </w:pPr>
            <w:r w:rsidRPr="00D65D8A">
              <w:rPr>
                <w:rFonts w:ascii="Humanst521 BT" w:eastAsia="Times New Roman" w:hAnsi="Humanst521 BT" w:cs="Calibri"/>
                <w:b/>
                <w:bCs/>
                <w:color w:val="000000"/>
                <w:sz w:val="20"/>
                <w:szCs w:val="20"/>
                <w:lang w:val="es-CO" w:eastAsia="es-CO"/>
              </w:rPr>
              <w:t>Indicador</w:t>
            </w:r>
          </w:p>
        </w:tc>
        <w:tc>
          <w:tcPr>
            <w:tcW w:w="1878" w:type="dxa"/>
            <w:tcBorders>
              <w:top w:val="single" w:sz="8" w:space="0" w:color="67B93E"/>
              <w:left w:val="nil"/>
              <w:bottom w:val="single" w:sz="8" w:space="0" w:color="67B93E"/>
              <w:right w:val="single" w:sz="8" w:space="0" w:color="67B93E"/>
            </w:tcBorders>
            <w:shd w:val="clear" w:color="000000" w:fill="C5E0B3"/>
            <w:vAlign w:val="center"/>
            <w:hideMark/>
          </w:tcPr>
          <w:p w14:paraId="3EDE7865" w14:textId="77777777" w:rsidR="00D65D8A" w:rsidRPr="00D65D8A" w:rsidRDefault="00D65D8A" w:rsidP="00D65D8A">
            <w:pPr>
              <w:widowControl/>
              <w:autoSpaceDE/>
              <w:autoSpaceDN/>
              <w:jc w:val="center"/>
              <w:rPr>
                <w:rFonts w:ascii="Humanst521 BT" w:eastAsia="Times New Roman" w:hAnsi="Humanst521 BT" w:cs="Calibri"/>
                <w:b/>
                <w:bCs/>
                <w:color w:val="000000"/>
                <w:sz w:val="20"/>
                <w:szCs w:val="20"/>
                <w:lang w:val="es-CO" w:eastAsia="es-CO"/>
              </w:rPr>
            </w:pPr>
            <w:r w:rsidRPr="00D65D8A">
              <w:rPr>
                <w:rFonts w:ascii="Humanst521 BT" w:eastAsia="Times New Roman" w:hAnsi="Humanst521 BT" w:cs="Calibri"/>
                <w:b/>
                <w:bCs/>
                <w:color w:val="000000"/>
                <w:sz w:val="20"/>
                <w:szCs w:val="20"/>
                <w:lang w:val="es-CO" w:eastAsia="es-CO"/>
              </w:rPr>
              <w:t>2016–2025</w:t>
            </w:r>
          </w:p>
        </w:tc>
      </w:tr>
      <w:tr w:rsidR="00D65D8A" w:rsidRPr="00D65D8A" w14:paraId="74AB5801" w14:textId="77777777" w:rsidTr="00D65D8A">
        <w:trPr>
          <w:trHeight w:val="255"/>
        </w:trPr>
        <w:tc>
          <w:tcPr>
            <w:tcW w:w="6356" w:type="dxa"/>
            <w:tcBorders>
              <w:top w:val="nil"/>
              <w:left w:val="single" w:sz="8" w:space="0" w:color="67B93E"/>
              <w:bottom w:val="single" w:sz="8" w:space="0" w:color="67B93E"/>
              <w:right w:val="single" w:sz="8" w:space="0" w:color="67B93E"/>
            </w:tcBorders>
            <w:shd w:val="clear" w:color="auto" w:fill="auto"/>
            <w:vAlign w:val="center"/>
            <w:hideMark/>
          </w:tcPr>
          <w:p w14:paraId="3F4B5354" w14:textId="77777777" w:rsidR="00D65D8A" w:rsidRPr="00D65D8A" w:rsidRDefault="00D65D8A" w:rsidP="00D65D8A">
            <w:pPr>
              <w:widowControl/>
              <w:autoSpaceDE/>
              <w:autoSpaceDN/>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Bajo peso al nacer</w:t>
            </w:r>
          </w:p>
        </w:tc>
        <w:tc>
          <w:tcPr>
            <w:tcW w:w="1878" w:type="dxa"/>
            <w:tcBorders>
              <w:top w:val="nil"/>
              <w:left w:val="nil"/>
              <w:bottom w:val="single" w:sz="8" w:space="0" w:color="67B93E"/>
              <w:right w:val="single" w:sz="8" w:space="0" w:color="67B93E"/>
            </w:tcBorders>
            <w:shd w:val="clear" w:color="auto" w:fill="auto"/>
            <w:vAlign w:val="center"/>
            <w:hideMark/>
          </w:tcPr>
          <w:p w14:paraId="47C8928F" w14:textId="77777777" w:rsidR="00D65D8A" w:rsidRPr="00D65D8A" w:rsidRDefault="00D65D8A" w:rsidP="00D65D8A">
            <w:pPr>
              <w:widowControl/>
              <w:autoSpaceDE/>
              <w:autoSpaceDN/>
              <w:jc w:val="center"/>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0</w:t>
            </w:r>
          </w:p>
        </w:tc>
      </w:tr>
      <w:tr w:rsidR="00D65D8A" w:rsidRPr="00D65D8A" w14:paraId="68AA8552" w14:textId="77777777" w:rsidTr="00D65D8A">
        <w:trPr>
          <w:trHeight w:val="255"/>
        </w:trPr>
        <w:tc>
          <w:tcPr>
            <w:tcW w:w="6356" w:type="dxa"/>
            <w:tcBorders>
              <w:top w:val="nil"/>
              <w:left w:val="single" w:sz="8" w:space="0" w:color="67B93E"/>
              <w:bottom w:val="single" w:sz="8" w:space="0" w:color="67B93E"/>
              <w:right w:val="single" w:sz="8" w:space="0" w:color="67B93E"/>
            </w:tcBorders>
            <w:shd w:val="clear" w:color="000000" w:fill="F2F2F2"/>
            <w:vAlign w:val="center"/>
            <w:hideMark/>
          </w:tcPr>
          <w:p w14:paraId="6C5C1951" w14:textId="77777777" w:rsidR="00D65D8A" w:rsidRPr="00D65D8A" w:rsidRDefault="00D65D8A" w:rsidP="00D65D8A">
            <w:pPr>
              <w:widowControl/>
              <w:autoSpaceDE/>
              <w:autoSpaceDN/>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Hipotiroidismo congénito no tratado</w:t>
            </w:r>
          </w:p>
        </w:tc>
        <w:tc>
          <w:tcPr>
            <w:tcW w:w="1878" w:type="dxa"/>
            <w:tcBorders>
              <w:top w:val="nil"/>
              <w:left w:val="nil"/>
              <w:bottom w:val="single" w:sz="8" w:space="0" w:color="67B93E"/>
              <w:right w:val="single" w:sz="8" w:space="0" w:color="67B93E"/>
            </w:tcBorders>
            <w:shd w:val="clear" w:color="000000" w:fill="F2F2F2"/>
            <w:vAlign w:val="center"/>
            <w:hideMark/>
          </w:tcPr>
          <w:p w14:paraId="24443B7A" w14:textId="77777777" w:rsidR="00D65D8A" w:rsidRPr="00D65D8A" w:rsidRDefault="00D65D8A" w:rsidP="00D65D8A">
            <w:pPr>
              <w:widowControl/>
              <w:autoSpaceDE/>
              <w:autoSpaceDN/>
              <w:jc w:val="center"/>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0</w:t>
            </w:r>
          </w:p>
        </w:tc>
      </w:tr>
      <w:tr w:rsidR="00D65D8A" w:rsidRPr="00D65D8A" w14:paraId="2A9B9971" w14:textId="77777777" w:rsidTr="00D65D8A">
        <w:trPr>
          <w:trHeight w:val="255"/>
        </w:trPr>
        <w:tc>
          <w:tcPr>
            <w:tcW w:w="6356" w:type="dxa"/>
            <w:tcBorders>
              <w:top w:val="nil"/>
              <w:left w:val="single" w:sz="8" w:space="0" w:color="67B93E"/>
              <w:bottom w:val="single" w:sz="8" w:space="0" w:color="67B93E"/>
              <w:right w:val="single" w:sz="8" w:space="0" w:color="67B93E"/>
            </w:tcBorders>
            <w:shd w:val="clear" w:color="auto" w:fill="auto"/>
            <w:vAlign w:val="center"/>
            <w:hideMark/>
          </w:tcPr>
          <w:p w14:paraId="70C977FF" w14:textId="77777777" w:rsidR="00D65D8A" w:rsidRPr="00D65D8A" w:rsidRDefault="00D65D8A" w:rsidP="00D65D8A">
            <w:pPr>
              <w:widowControl/>
              <w:autoSpaceDE/>
              <w:autoSpaceDN/>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Amputación por pie diabético</w:t>
            </w:r>
          </w:p>
        </w:tc>
        <w:tc>
          <w:tcPr>
            <w:tcW w:w="1878" w:type="dxa"/>
            <w:tcBorders>
              <w:top w:val="nil"/>
              <w:left w:val="nil"/>
              <w:bottom w:val="single" w:sz="8" w:space="0" w:color="67B93E"/>
              <w:right w:val="single" w:sz="8" w:space="0" w:color="67B93E"/>
            </w:tcBorders>
            <w:shd w:val="clear" w:color="auto" w:fill="auto"/>
            <w:vAlign w:val="center"/>
            <w:hideMark/>
          </w:tcPr>
          <w:p w14:paraId="7C0D7056" w14:textId="77777777" w:rsidR="00D65D8A" w:rsidRPr="00D65D8A" w:rsidRDefault="00D65D8A" w:rsidP="00D65D8A">
            <w:pPr>
              <w:widowControl/>
              <w:autoSpaceDE/>
              <w:autoSpaceDN/>
              <w:jc w:val="center"/>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0</w:t>
            </w:r>
          </w:p>
        </w:tc>
      </w:tr>
      <w:tr w:rsidR="00D65D8A" w:rsidRPr="00D65D8A" w14:paraId="0B7DA6F1" w14:textId="77777777" w:rsidTr="00D65D8A">
        <w:trPr>
          <w:trHeight w:val="255"/>
        </w:trPr>
        <w:tc>
          <w:tcPr>
            <w:tcW w:w="6356" w:type="dxa"/>
            <w:tcBorders>
              <w:top w:val="nil"/>
              <w:left w:val="single" w:sz="8" w:space="0" w:color="67B93E"/>
              <w:bottom w:val="single" w:sz="8" w:space="0" w:color="67B93E"/>
              <w:right w:val="single" w:sz="8" w:space="0" w:color="67B93E"/>
            </w:tcBorders>
            <w:shd w:val="clear" w:color="000000" w:fill="F2F2F2"/>
            <w:vAlign w:val="center"/>
            <w:hideMark/>
          </w:tcPr>
          <w:p w14:paraId="2E5A43D1" w14:textId="77777777" w:rsidR="00D65D8A" w:rsidRPr="00D65D8A" w:rsidRDefault="00D65D8A" w:rsidP="00D65D8A">
            <w:pPr>
              <w:widowControl/>
              <w:autoSpaceDE/>
              <w:autoSpaceDN/>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Cáncer invasivo de cérvix</w:t>
            </w:r>
          </w:p>
        </w:tc>
        <w:tc>
          <w:tcPr>
            <w:tcW w:w="1878" w:type="dxa"/>
            <w:tcBorders>
              <w:top w:val="nil"/>
              <w:left w:val="nil"/>
              <w:bottom w:val="single" w:sz="8" w:space="0" w:color="67B93E"/>
              <w:right w:val="single" w:sz="8" w:space="0" w:color="67B93E"/>
            </w:tcBorders>
            <w:shd w:val="clear" w:color="000000" w:fill="F2F2F2"/>
            <w:vAlign w:val="center"/>
            <w:hideMark/>
          </w:tcPr>
          <w:p w14:paraId="57E87281" w14:textId="77777777" w:rsidR="00D65D8A" w:rsidRPr="00D65D8A" w:rsidRDefault="00D65D8A" w:rsidP="00D65D8A">
            <w:pPr>
              <w:widowControl/>
              <w:autoSpaceDE/>
              <w:autoSpaceDN/>
              <w:jc w:val="center"/>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0</w:t>
            </w:r>
          </w:p>
        </w:tc>
      </w:tr>
      <w:tr w:rsidR="00D65D8A" w:rsidRPr="00D65D8A" w14:paraId="6DED5DB7" w14:textId="77777777" w:rsidTr="00D65D8A">
        <w:trPr>
          <w:trHeight w:val="255"/>
        </w:trPr>
        <w:tc>
          <w:tcPr>
            <w:tcW w:w="6356" w:type="dxa"/>
            <w:tcBorders>
              <w:top w:val="nil"/>
              <w:left w:val="single" w:sz="8" w:space="0" w:color="67B93E"/>
              <w:bottom w:val="single" w:sz="8" w:space="0" w:color="67B93E"/>
              <w:right w:val="single" w:sz="8" w:space="0" w:color="67B93E"/>
            </w:tcBorders>
            <w:shd w:val="clear" w:color="auto" w:fill="auto"/>
            <w:vAlign w:val="center"/>
            <w:hideMark/>
          </w:tcPr>
          <w:p w14:paraId="6E7A2A7D" w14:textId="77777777" w:rsidR="00D65D8A" w:rsidRPr="00D65D8A" w:rsidRDefault="00D65D8A" w:rsidP="00D65D8A">
            <w:pPr>
              <w:widowControl/>
              <w:autoSpaceDE/>
              <w:autoSpaceDN/>
              <w:rPr>
                <w:rFonts w:ascii="Humanst521 BT" w:eastAsia="Times New Roman" w:hAnsi="Humanst521 BT" w:cs="Calibri"/>
                <w:color w:val="000000"/>
                <w:sz w:val="20"/>
                <w:szCs w:val="20"/>
                <w:lang w:val="es-CO" w:eastAsia="es-CO"/>
              </w:rPr>
            </w:pPr>
            <w:proofErr w:type="spellStart"/>
            <w:r w:rsidRPr="00D65D8A">
              <w:rPr>
                <w:rFonts w:ascii="Humanst521 BT" w:eastAsia="Times New Roman" w:hAnsi="Humanst521 BT" w:cs="Calibri"/>
                <w:color w:val="000000"/>
                <w:sz w:val="20"/>
                <w:szCs w:val="20"/>
                <w:lang w:val="es-CO" w:eastAsia="es-CO"/>
              </w:rPr>
              <w:t>Kernicterus</w:t>
            </w:r>
            <w:proofErr w:type="spellEnd"/>
          </w:p>
        </w:tc>
        <w:tc>
          <w:tcPr>
            <w:tcW w:w="1878" w:type="dxa"/>
            <w:tcBorders>
              <w:top w:val="nil"/>
              <w:left w:val="nil"/>
              <w:bottom w:val="single" w:sz="8" w:space="0" w:color="67B93E"/>
              <w:right w:val="single" w:sz="8" w:space="0" w:color="67B93E"/>
            </w:tcBorders>
            <w:shd w:val="clear" w:color="auto" w:fill="auto"/>
            <w:vAlign w:val="center"/>
            <w:hideMark/>
          </w:tcPr>
          <w:p w14:paraId="5FBCED6D" w14:textId="77777777" w:rsidR="00D65D8A" w:rsidRPr="00D65D8A" w:rsidRDefault="00D65D8A" w:rsidP="00D65D8A">
            <w:pPr>
              <w:widowControl/>
              <w:autoSpaceDE/>
              <w:autoSpaceDN/>
              <w:jc w:val="center"/>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0</w:t>
            </w:r>
          </w:p>
        </w:tc>
      </w:tr>
      <w:tr w:rsidR="00D65D8A" w:rsidRPr="00D65D8A" w14:paraId="7965DF1D" w14:textId="77777777" w:rsidTr="00D65D8A">
        <w:trPr>
          <w:trHeight w:val="255"/>
        </w:trPr>
        <w:tc>
          <w:tcPr>
            <w:tcW w:w="6356" w:type="dxa"/>
            <w:tcBorders>
              <w:top w:val="nil"/>
              <w:left w:val="single" w:sz="8" w:space="0" w:color="67B93E"/>
              <w:bottom w:val="single" w:sz="8" w:space="0" w:color="67B93E"/>
              <w:right w:val="single" w:sz="8" w:space="0" w:color="67B93E"/>
            </w:tcBorders>
            <w:shd w:val="clear" w:color="000000" w:fill="F2F2F2"/>
            <w:vAlign w:val="center"/>
            <w:hideMark/>
          </w:tcPr>
          <w:p w14:paraId="46311DA1" w14:textId="77777777" w:rsidR="00D65D8A" w:rsidRPr="00D65D8A" w:rsidRDefault="00D65D8A" w:rsidP="00D65D8A">
            <w:pPr>
              <w:widowControl/>
              <w:autoSpaceDE/>
              <w:autoSpaceDN/>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lastRenderedPageBreak/>
              <w:t>Insuficiencia renal aguda por obstrucción</w:t>
            </w:r>
          </w:p>
        </w:tc>
        <w:tc>
          <w:tcPr>
            <w:tcW w:w="1878" w:type="dxa"/>
            <w:tcBorders>
              <w:top w:val="nil"/>
              <w:left w:val="nil"/>
              <w:bottom w:val="single" w:sz="8" w:space="0" w:color="67B93E"/>
              <w:right w:val="single" w:sz="8" w:space="0" w:color="67B93E"/>
            </w:tcBorders>
            <w:shd w:val="clear" w:color="000000" w:fill="F2F2F2"/>
            <w:vAlign w:val="center"/>
            <w:hideMark/>
          </w:tcPr>
          <w:p w14:paraId="654A95E8" w14:textId="77777777" w:rsidR="00D65D8A" w:rsidRPr="00D65D8A" w:rsidRDefault="00D65D8A" w:rsidP="00D65D8A">
            <w:pPr>
              <w:widowControl/>
              <w:autoSpaceDE/>
              <w:autoSpaceDN/>
              <w:jc w:val="center"/>
              <w:rPr>
                <w:rFonts w:ascii="Humanst521 BT" w:eastAsia="Times New Roman" w:hAnsi="Humanst521 BT" w:cs="Calibri"/>
                <w:color w:val="000000"/>
                <w:sz w:val="20"/>
                <w:szCs w:val="20"/>
                <w:lang w:val="es-CO" w:eastAsia="es-CO"/>
              </w:rPr>
            </w:pPr>
            <w:r w:rsidRPr="00D65D8A">
              <w:rPr>
                <w:rFonts w:ascii="Humanst521 BT" w:eastAsia="Times New Roman" w:hAnsi="Humanst521 BT" w:cs="Calibri"/>
                <w:color w:val="000000"/>
                <w:sz w:val="20"/>
                <w:szCs w:val="20"/>
                <w:lang w:val="es-CO" w:eastAsia="es-CO"/>
              </w:rPr>
              <w:t>0</w:t>
            </w:r>
          </w:p>
        </w:tc>
      </w:tr>
    </w:tbl>
    <w:p w14:paraId="1E534988" w14:textId="06D2C616" w:rsidR="00B769E5" w:rsidRPr="007F0FA7" w:rsidRDefault="00B769E5" w:rsidP="00093B44">
      <w:pPr>
        <w:rPr>
          <w:rFonts w:ascii="Humanst521 BT" w:hAnsi="Humanst521 BT"/>
        </w:rPr>
      </w:pPr>
      <w:r w:rsidRPr="007F0FA7">
        <w:rPr>
          <w:rStyle w:val="nfasissutil"/>
          <w:rFonts w:ascii="Humanst521 BT" w:hAnsi="Humanst521 BT"/>
          <w:color w:val="auto"/>
        </w:rPr>
        <w:t xml:space="preserve">Fuente: </w:t>
      </w:r>
      <w:r w:rsidR="00930BBB" w:rsidRPr="007F0FA7">
        <w:rPr>
          <w:rStyle w:val="nfasissutil"/>
          <w:rFonts w:ascii="Humanst521 BT" w:hAnsi="Humanst521 BT"/>
          <w:color w:val="auto"/>
        </w:rPr>
        <w:t>Sistema Integral de Información UISALUD. Atenciones y</w:t>
      </w:r>
      <w:r w:rsidRPr="007F0FA7">
        <w:rPr>
          <w:rStyle w:val="nfasissutil"/>
          <w:rFonts w:ascii="Humanst521 BT" w:hAnsi="Humanst521 BT"/>
          <w:color w:val="auto"/>
        </w:rPr>
        <w:t xml:space="preserve"> cuenta de alto costo</w:t>
      </w:r>
      <w:r w:rsidRPr="007F0FA7">
        <w:rPr>
          <w:rFonts w:ascii="Humanst521 BT" w:hAnsi="Humanst521 BT"/>
        </w:rPr>
        <w:t>.</w:t>
      </w:r>
    </w:p>
    <w:p w14:paraId="341BEBD8" w14:textId="77777777" w:rsidR="003758F8" w:rsidRPr="007F0FA7" w:rsidRDefault="003758F8" w:rsidP="00093B44">
      <w:pPr>
        <w:rPr>
          <w:rFonts w:ascii="Humanst521 BT" w:hAnsi="Humanst521 BT"/>
          <w:b/>
          <w:bCs/>
        </w:rPr>
      </w:pPr>
    </w:p>
    <w:p w14:paraId="334F9064" w14:textId="77777777" w:rsidR="003E43BA" w:rsidRPr="003E43BA" w:rsidRDefault="003E43BA" w:rsidP="003E43BA">
      <w:pPr>
        <w:pStyle w:val="NormalWeb"/>
        <w:jc w:val="both"/>
        <w:rPr>
          <w:rFonts w:ascii="Humanst521 BT" w:eastAsia="Verdana" w:hAnsi="Humanst521 BT" w:cs="Verdana"/>
          <w:sz w:val="22"/>
          <w:szCs w:val="22"/>
          <w:lang w:val="es-ES" w:eastAsia="en-US"/>
        </w:rPr>
      </w:pPr>
      <w:r w:rsidRPr="003E43BA">
        <w:rPr>
          <w:rFonts w:ascii="Humanst521 BT" w:eastAsia="Verdana" w:hAnsi="Humanst521 BT" w:cs="Verdana"/>
          <w:sz w:val="22"/>
          <w:szCs w:val="22"/>
          <w:lang w:val="es-ES" w:eastAsia="en-US"/>
        </w:rPr>
        <w:t xml:space="preserve">El análisis de los indicadores de morbilidad trazadora evidencia la ausencia de casos reportados en eventos de alto impacto y en su mayoría prevenibles durante el periodo 2016–2025, tales como bajo peso al nacer, hipotiroidismo congénito no tratado, amputaciones por pie diabético, cáncer invasivo de cérvix, </w:t>
      </w:r>
      <w:proofErr w:type="spellStart"/>
      <w:r w:rsidRPr="003E43BA">
        <w:rPr>
          <w:rFonts w:ascii="Humanst521 BT" w:eastAsia="Verdana" w:hAnsi="Humanst521 BT" w:cs="Verdana"/>
          <w:sz w:val="22"/>
          <w:szCs w:val="22"/>
          <w:lang w:val="es-ES" w:eastAsia="en-US"/>
        </w:rPr>
        <w:t>kernicterus</w:t>
      </w:r>
      <w:proofErr w:type="spellEnd"/>
      <w:r w:rsidRPr="003E43BA">
        <w:rPr>
          <w:rFonts w:ascii="Humanst521 BT" w:eastAsia="Verdana" w:hAnsi="Humanst521 BT" w:cs="Verdana"/>
          <w:sz w:val="22"/>
          <w:szCs w:val="22"/>
          <w:lang w:val="es-ES" w:eastAsia="en-US"/>
        </w:rPr>
        <w:t xml:space="preserve"> e insuficiencia renal aguda secundaria a obstrucción. Este comportamiento constituye un resultado favorable en salud, que podría estar asociado a la efectividad de las estrategias de promoción, prevención, detección temprana y seguimiento implementadas por UISALUD.</w:t>
      </w:r>
    </w:p>
    <w:p w14:paraId="0E632964" w14:textId="77777777" w:rsidR="003E43BA" w:rsidRPr="003E43BA" w:rsidRDefault="003E43BA" w:rsidP="003E43BA">
      <w:pPr>
        <w:pStyle w:val="NormalWeb"/>
        <w:jc w:val="both"/>
        <w:rPr>
          <w:rFonts w:ascii="Humanst521 BT" w:eastAsia="Verdana" w:hAnsi="Humanst521 BT" w:cs="Verdana"/>
          <w:sz w:val="22"/>
          <w:szCs w:val="22"/>
          <w:lang w:val="es-ES" w:eastAsia="en-US"/>
        </w:rPr>
      </w:pPr>
      <w:r w:rsidRPr="003E43BA">
        <w:rPr>
          <w:rFonts w:ascii="Humanst521 BT" w:eastAsia="Verdana" w:hAnsi="Humanst521 BT" w:cs="Verdana"/>
          <w:sz w:val="22"/>
          <w:szCs w:val="22"/>
          <w:lang w:val="es-ES" w:eastAsia="en-US"/>
        </w:rPr>
        <w:t>No obstante, es importante interpretar estos resultados con cautela, considerando el tamaño y características de la población afiliada, así como la necesidad de garantizar la calidad del registro y la vigilancia activa de estos eventos. En este sentido, la ausencia de casos no excluye el riesgo, por lo que se hace necesario mantener y fortalecer las acciones de gestión del riesgo, monitoreo continuo y validación de la información, con el fin de asegurar la sostenibilidad de estos resultados y prevenir la aparición de eventos evitables.</w:t>
      </w:r>
    </w:p>
    <w:p w14:paraId="07FC3485" w14:textId="77777777" w:rsidR="003758F8" w:rsidRPr="007F0FA7" w:rsidRDefault="003758F8" w:rsidP="00093B44">
      <w:pPr>
        <w:rPr>
          <w:rFonts w:ascii="Humanst521 BT" w:hAnsi="Humanst521 BT"/>
          <w:b/>
          <w:bCs/>
        </w:rPr>
      </w:pPr>
    </w:p>
    <w:p w14:paraId="7318492E" w14:textId="77777777" w:rsidR="003758F8" w:rsidRPr="007F0FA7" w:rsidRDefault="003758F8" w:rsidP="00093B44">
      <w:pPr>
        <w:jc w:val="both"/>
        <w:rPr>
          <w:rFonts w:ascii="Humanst521 BT" w:hAnsi="Humanst521 BT"/>
        </w:rPr>
      </w:pPr>
      <w:r w:rsidRPr="007F0FA7">
        <w:rPr>
          <w:rFonts w:ascii="Humanst521 BT" w:hAnsi="Humanst521 BT"/>
        </w:rPr>
        <w:t>Para el indicador relacionado con tasa de incidencia de insuficiencia renal aguda secundaria a obstrucción en el año 2022 se identifica que no se cuenta con casos confirmados con diagnósticos N170, N17, N172, N179, por lo que no se tiene una incidencia en el indicador.</w:t>
      </w:r>
    </w:p>
    <w:p w14:paraId="7C38972E" w14:textId="77777777" w:rsidR="00B769E5" w:rsidRPr="007F0FA7" w:rsidRDefault="00B769E5" w:rsidP="00093B44">
      <w:pPr>
        <w:rPr>
          <w:rFonts w:ascii="Humanst521 BT" w:hAnsi="Humanst521 BT"/>
        </w:rPr>
      </w:pPr>
    </w:p>
    <w:p w14:paraId="59EF1FC2" w14:textId="568DA1A8" w:rsidR="003D4A22" w:rsidRPr="00C8589C" w:rsidRDefault="00E36921" w:rsidP="00CF2550">
      <w:pPr>
        <w:pStyle w:val="Descripcin"/>
        <w:spacing w:line="240" w:lineRule="auto"/>
        <w:outlineLvl w:val="3"/>
        <w:rPr>
          <w:rFonts w:ascii="Humanst521 BT" w:eastAsia="Verdana" w:hAnsi="Humanst521 BT" w:cs="Verdana"/>
          <w:sz w:val="22"/>
          <w:szCs w:val="22"/>
          <w:lang w:val="es-ES"/>
        </w:rPr>
      </w:pPr>
      <w:bookmarkStart w:id="97" w:name="_Toc231286803"/>
      <w:bookmarkStart w:id="98" w:name="_Toc161297450"/>
      <w:r w:rsidRPr="00C8589C">
        <w:rPr>
          <w:rFonts w:ascii="Humanst521 BT" w:eastAsia="Verdana" w:hAnsi="Humanst521 BT" w:cs="Verdana"/>
          <w:sz w:val="22"/>
          <w:szCs w:val="22"/>
          <w:lang w:val="es-ES"/>
        </w:rPr>
        <w:t>5.2.1.</w:t>
      </w:r>
      <w:r w:rsidR="00C61CA6" w:rsidRPr="00C8589C">
        <w:rPr>
          <w:rFonts w:ascii="Humanst521 BT" w:eastAsia="Verdana" w:hAnsi="Humanst521 BT" w:cs="Verdana"/>
          <w:sz w:val="22"/>
          <w:szCs w:val="22"/>
          <w:lang w:val="es-ES"/>
        </w:rPr>
        <w:t xml:space="preserve">4. </w:t>
      </w:r>
      <w:r w:rsidR="007C3110" w:rsidRPr="00C8589C">
        <w:rPr>
          <w:rFonts w:ascii="Humanst521 BT" w:eastAsia="Verdana" w:hAnsi="Humanst521 BT" w:cs="Verdana"/>
          <w:sz w:val="22"/>
          <w:szCs w:val="22"/>
          <w:lang w:val="es-ES"/>
        </w:rPr>
        <w:t>Patologías</w:t>
      </w:r>
      <w:r w:rsidR="00EE129D" w:rsidRPr="00C8589C">
        <w:rPr>
          <w:rFonts w:ascii="Humanst521 BT" w:eastAsia="Verdana" w:hAnsi="Humanst521 BT" w:cs="Verdana"/>
          <w:sz w:val="22"/>
          <w:szCs w:val="22"/>
          <w:lang w:val="es-ES"/>
        </w:rPr>
        <w:t xml:space="preserve"> reportadas</w:t>
      </w:r>
      <w:r w:rsidRPr="00C8589C">
        <w:rPr>
          <w:rFonts w:ascii="Humanst521 BT" w:eastAsia="Verdana" w:hAnsi="Humanst521 BT" w:cs="Verdana"/>
          <w:sz w:val="22"/>
          <w:szCs w:val="22"/>
          <w:lang w:val="es-ES"/>
        </w:rPr>
        <w:t xml:space="preserve"> en la Cuenta de Alto Costo</w:t>
      </w:r>
      <w:bookmarkEnd w:id="97"/>
    </w:p>
    <w:p w14:paraId="2FCF01F0" w14:textId="77777777" w:rsidR="00A3388D" w:rsidRPr="00E66337" w:rsidRDefault="00A3388D" w:rsidP="00B6007F">
      <w:pPr>
        <w:pStyle w:val="Ttulo5"/>
        <w:numPr>
          <w:ilvl w:val="0"/>
          <w:numId w:val="13"/>
        </w:numPr>
      </w:pPr>
      <w:r w:rsidRPr="00E66337">
        <w:t>Cohorte VIH</w:t>
      </w:r>
      <w:bookmarkEnd w:id="98"/>
    </w:p>
    <w:p w14:paraId="40979B15" w14:textId="127C58D8" w:rsidR="00B769E5" w:rsidRPr="007F0FA7" w:rsidRDefault="00B769E5" w:rsidP="00093B44">
      <w:pPr>
        <w:pStyle w:val="Descripcin"/>
        <w:spacing w:line="240" w:lineRule="auto"/>
        <w:rPr>
          <w:rFonts w:ascii="Humanst521 BT" w:eastAsia="Verdana" w:hAnsi="Humanst521 BT" w:cs="Verdana"/>
          <w:b w:val="0"/>
          <w:bCs w:val="0"/>
          <w:color w:val="auto"/>
          <w:sz w:val="22"/>
          <w:szCs w:val="22"/>
          <w:lang w:val="es-ES"/>
        </w:rPr>
      </w:pPr>
      <w:bookmarkStart w:id="99" w:name="_Toc161298199"/>
      <w:bookmarkStart w:id="100" w:name="_Toc161318819"/>
      <w:bookmarkStart w:id="101" w:name="_Toc231286267"/>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66118">
        <w:rPr>
          <w:rFonts w:ascii="Humanst521 BT" w:eastAsia="Verdana" w:hAnsi="Humanst521 BT" w:cs="Verdana"/>
          <w:b w:val="0"/>
          <w:bCs w:val="0"/>
          <w:noProof/>
          <w:color w:val="auto"/>
          <w:sz w:val="22"/>
          <w:szCs w:val="22"/>
          <w:lang w:val="es-ES"/>
        </w:rPr>
        <w:t>22</w:t>
      </w:r>
      <w:r w:rsidRPr="007F0FA7">
        <w:rPr>
          <w:rFonts w:ascii="Humanst521 BT" w:eastAsia="Verdana" w:hAnsi="Humanst521 BT" w:cs="Verdana"/>
          <w:b w:val="0"/>
          <w:bCs w:val="0"/>
          <w:color w:val="auto"/>
          <w:sz w:val="22"/>
          <w:szCs w:val="22"/>
          <w:lang w:val="es-ES"/>
        </w:rPr>
        <w:fldChar w:fldCharType="end"/>
      </w:r>
      <w:r w:rsidR="00BA235B">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Indicadores de morbilidad</w:t>
      </w:r>
      <w:r w:rsidR="00BE51E1" w:rsidRPr="007F0FA7">
        <w:rPr>
          <w:rFonts w:ascii="Humanst521 BT" w:eastAsia="Verdana" w:hAnsi="Humanst521 BT" w:cs="Verdana"/>
          <w:b w:val="0"/>
          <w:bCs w:val="0"/>
          <w:color w:val="auto"/>
          <w:sz w:val="22"/>
          <w:szCs w:val="22"/>
          <w:lang w:val="es-ES"/>
        </w:rPr>
        <w:t xml:space="preserve"> </w:t>
      </w:r>
      <w:r w:rsidRPr="007F0FA7">
        <w:rPr>
          <w:rFonts w:ascii="Humanst521 BT" w:eastAsia="Verdana" w:hAnsi="Humanst521 BT" w:cs="Verdana"/>
          <w:b w:val="0"/>
          <w:bCs w:val="0"/>
          <w:color w:val="auto"/>
          <w:sz w:val="22"/>
          <w:szCs w:val="22"/>
          <w:lang w:val="es-ES"/>
        </w:rPr>
        <w:t>trazadora</w:t>
      </w:r>
      <w:r w:rsidR="00BE51E1" w:rsidRPr="007F0FA7">
        <w:rPr>
          <w:rFonts w:ascii="Humanst521 BT" w:eastAsia="Verdana" w:hAnsi="Humanst521 BT" w:cs="Verdana"/>
          <w:b w:val="0"/>
          <w:bCs w:val="0"/>
          <w:color w:val="auto"/>
          <w:sz w:val="22"/>
          <w:szCs w:val="22"/>
          <w:lang w:val="es-ES"/>
        </w:rPr>
        <w:t xml:space="preserve"> - VIH</w:t>
      </w:r>
      <w:r w:rsidRPr="007F0FA7">
        <w:rPr>
          <w:rFonts w:ascii="Humanst521 BT" w:eastAsia="Verdana" w:hAnsi="Humanst521 BT" w:cs="Verdana"/>
          <w:b w:val="0"/>
          <w:bCs w:val="0"/>
          <w:color w:val="auto"/>
          <w:sz w:val="22"/>
          <w:szCs w:val="22"/>
          <w:lang w:val="es-ES"/>
        </w:rPr>
        <w:t>, UISALUD, 202</w:t>
      </w:r>
      <w:bookmarkEnd w:id="99"/>
      <w:bookmarkEnd w:id="100"/>
      <w:r w:rsidR="002D26FE">
        <w:rPr>
          <w:rFonts w:ascii="Humanst521 BT" w:eastAsia="Verdana" w:hAnsi="Humanst521 BT" w:cs="Verdana"/>
          <w:b w:val="0"/>
          <w:bCs w:val="0"/>
          <w:color w:val="auto"/>
          <w:sz w:val="22"/>
          <w:szCs w:val="22"/>
          <w:lang w:val="es-ES"/>
        </w:rPr>
        <w:t>5</w:t>
      </w:r>
      <w:bookmarkEnd w:id="101"/>
    </w:p>
    <w:tbl>
      <w:tblPr>
        <w:tblStyle w:val="Tablaconcuadrcula4-nfasis3"/>
        <w:tblW w:w="9550" w:type="dxa"/>
        <w:tblLook w:val="04A0" w:firstRow="1" w:lastRow="0" w:firstColumn="1" w:lastColumn="0" w:noHBand="0" w:noVBand="1"/>
      </w:tblPr>
      <w:tblGrid>
        <w:gridCol w:w="1407"/>
        <w:gridCol w:w="4856"/>
        <w:gridCol w:w="1847"/>
        <w:gridCol w:w="1440"/>
      </w:tblGrid>
      <w:tr w:rsidR="00BC3B6C" w:rsidRPr="007F0FA7" w14:paraId="5B2D1820" w14:textId="0CD88895" w:rsidTr="008A00DF">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1407" w:type="dxa"/>
            <w:shd w:val="clear" w:color="auto" w:fill="C5E0B3" w:themeFill="accent6" w:themeFillTint="66"/>
            <w:hideMark/>
          </w:tcPr>
          <w:p w14:paraId="1325385E" w14:textId="77777777" w:rsidR="00BC3B6C" w:rsidRPr="007F0FA7" w:rsidRDefault="00BC3B6C" w:rsidP="00093B44">
            <w:pPr>
              <w:jc w:val="center"/>
              <w:rPr>
                <w:rFonts w:ascii="Humanst521 BT" w:eastAsia="Times New Roman" w:hAnsi="Humanst521 BT" w:cs="Calibri"/>
                <w:color w:val="auto"/>
                <w:lang w:eastAsia="es-CO"/>
              </w:rPr>
            </w:pPr>
            <w:r w:rsidRPr="007F0FA7">
              <w:rPr>
                <w:rFonts w:ascii="Humanst521 BT" w:eastAsia="Times New Roman" w:hAnsi="Humanst521 BT" w:cs="Calibri"/>
                <w:color w:val="auto"/>
                <w:lang w:eastAsia="es-CO"/>
              </w:rPr>
              <w:t>Número de indicador</w:t>
            </w:r>
          </w:p>
        </w:tc>
        <w:tc>
          <w:tcPr>
            <w:tcW w:w="4856" w:type="dxa"/>
            <w:shd w:val="clear" w:color="auto" w:fill="C5E0B3" w:themeFill="accent6" w:themeFillTint="66"/>
            <w:hideMark/>
          </w:tcPr>
          <w:p w14:paraId="15F0296B" w14:textId="3AB91C92" w:rsidR="00BC3B6C" w:rsidRPr="007F0FA7" w:rsidRDefault="00BC3B6C"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Calibri"/>
                <w:color w:val="auto"/>
                <w:lang w:eastAsia="es-CO"/>
              </w:rPr>
            </w:pPr>
            <w:r w:rsidRPr="007F0FA7">
              <w:rPr>
                <w:rFonts w:ascii="Humanst521 BT" w:eastAsia="Times New Roman" w:hAnsi="Humanst521 BT" w:cs="Calibri"/>
                <w:color w:val="auto"/>
                <w:lang w:eastAsia="es-CO"/>
              </w:rPr>
              <w:t>Indicadores generados por SISPRO</w:t>
            </w:r>
            <w:r w:rsidR="00735F1A">
              <w:rPr>
                <w:rFonts w:ascii="Humanst521 BT" w:eastAsia="Times New Roman" w:hAnsi="Humanst521 BT" w:cs="Calibri"/>
                <w:color w:val="auto"/>
                <w:lang w:eastAsia="es-CO"/>
              </w:rPr>
              <w:t xml:space="preserve"> </w:t>
            </w:r>
          </w:p>
        </w:tc>
        <w:tc>
          <w:tcPr>
            <w:tcW w:w="1847" w:type="dxa"/>
            <w:shd w:val="clear" w:color="auto" w:fill="C5E0B3" w:themeFill="accent6" w:themeFillTint="66"/>
            <w:noWrap/>
          </w:tcPr>
          <w:p w14:paraId="3971BB59" w14:textId="00981C7F" w:rsidR="00BC3B6C" w:rsidRPr="007F0FA7" w:rsidRDefault="00BC3B6C"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Calibri"/>
                <w:color w:val="auto"/>
                <w:lang w:eastAsia="es-CO"/>
              </w:rPr>
            </w:pPr>
            <w:r w:rsidRPr="007F0FA7">
              <w:rPr>
                <w:rFonts w:ascii="Humanst521 BT" w:eastAsia="Times New Roman" w:hAnsi="Humanst521 BT" w:cs="Calibri"/>
                <w:color w:val="auto"/>
                <w:lang w:eastAsia="es-CO"/>
              </w:rPr>
              <w:t>2024</w:t>
            </w:r>
          </w:p>
        </w:tc>
        <w:tc>
          <w:tcPr>
            <w:tcW w:w="1440" w:type="dxa"/>
            <w:shd w:val="clear" w:color="auto" w:fill="C5E0B3" w:themeFill="accent6" w:themeFillTint="66"/>
          </w:tcPr>
          <w:p w14:paraId="69FC7153" w14:textId="4BEC1C36" w:rsidR="00BC3B6C" w:rsidRPr="00BC3B6C" w:rsidRDefault="00BC3B6C" w:rsidP="00093B44">
            <w:pPr>
              <w:jc w:val="center"/>
              <w:cnfStyle w:val="100000000000" w:firstRow="1" w:lastRow="0" w:firstColumn="0" w:lastColumn="0" w:oddVBand="0" w:evenVBand="0" w:oddHBand="0" w:evenHBand="0" w:firstRowFirstColumn="0" w:firstRowLastColumn="0" w:lastRowFirstColumn="0" w:lastRowLastColumn="0"/>
              <w:rPr>
                <w:rFonts w:ascii="Humanst521 BT" w:eastAsia="Times New Roman" w:hAnsi="Humanst521 BT" w:cs="Calibri"/>
                <w:color w:val="auto"/>
                <w:lang w:eastAsia="es-CO"/>
              </w:rPr>
            </w:pPr>
            <w:r w:rsidRPr="00BC3B6C">
              <w:rPr>
                <w:rFonts w:ascii="Humanst521 BT" w:eastAsia="Times New Roman" w:hAnsi="Humanst521 BT" w:cs="Calibri"/>
                <w:color w:val="auto"/>
                <w:lang w:eastAsia="es-CO"/>
              </w:rPr>
              <w:t>2025</w:t>
            </w:r>
          </w:p>
        </w:tc>
      </w:tr>
      <w:tr w:rsidR="00BC3B6C" w:rsidRPr="007F0FA7" w14:paraId="642940CE" w14:textId="2BE8B64B" w:rsidTr="00A23618">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407" w:type="dxa"/>
            <w:shd w:val="clear" w:color="auto" w:fill="F2F2F2" w:themeFill="background1" w:themeFillShade="F2"/>
            <w:hideMark/>
          </w:tcPr>
          <w:p w14:paraId="6C0378CF" w14:textId="77777777" w:rsidR="00BC3B6C" w:rsidRPr="007F0FA7" w:rsidRDefault="00BC3B6C" w:rsidP="00093B44">
            <w:pPr>
              <w:jc w:val="center"/>
              <w:rPr>
                <w:rFonts w:ascii="Humanst521 BT" w:eastAsia="Times New Roman" w:hAnsi="Humanst521 BT" w:cs="Calibri"/>
                <w:lang w:eastAsia="es-CO"/>
              </w:rPr>
            </w:pPr>
            <w:r w:rsidRPr="007F0FA7">
              <w:rPr>
                <w:rFonts w:ascii="Humanst521 BT" w:eastAsia="Times New Roman" w:hAnsi="Humanst521 BT" w:cs="Calibri"/>
                <w:lang w:eastAsia="es-CO"/>
              </w:rPr>
              <w:t>326</w:t>
            </w:r>
          </w:p>
        </w:tc>
        <w:tc>
          <w:tcPr>
            <w:tcW w:w="4856" w:type="dxa"/>
            <w:shd w:val="clear" w:color="auto" w:fill="F2F2F2" w:themeFill="background1" w:themeFillShade="F2"/>
            <w:hideMark/>
          </w:tcPr>
          <w:p w14:paraId="5C3EA0B2" w14:textId="27323023" w:rsidR="00BC3B6C" w:rsidRPr="007F0FA7" w:rsidRDefault="00BC3B6C" w:rsidP="00093B44">
            <w:pPr>
              <w:cnfStyle w:val="000000100000" w:firstRow="0" w:lastRow="0" w:firstColumn="0" w:lastColumn="0" w:oddVBand="0" w:evenVBand="0" w:oddHBand="1" w:evenHBand="0" w:firstRowFirstColumn="0" w:firstRowLastColumn="0" w:lastRowFirstColumn="0" w:lastRowLastColumn="0"/>
              <w:rPr>
                <w:rFonts w:ascii="Humanst521 BT" w:eastAsia="Times New Roman" w:hAnsi="Humanst521 BT" w:cs="Calibri"/>
                <w:lang w:eastAsia="es-CO"/>
              </w:rPr>
            </w:pPr>
            <w:r w:rsidRPr="007F0FA7">
              <w:rPr>
                <w:rFonts w:ascii="Humanst521 BT" w:eastAsia="Times New Roman" w:hAnsi="Humanst521 BT" w:cs="Calibri"/>
                <w:lang w:eastAsia="es-CO"/>
              </w:rPr>
              <w:t xml:space="preserve">Prevalencia registrada de VIH/SIDA </w:t>
            </w:r>
          </w:p>
        </w:tc>
        <w:tc>
          <w:tcPr>
            <w:tcW w:w="1847" w:type="dxa"/>
            <w:shd w:val="clear" w:color="auto" w:fill="F2F2F2" w:themeFill="background1" w:themeFillShade="F2"/>
            <w:hideMark/>
          </w:tcPr>
          <w:p w14:paraId="69A7C479" w14:textId="3DD2349D" w:rsidR="00BC3B6C" w:rsidRPr="007F0FA7" w:rsidRDefault="00BC3B6C" w:rsidP="00093B44">
            <w:pPr>
              <w:jc w:val="center"/>
              <w:cnfStyle w:val="000000100000" w:firstRow="0" w:lastRow="0" w:firstColumn="0" w:lastColumn="0" w:oddVBand="0" w:evenVBand="0" w:oddHBand="1" w:evenHBand="0" w:firstRowFirstColumn="0" w:firstRowLastColumn="0" w:lastRowFirstColumn="0" w:lastRowLastColumn="0"/>
              <w:rPr>
                <w:rFonts w:ascii="Humanst521 BT" w:eastAsia="Times New Roman" w:hAnsi="Humanst521 BT" w:cs="Calibri"/>
                <w:lang w:eastAsia="es-CO"/>
              </w:rPr>
            </w:pPr>
            <w:r w:rsidRPr="007F0FA7">
              <w:rPr>
                <w:rFonts w:ascii="Humanst521 BT" w:eastAsia="Times New Roman" w:hAnsi="Humanst521 BT" w:cs="Calibri"/>
                <w:lang w:eastAsia="es-CO"/>
              </w:rPr>
              <w:t>0,21</w:t>
            </w:r>
            <w:r w:rsidR="00596A6B">
              <w:rPr>
                <w:rFonts w:ascii="Humanst521 BT" w:eastAsia="Times New Roman" w:hAnsi="Humanst521 BT" w:cs="Calibri"/>
                <w:lang w:eastAsia="es-CO"/>
              </w:rPr>
              <w:t xml:space="preserve"> (6 casos)</w:t>
            </w:r>
          </w:p>
        </w:tc>
        <w:tc>
          <w:tcPr>
            <w:tcW w:w="1440" w:type="dxa"/>
            <w:shd w:val="clear" w:color="auto" w:fill="F2F2F2" w:themeFill="background1" w:themeFillShade="F2"/>
          </w:tcPr>
          <w:p w14:paraId="19A622BB" w14:textId="073DE6B9" w:rsidR="00BC3B6C" w:rsidRPr="00596A6B" w:rsidRDefault="001D4D97" w:rsidP="00093B44">
            <w:pPr>
              <w:jc w:val="center"/>
              <w:cnfStyle w:val="000000100000" w:firstRow="0" w:lastRow="0" w:firstColumn="0" w:lastColumn="0" w:oddVBand="0" w:evenVBand="0" w:oddHBand="1" w:evenHBand="0" w:firstRowFirstColumn="0" w:firstRowLastColumn="0" w:lastRowFirstColumn="0" w:lastRowLastColumn="0"/>
              <w:rPr>
                <w:rFonts w:ascii="Humanst521 BT" w:eastAsia="Times New Roman" w:hAnsi="Humanst521 BT" w:cs="Calibri"/>
                <w:lang w:eastAsia="es-CO"/>
              </w:rPr>
            </w:pPr>
            <w:r>
              <w:rPr>
                <w:rFonts w:ascii="Humanst521 BT" w:eastAsia="Times New Roman" w:hAnsi="Humanst521 BT" w:cs="Calibri"/>
                <w:lang w:eastAsia="es-CO"/>
              </w:rPr>
              <w:t>0,28</w:t>
            </w:r>
            <w:r w:rsidR="00596A6B" w:rsidRPr="00596A6B">
              <w:rPr>
                <w:rFonts w:ascii="Humanst521 BT" w:eastAsia="Times New Roman" w:hAnsi="Humanst521 BT" w:cs="Calibri"/>
                <w:lang w:eastAsia="es-CO"/>
              </w:rPr>
              <w:t>(8 casos)</w:t>
            </w:r>
          </w:p>
        </w:tc>
      </w:tr>
      <w:tr w:rsidR="00BC3B6C" w:rsidRPr="007F0FA7" w14:paraId="584E6101" w14:textId="50FEB35A" w:rsidTr="00BC3B6C">
        <w:trPr>
          <w:trHeight w:val="417"/>
        </w:trPr>
        <w:tc>
          <w:tcPr>
            <w:cnfStyle w:val="001000000000" w:firstRow="0" w:lastRow="0" w:firstColumn="1" w:lastColumn="0" w:oddVBand="0" w:evenVBand="0" w:oddHBand="0" w:evenHBand="0" w:firstRowFirstColumn="0" w:firstRowLastColumn="0" w:lastRowFirstColumn="0" w:lastRowLastColumn="0"/>
            <w:tcW w:w="1407" w:type="dxa"/>
            <w:hideMark/>
          </w:tcPr>
          <w:p w14:paraId="1DA7F96D" w14:textId="77777777" w:rsidR="00BC3B6C" w:rsidRPr="007F0FA7" w:rsidRDefault="00BC3B6C" w:rsidP="00093B44">
            <w:pPr>
              <w:jc w:val="center"/>
              <w:rPr>
                <w:rFonts w:ascii="Humanst521 BT" w:eastAsia="Times New Roman" w:hAnsi="Humanst521 BT" w:cs="Calibri"/>
                <w:lang w:eastAsia="es-CO"/>
              </w:rPr>
            </w:pPr>
            <w:r w:rsidRPr="007F0FA7">
              <w:rPr>
                <w:rFonts w:ascii="Humanst521 BT" w:eastAsia="Times New Roman" w:hAnsi="Humanst521 BT" w:cs="Calibri"/>
                <w:lang w:eastAsia="es-CO"/>
              </w:rPr>
              <w:t>327</w:t>
            </w:r>
          </w:p>
        </w:tc>
        <w:tc>
          <w:tcPr>
            <w:tcW w:w="4856" w:type="dxa"/>
            <w:hideMark/>
          </w:tcPr>
          <w:p w14:paraId="5018953A" w14:textId="05B65D4B" w:rsidR="00BC3B6C" w:rsidRPr="007F0FA7" w:rsidRDefault="00BC3B6C" w:rsidP="00093B44">
            <w:pPr>
              <w:cnfStyle w:val="000000000000" w:firstRow="0" w:lastRow="0" w:firstColumn="0" w:lastColumn="0" w:oddVBand="0" w:evenVBand="0" w:oddHBand="0" w:evenHBand="0" w:firstRowFirstColumn="0" w:firstRowLastColumn="0" w:lastRowFirstColumn="0" w:lastRowLastColumn="0"/>
              <w:rPr>
                <w:rFonts w:ascii="Humanst521 BT" w:eastAsia="Times New Roman" w:hAnsi="Humanst521 BT" w:cs="Calibri"/>
                <w:lang w:eastAsia="es-CO"/>
              </w:rPr>
            </w:pPr>
            <w:r w:rsidRPr="007F0FA7">
              <w:rPr>
                <w:rFonts w:ascii="Humanst521 BT" w:eastAsia="Times New Roman" w:hAnsi="Humanst521 BT" w:cs="Calibri"/>
                <w:lang w:eastAsia="es-CO"/>
              </w:rPr>
              <w:t xml:space="preserve">Prevalencia registrada de VIH/SIDA en personas de 15 a 49 años </w:t>
            </w:r>
          </w:p>
        </w:tc>
        <w:tc>
          <w:tcPr>
            <w:tcW w:w="1847" w:type="dxa"/>
            <w:hideMark/>
          </w:tcPr>
          <w:p w14:paraId="5A21A89C" w14:textId="44F32340" w:rsidR="00BC3B6C" w:rsidRPr="007F0FA7" w:rsidRDefault="00BC3B6C" w:rsidP="00093B44">
            <w:pPr>
              <w:jc w:val="center"/>
              <w:cnfStyle w:val="000000000000" w:firstRow="0" w:lastRow="0" w:firstColumn="0" w:lastColumn="0" w:oddVBand="0" w:evenVBand="0" w:oddHBand="0" w:evenHBand="0" w:firstRowFirstColumn="0" w:firstRowLastColumn="0" w:lastRowFirstColumn="0" w:lastRowLastColumn="0"/>
              <w:rPr>
                <w:rFonts w:ascii="Humanst521 BT" w:eastAsia="Times New Roman" w:hAnsi="Humanst521 BT" w:cs="Calibri"/>
                <w:lang w:eastAsia="es-CO"/>
              </w:rPr>
            </w:pPr>
            <w:r w:rsidRPr="007F0FA7">
              <w:rPr>
                <w:rFonts w:ascii="Humanst521 BT" w:eastAsia="Times New Roman" w:hAnsi="Humanst521 BT" w:cs="Calibri"/>
                <w:lang w:eastAsia="es-CO"/>
              </w:rPr>
              <w:t>0,</w:t>
            </w:r>
            <w:r w:rsidR="00791AF0">
              <w:rPr>
                <w:rFonts w:ascii="Humanst521 BT" w:eastAsia="Times New Roman" w:hAnsi="Humanst521 BT" w:cs="Calibri"/>
                <w:lang w:eastAsia="es-CO"/>
              </w:rPr>
              <w:t>2</w:t>
            </w:r>
            <w:r w:rsidRPr="007F0FA7">
              <w:rPr>
                <w:rFonts w:ascii="Humanst521 BT" w:eastAsia="Times New Roman" w:hAnsi="Humanst521 BT" w:cs="Calibri"/>
                <w:lang w:eastAsia="es-CO"/>
              </w:rPr>
              <w:t>5</w:t>
            </w:r>
            <w:r w:rsidR="00596A6B">
              <w:rPr>
                <w:rFonts w:ascii="Humanst521 BT" w:eastAsia="Times New Roman" w:hAnsi="Humanst521 BT" w:cs="Calibri"/>
                <w:lang w:eastAsia="es-CO"/>
              </w:rPr>
              <w:t>- (2 casos)</w:t>
            </w:r>
          </w:p>
        </w:tc>
        <w:tc>
          <w:tcPr>
            <w:tcW w:w="1440" w:type="dxa"/>
          </w:tcPr>
          <w:p w14:paraId="56336241" w14:textId="62BAFE89" w:rsidR="00BC3B6C" w:rsidRPr="00EB0746" w:rsidRDefault="00791AF0" w:rsidP="00093B44">
            <w:pPr>
              <w:jc w:val="center"/>
              <w:cnfStyle w:val="000000000000" w:firstRow="0" w:lastRow="0" w:firstColumn="0" w:lastColumn="0" w:oddVBand="0" w:evenVBand="0" w:oddHBand="0" w:evenHBand="0" w:firstRowFirstColumn="0" w:firstRowLastColumn="0" w:lastRowFirstColumn="0" w:lastRowLastColumn="0"/>
              <w:rPr>
                <w:rFonts w:ascii="Humanst521 BT" w:eastAsia="Times New Roman" w:hAnsi="Humanst521 BT" w:cs="Calibri"/>
                <w:lang w:eastAsia="es-CO"/>
              </w:rPr>
            </w:pPr>
            <w:r>
              <w:rPr>
                <w:rFonts w:ascii="Humanst521 BT" w:eastAsia="Times New Roman" w:hAnsi="Humanst521 BT" w:cs="Calibri"/>
                <w:lang w:eastAsia="es-CO"/>
              </w:rPr>
              <w:t>0,51</w:t>
            </w:r>
            <w:r w:rsidR="00EB0746" w:rsidRPr="00EB0746">
              <w:rPr>
                <w:rFonts w:ascii="Humanst521 BT" w:eastAsia="Times New Roman" w:hAnsi="Humanst521 BT" w:cs="Calibri"/>
                <w:lang w:eastAsia="es-CO"/>
              </w:rPr>
              <w:t>(4 casos)</w:t>
            </w:r>
          </w:p>
        </w:tc>
      </w:tr>
      <w:tr w:rsidR="001F521A" w:rsidRPr="007F0FA7" w14:paraId="1891B7E8" w14:textId="79F3D40C" w:rsidTr="00A23618">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407" w:type="dxa"/>
            <w:shd w:val="clear" w:color="auto" w:fill="F2F2F2" w:themeFill="background1" w:themeFillShade="F2"/>
            <w:hideMark/>
          </w:tcPr>
          <w:p w14:paraId="51EC58A0" w14:textId="15959D4C" w:rsidR="001F521A" w:rsidRPr="007F0FA7" w:rsidRDefault="001F521A" w:rsidP="001F521A">
            <w:pPr>
              <w:jc w:val="center"/>
              <w:rPr>
                <w:rFonts w:ascii="Humanst521 BT" w:eastAsia="Times New Roman" w:hAnsi="Humanst521 BT" w:cs="Calibri"/>
                <w:lang w:eastAsia="es-CO"/>
              </w:rPr>
            </w:pPr>
          </w:p>
        </w:tc>
        <w:tc>
          <w:tcPr>
            <w:tcW w:w="4856" w:type="dxa"/>
            <w:shd w:val="clear" w:color="auto" w:fill="F2F2F2" w:themeFill="background1" w:themeFillShade="F2"/>
            <w:hideMark/>
          </w:tcPr>
          <w:p w14:paraId="7310D63A" w14:textId="4025BEF8" w:rsidR="001F521A" w:rsidRPr="007F0FA7" w:rsidRDefault="001F521A" w:rsidP="001F521A">
            <w:pPr>
              <w:cnfStyle w:val="000000100000" w:firstRow="0" w:lastRow="0" w:firstColumn="0" w:lastColumn="0" w:oddVBand="0" w:evenVBand="0" w:oddHBand="1" w:evenHBand="0" w:firstRowFirstColumn="0" w:firstRowLastColumn="0" w:lastRowFirstColumn="0" w:lastRowLastColumn="0"/>
              <w:rPr>
                <w:rFonts w:ascii="Humanst521 BT" w:eastAsia="Times New Roman" w:hAnsi="Humanst521 BT" w:cs="Calibri"/>
                <w:lang w:eastAsia="es-CO"/>
              </w:rPr>
            </w:pPr>
            <w:r w:rsidRPr="007F0FA7">
              <w:rPr>
                <w:rFonts w:ascii="Humanst521 BT" w:hAnsi="Humanst521 BT" w:cs="Calibri"/>
              </w:rPr>
              <w:t xml:space="preserve">Cobertura de tratamiento antirretroviral en personas con VIH </w:t>
            </w:r>
          </w:p>
        </w:tc>
        <w:tc>
          <w:tcPr>
            <w:tcW w:w="1847" w:type="dxa"/>
            <w:shd w:val="clear" w:color="auto" w:fill="F2F2F2" w:themeFill="background1" w:themeFillShade="F2"/>
            <w:noWrap/>
            <w:hideMark/>
          </w:tcPr>
          <w:p w14:paraId="67F762AF" w14:textId="68755890" w:rsidR="001F521A" w:rsidRPr="007F0FA7" w:rsidRDefault="001F521A" w:rsidP="001F521A">
            <w:pPr>
              <w:jc w:val="center"/>
              <w:cnfStyle w:val="000000100000" w:firstRow="0" w:lastRow="0" w:firstColumn="0" w:lastColumn="0" w:oddVBand="0" w:evenVBand="0" w:oddHBand="1" w:evenHBand="0" w:firstRowFirstColumn="0" w:firstRowLastColumn="0" w:lastRowFirstColumn="0" w:lastRowLastColumn="0"/>
              <w:rPr>
                <w:rFonts w:ascii="Humanst521 BT" w:eastAsia="Times New Roman" w:hAnsi="Humanst521 BT" w:cs="Calibri"/>
                <w:lang w:eastAsia="es-CO"/>
              </w:rPr>
            </w:pPr>
            <w:r w:rsidRPr="007F0FA7">
              <w:rPr>
                <w:rFonts w:ascii="Humanst521 BT" w:eastAsia="Times New Roman" w:hAnsi="Humanst521 BT" w:cs="Calibri"/>
                <w:lang w:eastAsia="es-CO"/>
              </w:rPr>
              <w:t>100</w:t>
            </w:r>
            <w:r>
              <w:rPr>
                <w:rFonts w:ascii="Humanst521 BT" w:eastAsia="Times New Roman" w:hAnsi="Humanst521 BT" w:cs="Calibri"/>
                <w:lang w:eastAsia="es-CO"/>
              </w:rPr>
              <w:t>%</w:t>
            </w:r>
          </w:p>
        </w:tc>
        <w:tc>
          <w:tcPr>
            <w:tcW w:w="1440" w:type="dxa"/>
            <w:shd w:val="clear" w:color="auto" w:fill="F2F2F2" w:themeFill="background1" w:themeFillShade="F2"/>
          </w:tcPr>
          <w:p w14:paraId="1A1ACACB" w14:textId="3DA683A7" w:rsidR="001F521A" w:rsidRPr="00BC3B6C" w:rsidRDefault="001F521A" w:rsidP="001F521A">
            <w:pPr>
              <w:jc w:val="center"/>
              <w:cnfStyle w:val="000000100000" w:firstRow="0" w:lastRow="0" w:firstColumn="0" w:lastColumn="0" w:oddVBand="0" w:evenVBand="0" w:oddHBand="1" w:evenHBand="0" w:firstRowFirstColumn="0" w:firstRowLastColumn="0" w:lastRowFirstColumn="0" w:lastRowLastColumn="0"/>
              <w:rPr>
                <w:rFonts w:ascii="Humanst521 BT" w:eastAsia="Times New Roman" w:hAnsi="Humanst521 BT" w:cs="Calibri"/>
                <w:b/>
                <w:bCs/>
                <w:lang w:eastAsia="es-CO"/>
              </w:rPr>
            </w:pPr>
            <w:r w:rsidRPr="007F0FA7">
              <w:rPr>
                <w:rFonts w:ascii="Humanst521 BT" w:eastAsia="Times New Roman" w:hAnsi="Humanst521 BT" w:cs="Calibri"/>
                <w:lang w:eastAsia="es-CO"/>
              </w:rPr>
              <w:t>100</w:t>
            </w:r>
            <w:r>
              <w:rPr>
                <w:rFonts w:ascii="Humanst521 BT" w:eastAsia="Times New Roman" w:hAnsi="Humanst521 BT" w:cs="Calibri"/>
                <w:lang w:eastAsia="es-CO"/>
              </w:rPr>
              <w:t>%</w:t>
            </w:r>
          </w:p>
        </w:tc>
      </w:tr>
      <w:tr w:rsidR="001F521A" w:rsidRPr="007F0FA7" w14:paraId="19F01013" w14:textId="65E340A4" w:rsidTr="00EF6B9C">
        <w:trPr>
          <w:trHeight w:val="565"/>
        </w:trPr>
        <w:tc>
          <w:tcPr>
            <w:cnfStyle w:val="001000000000" w:firstRow="0" w:lastRow="0" w:firstColumn="1" w:lastColumn="0" w:oddVBand="0" w:evenVBand="0" w:oddHBand="0" w:evenHBand="0" w:firstRowFirstColumn="0" w:firstRowLastColumn="0" w:lastRowFirstColumn="0" w:lastRowLastColumn="0"/>
            <w:tcW w:w="1407" w:type="dxa"/>
          </w:tcPr>
          <w:p w14:paraId="5664C10A" w14:textId="77777777" w:rsidR="001F521A" w:rsidRPr="007F0FA7" w:rsidRDefault="001F521A" w:rsidP="001F521A">
            <w:pPr>
              <w:jc w:val="center"/>
              <w:rPr>
                <w:rFonts w:ascii="Humanst521 BT" w:eastAsia="Times New Roman" w:hAnsi="Humanst521 BT" w:cs="Calibri"/>
                <w:lang w:eastAsia="es-CO"/>
              </w:rPr>
            </w:pPr>
          </w:p>
        </w:tc>
        <w:tc>
          <w:tcPr>
            <w:tcW w:w="4856" w:type="dxa"/>
          </w:tcPr>
          <w:p w14:paraId="724E865B" w14:textId="62D8E879" w:rsidR="001F521A" w:rsidRPr="007F0FA7" w:rsidRDefault="001F521A" w:rsidP="001F521A">
            <w:pPr>
              <w:cnfStyle w:val="000000000000" w:firstRow="0" w:lastRow="0" w:firstColumn="0" w:lastColumn="0" w:oddVBand="0" w:evenVBand="0" w:oddHBand="0" w:evenHBand="0" w:firstRowFirstColumn="0" w:firstRowLastColumn="0" w:lastRowFirstColumn="0" w:lastRowLastColumn="0"/>
              <w:rPr>
                <w:rFonts w:ascii="Humanst521 BT" w:eastAsia="Times New Roman" w:hAnsi="Humanst521 BT" w:cs="Calibri"/>
                <w:lang w:eastAsia="es-CO"/>
              </w:rPr>
            </w:pPr>
            <w:r w:rsidRPr="007F0FA7">
              <w:rPr>
                <w:rFonts w:ascii="Humanst521 BT" w:hAnsi="Humanst521 BT" w:cs="Calibri"/>
              </w:rPr>
              <w:t xml:space="preserve">Cobertura de tratamiento antirretroviral en personas con VIH de 15 a 49 años </w:t>
            </w:r>
          </w:p>
        </w:tc>
        <w:tc>
          <w:tcPr>
            <w:tcW w:w="1847" w:type="dxa"/>
            <w:noWrap/>
          </w:tcPr>
          <w:p w14:paraId="49854D37" w14:textId="78D38505" w:rsidR="001F521A" w:rsidRPr="007F0FA7" w:rsidRDefault="001F521A" w:rsidP="001F521A">
            <w:pPr>
              <w:jc w:val="center"/>
              <w:cnfStyle w:val="000000000000" w:firstRow="0" w:lastRow="0" w:firstColumn="0" w:lastColumn="0" w:oddVBand="0" w:evenVBand="0" w:oddHBand="0" w:evenHBand="0" w:firstRowFirstColumn="0" w:firstRowLastColumn="0" w:lastRowFirstColumn="0" w:lastRowLastColumn="0"/>
              <w:rPr>
                <w:rFonts w:ascii="Humanst521 BT" w:eastAsia="Times New Roman" w:hAnsi="Humanst521 BT" w:cs="Calibri"/>
                <w:lang w:eastAsia="es-CO"/>
              </w:rPr>
            </w:pPr>
            <w:r w:rsidRPr="007F0FA7">
              <w:rPr>
                <w:rFonts w:ascii="Humanst521 BT" w:eastAsia="Times New Roman" w:hAnsi="Humanst521 BT" w:cs="Calibri"/>
                <w:lang w:eastAsia="es-CO"/>
              </w:rPr>
              <w:t>100</w:t>
            </w:r>
            <w:r>
              <w:rPr>
                <w:rFonts w:ascii="Humanst521 BT" w:eastAsia="Times New Roman" w:hAnsi="Humanst521 BT" w:cs="Calibri"/>
                <w:lang w:eastAsia="es-CO"/>
              </w:rPr>
              <w:t>%</w:t>
            </w:r>
          </w:p>
        </w:tc>
        <w:tc>
          <w:tcPr>
            <w:tcW w:w="1440" w:type="dxa"/>
          </w:tcPr>
          <w:p w14:paraId="5A33C6E4" w14:textId="38157BDB" w:rsidR="001F521A" w:rsidRPr="00BC3B6C" w:rsidRDefault="001F521A" w:rsidP="001F521A">
            <w:pPr>
              <w:jc w:val="center"/>
              <w:cnfStyle w:val="000000000000" w:firstRow="0" w:lastRow="0" w:firstColumn="0" w:lastColumn="0" w:oddVBand="0" w:evenVBand="0" w:oddHBand="0" w:evenHBand="0" w:firstRowFirstColumn="0" w:firstRowLastColumn="0" w:lastRowFirstColumn="0" w:lastRowLastColumn="0"/>
              <w:rPr>
                <w:rFonts w:ascii="Humanst521 BT" w:eastAsia="Times New Roman" w:hAnsi="Humanst521 BT" w:cs="Calibri"/>
                <w:b/>
                <w:bCs/>
                <w:lang w:eastAsia="es-CO"/>
              </w:rPr>
            </w:pPr>
            <w:r w:rsidRPr="007F0FA7">
              <w:rPr>
                <w:rFonts w:ascii="Humanst521 BT" w:eastAsia="Times New Roman" w:hAnsi="Humanst521 BT" w:cs="Calibri"/>
                <w:lang w:eastAsia="es-CO"/>
              </w:rPr>
              <w:t>100</w:t>
            </w:r>
            <w:r>
              <w:rPr>
                <w:rFonts w:ascii="Humanst521 BT" w:eastAsia="Times New Roman" w:hAnsi="Humanst521 BT" w:cs="Calibri"/>
                <w:lang w:eastAsia="es-CO"/>
              </w:rPr>
              <w:t>%</w:t>
            </w:r>
          </w:p>
        </w:tc>
      </w:tr>
    </w:tbl>
    <w:p w14:paraId="2948FB13" w14:textId="674E1CF0" w:rsidR="00B769E5" w:rsidRPr="007F0FA7" w:rsidRDefault="00B769E5" w:rsidP="00093B44">
      <w:pPr>
        <w:rPr>
          <w:rFonts w:ascii="Humanst521 BT" w:hAnsi="Humanst521 BT"/>
        </w:rPr>
      </w:pPr>
      <w:r w:rsidRPr="007F0FA7">
        <w:rPr>
          <w:rFonts w:ascii="Humanst521 BT" w:hAnsi="Humanst521 BT"/>
        </w:rPr>
        <w:t xml:space="preserve">Fuente: indicadores cuenta de alto costo. </w:t>
      </w:r>
      <w:r w:rsidR="00D041F2">
        <w:rPr>
          <w:rFonts w:ascii="Humanst521 BT" w:hAnsi="Humanst521 BT"/>
        </w:rPr>
        <w:t>(Prevalencia po</w:t>
      </w:r>
      <w:r w:rsidRPr="007F0FA7">
        <w:rPr>
          <w:rFonts w:ascii="Humanst521 BT" w:hAnsi="Humanst521 BT"/>
        </w:rPr>
        <w:t>r 100 afiliados</w:t>
      </w:r>
      <w:r w:rsidR="00D041F2">
        <w:rPr>
          <w:rFonts w:ascii="Humanst521 BT" w:hAnsi="Humanst521 BT"/>
        </w:rPr>
        <w:t>)</w:t>
      </w:r>
    </w:p>
    <w:p w14:paraId="6FD4DFCA" w14:textId="77777777" w:rsidR="00B769E5" w:rsidRDefault="00B769E5" w:rsidP="00093B44">
      <w:pPr>
        <w:rPr>
          <w:rFonts w:ascii="Humanst521 BT" w:hAnsi="Humanst521 BT"/>
        </w:rPr>
      </w:pPr>
    </w:p>
    <w:p w14:paraId="42ABE69C" w14:textId="77777777" w:rsidR="00C8187D" w:rsidRPr="00C8187D" w:rsidRDefault="00C8187D" w:rsidP="00C8187D">
      <w:pPr>
        <w:widowControl/>
        <w:autoSpaceDE/>
        <w:autoSpaceDN/>
        <w:spacing w:before="100" w:beforeAutospacing="1" w:after="100" w:afterAutospacing="1"/>
        <w:jc w:val="both"/>
        <w:rPr>
          <w:rFonts w:ascii="Humanst521 BT" w:hAnsi="Humanst521 BT" w:cs="Arial"/>
        </w:rPr>
      </w:pPr>
      <w:r w:rsidRPr="00C8187D">
        <w:rPr>
          <w:rFonts w:ascii="Humanst521 BT" w:hAnsi="Humanst521 BT" w:cs="Arial"/>
        </w:rPr>
        <w:t xml:space="preserve">El comportamiento de los indicadores de VIH/SIDA en UISALUD entre 2024 y 2025 muestra un incremento en el número de casos registrados, pasando de 6 a 8 casos en población general, así como en el grupo de 15 a 49 años, que pasa de 2 a 4 casos. Aunque en términos absolutos el número de casos es bajo, este aumento se refleja en una mayor prevalencia registrada y podría estar asociado tanto a una mayor captación diagnóstica como a la dinámica propia de la transmisión en población en edad reproductiva. Al comparar con el referente </w:t>
      </w:r>
      <w:r w:rsidRPr="00C8187D">
        <w:rPr>
          <w:rFonts w:ascii="Humanst521 BT" w:hAnsi="Humanst521 BT" w:cs="Arial"/>
        </w:rPr>
        <w:lastRenderedPageBreak/>
        <w:t>nacional para 2025 (0,39), la prevalencia en UISALUD se mantiene en un rango relativamente cercano, lo que sugiere un comportamiento acorde con el contexto del país, aunque con la necesidad de seguimiento por el incremento observado.</w:t>
      </w:r>
    </w:p>
    <w:p w14:paraId="57BAB853" w14:textId="77777777" w:rsidR="00C8187D" w:rsidRPr="00C8187D" w:rsidRDefault="00C8187D" w:rsidP="00C8187D">
      <w:pPr>
        <w:widowControl/>
        <w:autoSpaceDE/>
        <w:autoSpaceDN/>
        <w:spacing w:before="100" w:beforeAutospacing="1" w:after="100" w:afterAutospacing="1"/>
        <w:jc w:val="both"/>
        <w:rPr>
          <w:rFonts w:ascii="Humanst521 BT" w:hAnsi="Humanst521 BT" w:cs="Arial"/>
        </w:rPr>
      </w:pPr>
      <w:r w:rsidRPr="00C8187D">
        <w:rPr>
          <w:rFonts w:ascii="Humanst521 BT" w:hAnsi="Humanst521 BT" w:cs="Arial"/>
        </w:rPr>
        <w:t>Un aspecto altamente favorable es la cobertura del 100% en tratamiento antirretroviral, tanto en la población general como en el grupo de 15 a 49 años, lo cual evidencia una adecuada capacidad institucional para garantizar el acceso oportuno al tratamiento, alineado con las metas de control de la infección y reducción de la transmisión. Este resultado es clave, ya que el tratamiento efectivo no solo mejora la calidad de vida de las personas, sino que también reduce significativamente la transmisibilidad del virus.</w:t>
      </w:r>
    </w:p>
    <w:p w14:paraId="313E3733" w14:textId="77777777" w:rsidR="00C8187D" w:rsidRPr="00C8187D" w:rsidRDefault="00C8187D" w:rsidP="00C8187D">
      <w:pPr>
        <w:widowControl/>
        <w:autoSpaceDE/>
        <w:autoSpaceDN/>
        <w:spacing w:before="100" w:beforeAutospacing="1" w:after="100" w:afterAutospacing="1"/>
        <w:jc w:val="both"/>
        <w:rPr>
          <w:rFonts w:ascii="Humanst521 BT" w:hAnsi="Humanst521 BT" w:cs="Arial"/>
        </w:rPr>
      </w:pPr>
      <w:r w:rsidRPr="00C8187D">
        <w:rPr>
          <w:rFonts w:ascii="Humanst521 BT" w:hAnsi="Humanst521 BT" w:cs="Arial"/>
        </w:rPr>
        <w:t>En conjunto, estos hallazgos indican que, aunque la carga de enfermedad es baja, existe una tendencia al aumento en los casos detectados, especialmente en población joven-adulta, lo que refuerza la necesidad de fortalecer las estrategias de detección temprana, educación en salud sexual, promoción del uso de medidas de protección y continuidad en la adherencia al tratamiento. Mantener la alta cobertura terapéutica y consolidar acciones de prevención permitirá contener la progresión del evento y reducir su impacto en la población afiliada.</w:t>
      </w:r>
    </w:p>
    <w:p w14:paraId="2FA69BA6" w14:textId="24166965" w:rsidR="00852C53" w:rsidRDefault="00852C53" w:rsidP="00093B44">
      <w:pPr>
        <w:pStyle w:val="Descripcin"/>
        <w:spacing w:line="240" w:lineRule="auto"/>
        <w:rPr>
          <w:rFonts w:ascii="Humanst521 BT" w:eastAsia="Verdana" w:hAnsi="Humanst521 BT" w:cs="Verdana"/>
          <w:b w:val="0"/>
          <w:bCs w:val="0"/>
          <w:color w:val="auto"/>
          <w:sz w:val="22"/>
          <w:szCs w:val="22"/>
          <w:lang w:val="es-ES"/>
        </w:rPr>
      </w:pPr>
      <w:bookmarkStart w:id="102" w:name="_Toc161298200"/>
      <w:bookmarkStart w:id="103" w:name="_Toc161318820"/>
      <w:bookmarkStart w:id="104" w:name="_Toc231286268"/>
      <w:bookmarkStart w:id="105" w:name="_Hlk158224761"/>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66118">
        <w:rPr>
          <w:rFonts w:ascii="Humanst521 BT" w:eastAsia="Verdana" w:hAnsi="Humanst521 BT" w:cs="Verdana"/>
          <w:b w:val="0"/>
          <w:bCs w:val="0"/>
          <w:noProof/>
          <w:color w:val="auto"/>
          <w:sz w:val="22"/>
          <w:szCs w:val="22"/>
          <w:lang w:val="es-ES"/>
        </w:rPr>
        <w:t>23</w:t>
      </w:r>
      <w:r w:rsidRPr="007F0FA7">
        <w:rPr>
          <w:rFonts w:ascii="Humanst521 BT" w:eastAsia="Verdana" w:hAnsi="Humanst521 BT" w:cs="Verdana"/>
          <w:b w:val="0"/>
          <w:bCs w:val="0"/>
          <w:color w:val="auto"/>
          <w:sz w:val="22"/>
          <w:szCs w:val="22"/>
          <w:lang w:val="es-ES"/>
        </w:rPr>
        <w:fldChar w:fldCharType="end"/>
      </w:r>
      <w:r w:rsidR="001768F7">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w:t>
      </w:r>
      <w:r w:rsidR="00901401">
        <w:rPr>
          <w:rFonts w:ascii="Humanst521 BT" w:eastAsia="Verdana" w:hAnsi="Humanst521 BT" w:cs="Verdana"/>
          <w:b w:val="0"/>
          <w:bCs w:val="0"/>
          <w:color w:val="auto"/>
          <w:sz w:val="22"/>
          <w:szCs w:val="22"/>
          <w:lang w:val="es-ES"/>
        </w:rPr>
        <w:t>Prevalencia cruda del VIH según el sexo y edad Colombia vs UISALUD 2025.</w:t>
      </w:r>
      <w:bookmarkEnd w:id="102"/>
      <w:bookmarkEnd w:id="103"/>
      <w:bookmarkEnd w:id="104"/>
      <w:r w:rsidR="00901401" w:rsidRPr="00901401">
        <w:rPr>
          <w:rFonts w:ascii="Humanst521 BT" w:eastAsia="Verdana" w:hAnsi="Humanst521 BT" w:cs="Verdana"/>
          <w:b w:val="0"/>
          <w:bCs w:val="0"/>
          <w:color w:val="auto"/>
          <w:sz w:val="22"/>
          <w:szCs w:val="22"/>
          <w:lang w:val="es-ES"/>
        </w:rPr>
        <w:t xml:space="preserve"> </w:t>
      </w:r>
    </w:p>
    <w:tbl>
      <w:tblPr>
        <w:tblW w:w="8840" w:type="dxa"/>
        <w:tblCellMar>
          <w:left w:w="70" w:type="dxa"/>
          <w:right w:w="70" w:type="dxa"/>
        </w:tblCellMar>
        <w:tblLook w:val="04A0" w:firstRow="1" w:lastRow="0" w:firstColumn="1" w:lastColumn="0" w:noHBand="0" w:noVBand="1"/>
      </w:tblPr>
      <w:tblGrid>
        <w:gridCol w:w="1640"/>
        <w:gridCol w:w="1200"/>
        <w:gridCol w:w="1200"/>
        <w:gridCol w:w="1200"/>
        <w:gridCol w:w="1200"/>
        <w:gridCol w:w="1200"/>
        <w:gridCol w:w="1200"/>
      </w:tblGrid>
      <w:tr w:rsidR="00231C19" w:rsidRPr="00231C19" w14:paraId="08B291E2" w14:textId="77777777" w:rsidTr="008A00DF">
        <w:trPr>
          <w:trHeight w:val="615"/>
        </w:trPr>
        <w:tc>
          <w:tcPr>
            <w:tcW w:w="1640" w:type="dxa"/>
            <w:vMerge w:val="restart"/>
            <w:tcBorders>
              <w:top w:val="single" w:sz="8" w:space="0" w:color="9BBB59"/>
              <w:left w:val="nil"/>
              <w:bottom w:val="single" w:sz="8" w:space="0" w:color="9BBB59"/>
              <w:right w:val="nil"/>
            </w:tcBorders>
            <w:shd w:val="clear" w:color="auto" w:fill="C5E0B3" w:themeFill="accent6" w:themeFillTint="66"/>
            <w:vAlign w:val="center"/>
            <w:hideMark/>
          </w:tcPr>
          <w:p w14:paraId="488189A5"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Grupo de edad</w:t>
            </w:r>
          </w:p>
        </w:tc>
        <w:tc>
          <w:tcPr>
            <w:tcW w:w="3600" w:type="dxa"/>
            <w:gridSpan w:val="3"/>
            <w:tcBorders>
              <w:top w:val="single" w:sz="8" w:space="0" w:color="9BBB59"/>
              <w:left w:val="nil"/>
              <w:bottom w:val="single" w:sz="8" w:space="0" w:color="9BBB59"/>
              <w:right w:val="nil"/>
            </w:tcBorders>
            <w:shd w:val="clear" w:color="auto" w:fill="C5E0B3" w:themeFill="accent6" w:themeFillTint="66"/>
            <w:vAlign w:val="center"/>
            <w:hideMark/>
          </w:tcPr>
          <w:p w14:paraId="2C8A629A"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Colombia</w:t>
            </w:r>
          </w:p>
        </w:tc>
        <w:tc>
          <w:tcPr>
            <w:tcW w:w="3600" w:type="dxa"/>
            <w:gridSpan w:val="3"/>
            <w:tcBorders>
              <w:top w:val="single" w:sz="8" w:space="0" w:color="9BBB59"/>
              <w:left w:val="nil"/>
              <w:bottom w:val="single" w:sz="8" w:space="0" w:color="9BBB59"/>
              <w:right w:val="nil"/>
            </w:tcBorders>
            <w:shd w:val="clear" w:color="auto" w:fill="C5E0B3" w:themeFill="accent6" w:themeFillTint="66"/>
            <w:vAlign w:val="center"/>
            <w:hideMark/>
          </w:tcPr>
          <w:p w14:paraId="53F56863"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UISALUD</w:t>
            </w:r>
          </w:p>
        </w:tc>
      </w:tr>
      <w:tr w:rsidR="00231C19" w:rsidRPr="00231C19" w14:paraId="32444EA0" w14:textId="77777777" w:rsidTr="008A00DF">
        <w:trPr>
          <w:trHeight w:val="315"/>
        </w:trPr>
        <w:tc>
          <w:tcPr>
            <w:tcW w:w="1640" w:type="dxa"/>
            <w:vMerge/>
            <w:tcBorders>
              <w:top w:val="single" w:sz="8" w:space="0" w:color="9BBB59"/>
              <w:left w:val="nil"/>
              <w:bottom w:val="single" w:sz="8" w:space="0" w:color="9BBB59"/>
              <w:right w:val="nil"/>
            </w:tcBorders>
            <w:shd w:val="clear" w:color="auto" w:fill="C5E0B3" w:themeFill="accent6" w:themeFillTint="66"/>
            <w:vAlign w:val="center"/>
            <w:hideMark/>
          </w:tcPr>
          <w:p w14:paraId="45933E81" w14:textId="77777777" w:rsidR="00231C19" w:rsidRPr="00231C19" w:rsidRDefault="00231C19" w:rsidP="00231C19">
            <w:pPr>
              <w:widowControl/>
              <w:autoSpaceDE/>
              <w:autoSpaceDN/>
              <w:rPr>
                <w:rFonts w:ascii="Humanst521 BT" w:eastAsia="Times New Roman" w:hAnsi="Humanst521 BT" w:cs="Calibri"/>
                <w:b/>
                <w:bCs/>
                <w:color w:val="000000"/>
                <w:lang w:val="es-CO" w:eastAsia="es-CO"/>
              </w:rPr>
            </w:pPr>
          </w:p>
        </w:tc>
        <w:tc>
          <w:tcPr>
            <w:tcW w:w="1200" w:type="dxa"/>
            <w:tcBorders>
              <w:top w:val="nil"/>
              <w:left w:val="nil"/>
              <w:bottom w:val="single" w:sz="8" w:space="0" w:color="9BBB59"/>
              <w:right w:val="nil"/>
            </w:tcBorders>
            <w:shd w:val="clear" w:color="auto" w:fill="C5E0B3" w:themeFill="accent6" w:themeFillTint="66"/>
            <w:vAlign w:val="center"/>
            <w:hideMark/>
          </w:tcPr>
          <w:p w14:paraId="3CD1A591"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Mujeres</w:t>
            </w:r>
          </w:p>
        </w:tc>
        <w:tc>
          <w:tcPr>
            <w:tcW w:w="1200" w:type="dxa"/>
            <w:tcBorders>
              <w:top w:val="nil"/>
              <w:left w:val="nil"/>
              <w:bottom w:val="single" w:sz="8" w:space="0" w:color="9BBB59"/>
              <w:right w:val="nil"/>
            </w:tcBorders>
            <w:shd w:val="clear" w:color="auto" w:fill="C5E0B3" w:themeFill="accent6" w:themeFillTint="66"/>
            <w:vAlign w:val="center"/>
            <w:hideMark/>
          </w:tcPr>
          <w:p w14:paraId="51C9892F"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Hombres</w:t>
            </w:r>
          </w:p>
        </w:tc>
        <w:tc>
          <w:tcPr>
            <w:tcW w:w="1200" w:type="dxa"/>
            <w:tcBorders>
              <w:top w:val="nil"/>
              <w:left w:val="nil"/>
              <w:bottom w:val="single" w:sz="8" w:space="0" w:color="9BBB59"/>
              <w:right w:val="nil"/>
            </w:tcBorders>
            <w:shd w:val="clear" w:color="auto" w:fill="C5E0B3" w:themeFill="accent6" w:themeFillTint="66"/>
            <w:vAlign w:val="center"/>
            <w:hideMark/>
          </w:tcPr>
          <w:p w14:paraId="3BA0C44A"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Total</w:t>
            </w:r>
          </w:p>
        </w:tc>
        <w:tc>
          <w:tcPr>
            <w:tcW w:w="1200" w:type="dxa"/>
            <w:tcBorders>
              <w:top w:val="nil"/>
              <w:left w:val="nil"/>
              <w:bottom w:val="single" w:sz="8" w:space="0" w:color="9BBB59"/>
              <w:right w:val="nil"/>
            </w:tcBorders>
            <w:shd w:val="clear" w:color="auto" w:fill="C5E0B3" w:themeFill="accent6" w:themeFillTint="66"/>
            <w:vAlign w:val="center"/>
            <w:hideMark/>
          </w:tcPr>
          <w:p w14:paraId="21971A29"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Mujeres</w:t>
            </w:r>
          </w:p>
        </w:tc>
        <w:tc>
          <w:tcPr>
            <w:tcW w:w="1200" w:type="dxa"/>
            <w:tcBorders>
              <w:top w:val="nil"/>
              <w:left w:val="nil"/>
              <w:bottom w:val="single" w:sz="8" w:space="0" w:color="9BBB59"/>
              <w:right w:val="nil"/>
            </w:tcBorders>
            <w:shd w:val="clear" w:color="auto" w:fill="C5E0B3" w:themeFill="accent6" w:themeFillTint="66"/>
            <w:vAlign w:val="center"/>
            <w:hideMark/>
          </w:tcPr>
          <w:p w14:paraId="3CD3511D"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Hombres</w:t>
            </w:r>
          </w:p>
        </w:tc>
        <w:tc>
          <w:tcPr>
            <w:tcW w:w="1200" w:type="dxa"/>
            <w:tcBorders>
              <w:top w:val="nil"/>
              <w:left w:val="nil"/>
              <w:bottom w:val="single" w:sz="8" w:space="0" w:color="9BBB59"/>
              <w:right w:val="nil"/>
            </w:tcBorders>
            <w:shd w:val="clear" w:color="auto" w:fill="C5E0B3" w:themeFill="accent6" w:themeFillTint="66"/>
            <w:vAlign w:val="center"/>
            <w:hideMark/>
          </w:tcPr>
          <w:p w14:paraId="11DBA48C" w14:textId="77777777" w:rsidR="00231C19" w:rsidRPr="00231C19" w:rsidRDefault="00231C19" w:rsidP="00231C19">
            <w:pPr>
              <w:widowControl/>
              <w:autoSpaceDE/>
              <w:autoSpaceDN/>
              <w:jc w:val="center"/>
              <w:rPr>
                <w:rFonts w:ascii="Humanst521 BT" w:eastAsia="Times New Roman" w:hAnsi="Humanst521 BT" w:cs="Calibri"/>
                <w:b/>
                <w:bCs/>
                <w:color w:val="000000"/>
                <w:lang w:val="es-CO" w:eastAsia="es-CO"/>
              </w:rPr>
            </w:pPr>
            <w:r w:rsidRPr="00231C19">
              <w:rPr>
                <w:rFonts w:ascii="Humanst521 BT" w:eastAsia="Times New Roman" w:hAnsi="Humanst521 BT" w:cs="Calibri"/>
                <w:b/>
                <w:bCs/>
                <w:color w:val="000000"/>
                <w:lang w:val="es-CO" w:eastAsia="es-CO"/>
              </w:rPr>
              <w:t>Total</w:t>
            </w:r>
          </w:p>
        </w:tc>
      </w:tr>
      <w:tr w:rsidR="00231C19" w:rsidRPr="00231C19" w14:paraId="0DB58261" w14:textId="77777777" w:rsidTr="00231C19">
        <w:trPr>
          <w:trHeight w:val="315"/>
        </w:trPr>
        <w:tc>
          <w:tcPr>
            <w:tcW w:w="1640" w:type="dxa"/>
            <w:tcBorders>
              <w:top w:val="nil"/>
              <w:left w:val="single" w:sz="8" w:space="0" w:color="C2D69B"/>
              <w:bottom w:val="single" w:sz="8" w:space="0" w:color="C2D69B"/>
              <w:right w:val="single" w:sz="8" w:space="0" w:color="C2D69B"/>
            </w:tcBorders>
            <w:shd w:val="clear" w:color="000000" w:fill="EAF1DD"/>
            <w:vAlign w:val="center"/>
            <w:hideMark/>
          </w:tcPr>
          <w:p w14:paraId="018919B5"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Menores de 2</w:t>
            </w:r>
          </w:p>
        </w:tc>
        <w:tc>
          <w:tcPr>
            <w:tcW w:w="1200" w:type="dxa"/>
            <w:tcBorders>
              <w:top w:val="nil"/>
              <w:left w:val="nil"/>
              <w:bottom w:val="single" w:sz="8" w:space="0" w:color="C2D69B"/>
              <w:right w:val="single" w:sz="8" w:space="0" w:color="C2D69B"/>
            </w:tcBorders>
            <w:shd w:val="clear" w:color="000000" w:fill="EAF1DD"/>
            <w:vAlign w:val="center"/>
            <w:hideMark/>
          </w:tcPr>
          <w:p w14:paraId="03ABF678"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000000" w:fill="EAF1DD"/>
            <w:vAlign w:val="center"/>
            <w:hideMark/>
          </w:tcPr>
          <w:p w14:paraId="771B1888"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000000" w:fill="EAF1DD"/>
            <w:vAlign w:val="center"/>
            <w:hideMark/>
          </w:tcPr>
          <w:p w14:paraId="658914EB"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000000" w:fill="EAF1DD"/>
            <w:vAlign w:val="center"/>
            <w:hideMark/>
          </w:tcPr>
          <w:p w14:paraId="56F47188"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000000" w:fill="EAF1DD"/>
            <w:vAlign w:val="center"/>
            <w:hideMark/>
          </w:tcPr>
          <w:p w14:paraId="7AB45967"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000000" w:fill="EAF1DD"/>
            <w:vAlign w:val="center"/>
            <w:hideMark/>
          </w:tcPr>
          <w:p w14:paraId="73D6ACF1"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r>
      <w:tr w:rsidR="00231C19" w:rsidRPr="00231C19" w14:paraId="375E631A" w14:textId="77777777" w:rsidTr="00231C19">
        <w:trPr>
          <w:trHeight w:val="315"/>
        </w:trPr>
        <w:tc>
          <w:tcPr>
            <w:tcW w:w="1640" w:type="dxa"/>
            <w:tcBorders>
              <w:top w:val="nil"/>
              <w:left w:val="single" w:sz="8" w:space="0" w:color="C2D69B"/>
              <w:bottom w:val="single" w:sz="8" w:space="0" w:color="C2D69B"/>
              <w:right w:val="single" w:sz="8" w:space="0" w:color="C2D69B"/>
            </w:tcBorders>
            <w:shd w:val="clear" w:color="auto" w:fill="auto"/>
            <w:vAlign w:val="center"/>
            <w:hideMark/>
          </w:tcPr>
          <w:p w14:paraId="07577B37"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2 a 14</w:t>
            </w:r>
          </w:p>
        </w:tc>
        <w:tc>
          <w:tcPr>
            <w:tcW w:w="1200" w:type="dxa"/>
            <w:tcBorders>
              <w:top w:val="nil"/>
              <w:left w:val="nil"/>
              <w:bottom w:val="single" w:sz="8" w:space="0" w:color="C2D69B"/>
              <w:right w:val="single" w:sz="8" w:space="0" w:color="C2D69B"/>
            </w:tcBorders>
            <w:shd w:val="clear" w:color="auto" w:fill="auto"/>
            <w:vAlign w:val="center"/>
            <w:hideMark/>
          </w:tcPr>
          <w:p w14:paraId="421E9465"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0,01</w:t>
            </w:r>
          </w:p>
        </w:tc>
        <w:tc>
          <w:tcPr>
            <w:tcW w:w="1200" w:type="dxa"/>
            <w:tcBorders>
              <w:top w:val="nil"/>
              <w:left w:val="nil"/>
              <w:bottom w:val="single" w:sz="8" w:space="0" w:color="C2D69B"/>
              <w:right w:val="single" w:sz="8" w:space="0" w:color="C2D69B"/>
            </w:tcBorders>
            <w:shd w:val="clear" w:color="auto" w:fill="auto"/>
            <w:vAlign w:val="center"/>
            <w:hideMark/>
          </w:tcPr>
          <w:p w14:paraId="2A2FAF00"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0,01</w:t>
            </w:r>
          </w:p>
        </w:tc>
        <w:tc>
          <w:tcPr>
            <w:tcW w:w="1200" w:type="dxa"/>
            <w:tcBorders>
              <w:top w:val="nil"/>
              <w:left w:val="nil"/>
              <w:bottom w:val="single" w:sz="8" w:space="0" w:color="C2D69B"/>
              <w:right w:val="single" w:sz="8" w:space="0" w:color="C2D69B"/>
            </w:tcBorders>
            <w:shd w:val="clear" w:color="auto" w:fill="auto"/>
            <w:vAlign w:val="center"/>
            <w:hideMark/>
          </w:tcPr>
          <w:p w14:paraId="02595158"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0,01</w:t>
            </w:r>
          </w:p>
        </w:tc>
        <w:tc>
          <w:tcPr>
            <w:tcW w:w="1200" w:type="dxa"/>
            <w:tcBorders>
              <w:top w:val="nil"/>
              <w:left w:val="nil"/>
              <w:bottom w:val="single" w:sz="8" w:space="0" w:color="C2D69B"/>
              <w:right w:val="single" w:sz="8" w:space="0" w:color="C2D69B"/>
            </w:tcBorders>
            <w:shd w:val="clear" w:color="auto" w:fill="auto"/>
            <w:vAlign w:val="center"/>
            <w:hideMark/>
          </w:tcPr>
          <w:p w14:paraId="3792553E"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auto" w:fill="auto"/>
            <w:vAlign w:val="center"/>
            <w:hideMark/>
          </w:tcPr>
          <w:p w14:paraId="03DCEED1"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auto" w:fill="auto"/>
            <w:vAlign w:val="center"/>
            <w:hideMark/>
          </w:tcPr>
          <w:p w14:paraId="4DC27063"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r>
      <w:tr w:rsidR="00231C19" w:rsidRPr="00231C19" w14:paraId="51D05415" w14:textId="77777777" w:rsidTr="00231C19">
        <w:trPr>
          <w:trHeight w:val="315"/>
        </w:trPr>
        <w:tc>
          <w:tcPr>
            <w:tcW w:w="1640" w:type="dxa"/>
            <w:tcBorders>
              <w:top w:val="nil"/>
              <w:left w:val="single" w:sz="8" w:space="0" w:color="C2D69B"/>
              <w:bottom w:val="single" w:sz="8" w:space="0" w:color="C2D69B"/>
              <w:right w:val="single" w:sz="8" w:space="0" w:color="C2D69B"/>
            </w:tcBorders>
            <w:shd w:val="clear" w:color="000000" w:fill="EAF1DD"/>
            <w:vAlign w:val="center"/>
            <w:hideMark/>
          </w:tcPr>
          <w:p w14:paraId="3B0CADD1"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15 a 24</w:t>
            </w:r>
          </w:p>
        </w:tc>
        <w:tc>
          <w:tcPr>
            <w:tcW w:w="1200" w:type="dxa"/>
            <w:tcBorders>
              <w:top w:val="nil"/>
              <w:left w:val="nil"/>
              <w:bottom w:val="single" w:sz="8" w:space="0" w:color="C2D69B"/>
              <w:right w:val="single" w:sz="8" w:space="0" w:color="C2D69B"/>
            </w:tcBorders>
            <w:shd w:val="clear" w:color="000000" w:fill="EAF1DD"/>
            <w:vAlign w:val="center"/>
            <w:hideMark/>
          </w:tcPr>
          <w:p w14:paraId="70750ECD"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0,07</w:t>
            </w:r>
          </w:p>
        </w:tc>
        <w:tc>
          <w:tcPr>
            <w:tcW w:w="1200" w:type="dxa"/>
            <w:tcBorders>
              <w:top w:val="nil"/>
              <w:left w:val="nil"/>
              <w:bottom w:val="single" w:sz="8" w:space="0" w:color="C2D69B"/>
              <w:right w:val="single" w:sz="8" w:space="0" w:color="C2D69B"/>
            </w:tcBorders>
            <w:shd w:val="clear" w:color="000000" w:fill="EAF1DD"/>
            <w:vAlign w:val="center"/>
            <w:hideMark/>
          </w:tcPr>
          <w:p w14:paraId="55C5D38B"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0,28</w:t>
            </w:r>
          </w:p>
        </w:tc>
        <w:tc>
          <w:tcPr>
            <w:tcW w:w="1200" w:type="dxa"/>
            <w:tcBorders>
              <w:top w:val="nil"/>
              <w:left w:val="nil"/>
              <w:bottom w:val="single" w:sz="8" w:space="0" w:color="C2D69B"/>
              <w:right w:val="single" w:sz="8" w:space="0" w:color="C2D69B"/>
            </w:tcBorders>
            <w:shd w:val="clear" w:color="000000" w:fill="EAF1DD"/>
            <w:vAlign w:val="center"/>
            <w:hideMark/>
          </w:tcPr>
          <w:p w14:paraId="21516C1E"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0,18</w:t>
            </w:r>
          </w:p>
        </w:tc>
        <w:tc>
          <w:tcPr>
            <w:tcW w:w="1200" w:type="dxa"/>
            <w:tcBorders>
              <w:top w:val="nil"/>
              <w:left w:val="nil"/>
              <w:bottom w:val="single" w:sz="8" w:space="0" w:color="C2D69B"/>
              <w:right w:val="single" w:sz="8" w:space="0" w:color="C2D69B"/>
            </w:tcBorders>
            <w:shd w:val="clear" w:color="000000" w:fill="EAF1DD"/>
            <w:vAlign w:val="center"/>
            <w:hideMark/>
          </w:tcPr>
          <w:p w14:paraId="4BAD6E99"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000000" w:fill="EAF1DD"/>
            <w:vAlign w:val="center"/>
            <w:hideMark/>
          </w:tcPr>
          <w:p w14:paraId="5778CA28"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0,69</w:t>
            </w:r>
          </w:p>
        </w:tc>
        <w:tc>
          <w:tcPr>
            <w:tcW w:w="1200" w:type="dxa"/>
            <w:tcBorders>
              <w:top w:val="nil"/>
              <w:left w:val="nil"/>
              <w:bottom w:val="single" w:sz="8" w:space="0" w:color="C2D69B"/>
              <w:right w:val="single" w:sz="8" w:space="0" w:color="C2D69B"/>
            </w:tcBorders>
            <w:shd w:val="clear" w:color="000000" w:fill="EAF1DD"/>
            <w:vAlign w:val="center"/>
            <w:hideMark/>
          </w:tcPr>
          <w:p w14:paraId="4FF053EC"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0,34</w:t>
            </w:r>
          </w:p>
        </w:tc>
      </w:tr>
      <w:tr w:rsidR="00231C19" w:rsidRPr="00231C19" w14:paraId="0D2F9B2E" w14:textId="77777777" w:rsidTr="00231C19">
        <w:trPr>
          <w:trHeight w:val="315"/>
        </w:trPr>
        <w:tc>
          <w:tcPr>
            <w:tcW w:w="1640" w:type="dxa"/>
            <w:tcBorders>
              <w:top w:val="nil"/>
              <w:left w:val="single" w:sz="8" w:space="0" w:color="C2D69B"/>
              <w:bottom w:val="single" w:sz="8" w:space="0" w:color="C2D69B"/>
              <w:right w:val="single" w:sz="8" w:space="0" w:color="C2D69B"/>
            </w:tcBorders>
            <w:shd w:val="clear" w:color="auto" w:fill="auto"/>
            <w:vAlign w:val="center"/>
            <w:hideMark/>
          </w:tcPr>
          <w:p w14:paraId="4036912E"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25 a 49</w:t>
            </w:r>
          </w:p>
        </w:tc>
        <w:tc>
          <w:tcPr>
            <w:tcW w:w="1200" w:type="dxa"/>
            <w:tcBorders>
              <w:top w:val="nil"/>
              <w:left w:val="nil"/>
              <w:bottom w:val="single" w:sz="8" w:space="0" w:color="C2D69B"/>
              <w:right w:val="single" w:sz="8" w:space="0" w:color="C2D69B"/>
            </w:tcBorders>
            <w:shd w:val="clear" w:color="auto" w:fill="auto"/>
            <w:vAlign w:val="center"/>
            <w:hideMark/>
          </w:tcPr>
          <w:p w14:paraId="086C6C9A"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0,28</w:t>
            </w:r>
          </w:p>
        </w:tc>
        <w:tc>
          <w:tcPr>
            <w:tcW w:w="1200" w:type="dxa"/>
            <w:tcBorders>
              <w:top w:val="nil"/>
              <w:left w:val="nil"/>
              <w:bottom w:val="single" w:sz="8" w:space="0" w:color="C2D69B"/>
              <w:right w:val="single" w:sz="8" w:space="0" w:color="C2D69B"/>
            </w:tcBorders>
            <w:shd w:val="clear" w:color="auto" w:fill="auto"/>
            <w:vAlign w:val="center"/>
            <w:hideMark/>
          </w:tcPr>
          <w:p w14:paraId="428F1016"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1,17</w:t>
            </w:r>
          </w:p>
        </w:tc>
        <w:tc>
          <w:tcPr>
            <w:tcW w:w="1200" w:type="dxa"/>
            <w:tcBorders>
              <w:top w:val="nil"/>
              <w:left w:val="nil"/>
              <w:bottom w:val="single" w:sz="8" w:space="0" w:color="C2D69B"/>
              <w:right w:val="single" w:sz="8" w:space="0" w:color="C2D69B"/>
            </w:tcBorders>
            <w:shd w:val="clear" w:color="auto" w:fill="auto"/>
            <w:vAlign w:val="center"/>
            <w:hideMark/>
          </w:tcPr>
          <w:p w14:paraId="0568E20E"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0,71</w:t>
            </w:r>
          </w:p>
        </w:tc>
        <w:tc>
          <w:tcPr>
            <w:tcW w:w="1200" w:type="dxa"/>
            <w:tcBorders>
              <w:top w:val="nil"/>
              <w:left w:val="nil"/>
              <w:bottom w:val="single" w:sz="8" w:space="0" w:color="C2D69B"/>
              <w:right w:val="single" w:sz="8" w:space="0" w:color="C2D69B"/>
            </w:tcBorders>
            <w:shd w:val="clear" w:color="auto" w:fill="auto"/>
            <w:vAlign w:val="center"/>
            <w:hideMark/>
          </w:tcPr>
          <w:p w14:paraId="23B4E032"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w:t>
            </w:r>
          </w:p>
        </w:tc>
        <w:tc>
          <w:tcPr>
            <w:tcW w:w="1200" w:type="dxa"/>
            <w:tcBorders>
              <w:top w:val="nil"/>
              <w:left w:val="nil"/>
              <w:bottom w:val="single" w:sz="8" w:space="0" w:color="C2D69B"/>
              <w:right w:val="single" w:sz="8" w:space="0" w:color="C2D69B"/>
            </w:tcBorders>
            <w:shd w:val="clear" w:color="auto" w:fill="auto"/>
            <w:vAlign w:val="center"/>
            <w:hideMark/>
          </w:tcPr>
          <w:p w14:paraId="6D099EFA"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1,32</w:t>
            </w:r>
          </w:p>
        </w:tc>
        <w:tc>
          <w:tcPr>
            <w:tcW w:w="1200" w:type="dxa"/>
            <w:tcBorders>
              <w:top w:val="nil"/>
              <w:left w:val="nil"/>
              <w:bottom w:val="single" w:sz="8" w:space="0" w:color="C2D69B"/>
              <w:right w:val="single" w:sz="8" w:space="0" w:color="C2D69B"/>
            </w:tcBorders>
            <w:shd w:val="clear" w:color="auto" w:fill="auto"/>
            <w:vAlign w:val="center"/>
            <w:hideMark/>
          </w:tcPr>
          <w:p w14:paraId="2524BB3B"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0,65</w:t>
            </w:r>
          </w:p>
        </w:tc>
      </w:tr>
      <w:tr w:rsidR="00231C19" w:rsidRPr="00231C19" w14:paraId="62E7A7FE" w14:textId="77777777" w:rsidTr="00231C19">
        <w:trPr>
          <w:trHeight w:val="315"/>
        </w:trPr>
        <w:tc>
          <w:tcPr>
            <w:tcW w:w="1640" w:type="dxa"/>
            <w:tcBorders>
              <w:top w:val="nil"/>
              <w:left w:val="single" w:sz="8" w:space="0" w:color="C2D69B"/>
              <w:bottom w:val="single" w:sz="8" w:space="0" w:color="C2D69B"/>
              <w:right w:val="single" w:sz="8" w:space="0" w:color="C2D69B"/>
            </w:tcBorders>
            <w:shd w:val="clear" w:color="000000" w:fill="EAF1DD"/>
            <w:vAlign w:val="center"/>
            <w:hideMark/>
          </w:tcPr>
          <w:p w14:paraId="7660F7E5"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50 y más</w:t>
            </w:r>
          </w:p>
        </w:tc>
        <w:tc>
          <w:tcPr>
            <w:tcW w:w="1200" w:type="dxa"/>
            <w:tcBorders>
              <w:top w:val="nil"/>
              <w:left w:val="nil"/>
              <w:bottom w:val="single" w:sz="8" w:space="0" w:color="C2D69B"/>
              <w:right w:val="single" w:sz="8" w:space="0" w:color="C2D69B"/>
            </w:tcBorders>
            <w:shd w:val="clear" w:color="000000" w:fill="EAF1DD"/>
            <w:vAlign w:val="center"/>
            <w:hideMark/>
          </w:tcPr>
          <w:p w14:paraId="0112F146"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0,17</w:t>
            </w:r>
          </w:p>
        </w:tc>
        <w:tc>
          <w:tcPr>
            <w:tcW w:w="1200" w:type="dxa"/>
            <w:tcBorders>
              <w:top w:val="nil"/>
              <w:left w:val="nil"/>
              <w:bottom w:val="single" w:sz="8" w:space="0" w:color="C2D69B"/>
              <w:right w:val="single" w:sz="8" w:space="0" w:color="C2D69B"/>
            </w:tcBorders>
            <w:shd w:val="clear" w:color="000000" w:fill="EAF1DD"/>
            <w:vAlign w:val="center"/>
            <w:hideMark/>
          </w:tcPr>
          <w:p w14:paraId="4EBEBF41"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0,6</w:t>
            </w:r>
          </w:p>
        </w:tc>
        <w:tc>
          <w:tcPr>
            <w:tcW w:w="1200" w:type="dxa"/>
            <w:tcBorders>
              <w:top w:val="nil"/>
              <w:left w:val="nil"/>
              <w:bottom w:val="single" w:sz="8" w:space="0" w:color="C2D69B"/>
              <w:right w:val="single" w:sz="8" w:space="0" w:color="C2D69B"/>
            </w:tcBorders>
            <w:shd w:val="clear" w:color="000000" w:fill="EAF1DD"/>
            <w:vAlign w:val="center"/>
            <w:hideMark/>
          </w:tcPr>
          <w:p w14:paraId="06BBFCA1"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0,37</w:t>
            </w:r>
          </w:p>
        </w:tc>
        <w:tc>
          <w:tcPr>
            <w:tcW w:w="1200" w:type="dxa"/>
            <w:tcBorders>
              <w:top w:val="nil"/>
              <w:left w:val="nil"/>
              <w:bottom w:val="single" w:sz="8" w:space="0" w:color="C2D69B"/>
              <w:right w:val="single" w:sz="8" w:space="0" w:color="C2D69B"/>
            </w:tcBorders>
            <w:shd w:val="clear" w:color="000000" w:fill="EAF1DD"/>
            <w:vAlign w:val="center"/>
            <w:hideMark/>
          </w:tcPr>
          <w:p w14:paraId="74D76D86"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0,11</w:t>
            </w:r>
          </w:p>
        </w:tc>
        <w:tc>
          <w:tcPr>
            <w:tcW w:w="1200" w:type="dxa"/>
            <w:tcBorders>
              <w:top w:val="nil"/>
              <w:left w:val="nil"/>
              <w:bottom w:val="single" w:sz="8" w:space="0" w:color="C2D69B"/>
              <w:right w:val="single" w:sz="8" w:space="0" w:color="C2D69B"/>
            </w:tcBorders>
            <w:shd w:val="clear" w:color="000000" w:fill="EAF1DD"/>
            <w:vAlign w:val="center"/>
            <w:hideMark/>
          </w:tcPr>
          <w:p w14:paraId="0791A100"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0,49</w:t>
            </w:r>
          </w:p>
        </w:tc>
        <w:tc>
          <w:tcPr>
            <w:tcW w:w="1200" w:type="dxa"/>
            <w:tcBorders>
              <w:top w:val="nil"/>
              <w:left w:val="nil"/>
              <w:bottom w:val="single" w:sz="8" w:space="0" w:color="C2D69B"/>
              <w:right w:val="single" w:sz="8" w:space="0" w:color="C2D69B"/>
            </w:tcBorders>
            <w:shd w:val="clear" w:color="000000" w:fill="EAF1DD"/>
            <w:vAlign w:val="center"/>
            <w:hideMark/>
          </w:tcPr>
          <w:p w14:paraId="78DA1F17" w14:textId="77777777" w:rsidR="00231C19" w:rsidRPr="00231C19" w:rsidRDefault="00231C19" w:rsidP="00231C19">
            <w:pPr>
              <w:widowControl/>
              <w:autoSpaceDE/>
              <w:autoSpaceDN/>
              <w:jc w:val="center"/>
              <w:rPr>
                <w:rFonts w:ascii="Humanst521 BT" w:eastAsia="Times New Roman" w:hAnsi="Humanst521 BT" w:cs="Calibri"/>
                <w:color w:val="000000"/>
                <w:lang w:val="es-CO" w:eastAsia="es-CO"/>
              </w:rPr>
            </w:pPr>
            <w:r w:rsidRPr="00231C19">
              <w:rPr>
                <w:rFonts w:ascii="Humanst521 BT" w:eastAsia="Times New Roman" w:hAnsi="Humanst521 BT" w:cs="Calibri"/>
                <w:color w:val="000000"/>
                <w:lang w:val="es-CO" w:eastAsia="es-CO"/>
              </w:rPr>
              <w:t>0,29</w:t>
            </w:r>
          </w:p>
        </w:tc>
      </w:tr>
    </w:tbl>
    <w:p w14:paraId="5FF52F8F" w14:textId="77777777" w:rsidR="00231C19" w:rsidRDefault="00231C19" w:rsidP="00231C19"/>
    <w:p w14:paraId="7AF8D68F" w14:textId="77777777" w:rsidR="00231C19" w:rsidRPr="00231C19" w:rsidRDefault="00231C19" w:rsidP="00231C19"/>
    <w:bookmarkEnd w:id="105"/>
    <w:p w14:paraId="01F3F24D" w14:textId="6887E0A3" w:rsidR="00852C53" w:rsidRPr="007F0FA7" w:rsidRDefault="00852C53" w:rsidP="00093B44">
      <w:pPr>
        <w:rPr>
          <w:rFonts w:ascii="Humanst521 BT" w:hAnsi="Humanst521 BT"/>
        </w:rPr>
      </w:pPr>
      <w:r w:rsidRPr="007F0FA7">
        <w:rPr>
          <w:rFonts w:ascii="Humanst521 BT" w:hAnsi="Humanst521 BT"/>
        </w:rPr>
        <w:t>Fuente: indicadores cuenta de alto costo. Tasa por 100</w:t>
      </w:r>
      <w:r w:rsidR="0066648F">
        <w:rPr>
          <w:rFonts w:ascii="Humanst521 BT" w:hAnsi="Humanst521 BT"/>
        </w:rPr>
        <w:t xml:space="preserve"> </w:t>
      </w:r>
      <w:r w:rsidRPr="007F0FA7">
        <w:rPr>
          <w:rFonts w:ascii="Humanst521 BT" w:hAnsi="Humanst521 BT"/>
        </w:rPr>
        <w:t xml:space="preserve">afiliados  </w:t>
      </w:r>
    </w:p>
    <w:p w14:paraId="06A32953" w14:textId="77777777" w:rsidR="00852C53" w:rsidRPr="007F0FA7" w:rsidRDefault="00852C53" w:rsidP="00093B44">
      <w:pPr>
        <w:rPr>
          <w:rFonts w:ascii="Humanst521 BT" w:hAnsi="Humanst521 BT"/>
          <w:iCs/>
        </w:rPr>
      </w:pPr>
    </w:p>
    <w:p w14:paraId="76A2EC0D" w14:textId="37C46AA7" w:rsidR="00852C53" w:rsidRPr="00A24493" w:rsidRDefault="007C596C" w:rsidP="007C596C">
      <w:pPr>
        <w:jc w:val="both"/>
        <w:rPr>
          <w:i/>
          <w:iCs/>
        </w:rPr>
      </w:pPr>
      <w:r w:rsidRPr="00A24493">
        <w:rPr>
          <w:rFonts w:ascii="Humanst521 BT" w:hAnsi="Humanst521 BT"/>
        </w:rPr>
        <w:t>El análisis comparativo de la prevalencia de VIH entre UISALUD y el referente nacional evidencia una mayor concentración del evento en hombres jóvenes y adultos, particularmente en el grupo de 15 a 24 años, donde la prevalencia en UISALUD supera la nacional, y en el grupo de 25 a 49 años, donde se mantiene una mayor carga en población masculina. Aunque la prevalencia total en algunos grupos es similar o ligeramente inferior al promedio del país, la ausencia de casos en mujeres en edades clave y la concentración en hombres sugieren posibles particularidades en el perfil epidemiológico o brechas en la detección que deben ser evaluadas. En conjunto, estos hallazgos orientan la necesidad de fortalecer estrategias de prevención, tamizaje oportuno y educación en salud sexual, especialmente dirigidas a hombres en edad productiva, con el fin de mejorar el control del evento en la población afiliada.</w:t>
      </w:r>
    </w:p>
    <w:p w14:paraId="6A39C79F" w14:textId="77777777" w:rsidR="001768F7" w:rsidRDefault="001768F7" w:rsidP="007C596C">
      <w:pPr>
        <w:jc w:val="both"/>
        <w:rPr>
          <w:i/>
          <w:iCs/>
        </w:rPr>
      </w:pPr>
    </w:p>
    <w:p w14:paraId="5BD0FF21" w14:textId="4D48B29B" w:rsidR="006C6A60" w:rsidRDefault="007A12EF" w:rsidP="007C596C">
      <w:pPr>
        <w:jc w:val="both"/>
        <w:rPr>
          <w:rFonts w:ascii="Humanst521 BT" w:hAnsi="Humanst521 BT"/>
        </w:rPr>
      </w:pPr>
      <w:r>
        <w:rPr>
          <w:rFonts w:ascii="Humanst521 BT" w:hAnsi="Humanst521 BT"/>
        </w:rPr>
        <w:t>E</w:t>
      </w:r>
      <w:r w:rsidR="00D92E25" w:rsidRPr="00D92E25">
        <w:rPr>
          <w:rFonts w:ascii="Humanst521 BT" w:hAnsi="Humanst521 BT"/>
        </w:rPr>
        <w:t xml:space="preserve">l comportamiento histórico de los casos de VIH en UISALUD, evidencia una </w:t>
      </w:r>
      <w:r w:rsidR="00D92E25" w:rsidRPr="009F2642">
        <w:rPr>
          <w:rFonts w:ascii="Humanst521 BT" w:hAnsi="Humanst521 BT"/>
        </w:rPr>
        <w:t>distribución de casos esporádica en los primeros años (2008–2016)</w:t>
      </w:r>
      <w:r w:rsidR="00F1739A">
        <w:rPr>
          <w:rFonts w:ascii="Humanst521 BT" w:hAnsi="Humanst521 BT"/>
        </w:rPr>
        <w:t xml:space="preserve"> en 8 años se presentaron 3 casos. </w:t>
      </w:r>
      <w:r w:rsidR="00EA16C3">
        <w:rPr>
          <w:rFonts w:ascii="Humanst521 BT" w:hAnsi="Humanst521 BT"/>
        </w:rPr>
        <w:t>El</w:t>
      </w:r>
      <w:r w:rsidR="00F1739A">
        <w:rPr>
          <w:rFonts w:ascii="Humanst521 BT" w:hAnsi="Humanst521 BT"/>
        </w:rPr>
        <w:t xml:space="preserve"> 2016 </w:t>
      </w:r>
      <w:r w:rsidR="00EA16C3">
        <w:rPr>
          <w:rFonts w:ascii="Humanst521 BT" w:hAnsi="Humanst521 BT"/>
        </w:rPr>
        <w:t>es la</w:t>
      </w:r>
      <w:r w:rsidR="00F1739A">
        <w:rPr>
          <w:rFonts w:ascii="Humanst521 BT" w:hAnsi="Humanst521 BT"/>
        </w:rPr>
        <w:t xml:space="preserve"> fecha de inicio para </w:t>
      </w:r>
      <w:r w:rsidR="00F1739A">
        <w:rPr>
          <w:rFonts w:ascii="Humanst521 BT" w:hAnsi="Humanst521 BT"/>
        </w:rPr>
        <w:lastRenderedPageBreak/>
        <w:t>UISALUD</w:t>
      </w:r>
      <w:r w:rsidR="006C6A60">
        <w:rPr>
          <w:rFonts w:ascii="Humanst521 BT" w:hAnsi="Humanst521 BT"/>
        </w:rPr>
        <w:t>. Se observa</w:t>
      </w:r>
      <w:r w:rsidR="00D92E25" w:rsidRPr="00D92E25">
        <w:rPr>
          <w:rFonts w:ascii="Humanst521 BT" w:hAnsi="Humanst521 BT"/>
        </w:rPr>
        <w:t xml:space="preserve"> una </w:t>
      </w:r>
      <w:r w:rsidR="00D92E25" w:rsidRPr="009F2642">
        <w:rPr>
          <w:rFonts w:ascii="Humanst521 BT" w:hAnsi="Humanst521 BT"/>
        </w:rPr>
        <w:t>mayor concentración de registros a partir de 2020</w:t>
      </w:r>
      <w:r w:rsidR="00D92E25" w:rsidRPr="00D92E25">
        <w:rPr>
          <w:rFonts w:ascii="Humanst521 BT" w:hAnsi="Humanst521 BT"/>
        </w:rPr>
        <w:t xml:space="preserve">, lo que sugiere un fortalecimiento en las estrategias de diagnóstico y captación de casos en los años recientes. </w:t>
      </w:r>
    </w:p>
    <w:p w14:paraId="3C28A9C5" w14:textId="77777777" w:rsidR="006C6A60" w:rsidRDefault="006C6A60" w:rsidP="007C596C">
      <w:pPr>
        <w:jc w:val="both"/>
        <w:rPr>
          <w:rFonts w:ascii="Humanst521 BT" w:hAnsi="Humanst521 BT"/>
        </w:rPr>
      </w:pPr>
    </w:p>
    <w:p w14:paraId="3D0C1F18" w14:textId="7BD8830E" w:rsidR="00D92E25" w:rsidRPr="00D92E25" w:rsidRDefault="00D92E25" w:rsidP="007C596C">
      <w:pPr>
        <w:jc w:val="both"/>
        <w:rPr>
          <w:rFonts w:ascii="Humanst521 BT" w:hAnsi="Humanst521 BT"/>
        </w:rPr>
      </w:pPr>
      <w:r w:rsidRPr="00D92E25">
        <w:rPr>
          <w:rFonts w:ascii="Humanst521 BT" w:hAnsi="Humanst521 BT"/>
        </w:rPr>
        <w:t>Aunque el número absoluto de casos es bajo, la continuidad en la notificación indica la persistencia del evento en la población afiliada. Este comportamiento resalta la importancia de mantener y fortalecer las acciones de tamizaje, detección temprana y seguimiento clínico, con el fin de controlar la progresión del VIH y reducir su impacto en la población.</w:t>
      </w:r>
    </w:p>
    <w:p w14:paraId="6AA20AA8" w14:textId="77777777" w:rsidR="003E43BA" w:rsidRPr="00A24493" w:rsidRDefault="003E43BA" w:rsidP="007C596C">
      <w:pPr>
        <w:jc w:val="both"/>
        <w:rPr>
          <w:i/>
          <w:iCs/>
        </w:rPr>
      </w:pPr>
    </w:p>
    <w:p w14:paraId="13350D51" w14:textId="0AAF9B68" w:rsidR="00A3388D" w:rsidRPr="007F0FA7" w:rsidRDefault="00A3388D" w:rsidP="00B6007F">
      <w:pPr>
        <w:pStyle w:val="Ttulo5"/>
        <w:numPr>
          <w:ilvl w:val="0"/>
          <w:numId w:val="13"/>
        </w:numPr>
      </w:pPr>
      <w:r w:rsidRPr="007F0FA7">
        <w:t>Cohorte HTA – DIABETES MELLITUS - ERC</w:t>
      </w:r>
    </w:p>
    <w:p w14:paraId="51B819D6" w14:textId="77777777" w:rsidR="00852C53" w:rsidRPr="007F0FA7" w:rsidRDefault="00852C53" w:rsidP="00093B44">
      <w:pPr>
        <w:rPr>
          <w:rFonts w:ascii="Humanst521 BT" w:hAnsi="Humanst521 BT" w:cs="Arial"/>
        </w:rPr>
      </w:pPr>
    </w:p>
    <w:p w14:paraId="1718E169" w14:textId="57E0D812" w:rsidR="00A15C4C" w:rsidRDefault="00A15C4C" w:rsidP="00093B44">
      <w:pPr>
        <w:pStyle w:val="Descripcin"/>
        <w:keepNext/>
        <w:spacing w:line="240" w:lineRule="auto"/>
        <w:rPr>
          <w:rFonts w:ascii="Humanst521 BT" w:eastAsia="Verdana" w:hAnsi="Humanst521 BT" w:cs="Verdana"/>
          <w:b w:val="0"/>
          <w:bCs w:val="0"/>
          <w:color w:val="auto"/>
          <w:sz w:val="22"/>
          <w:szCs w:val="22"/>
          <w:lang w:val="es-ES"/>
        </w:rPr>
      </w:pPr>
      <w:bookmarkStart w:id="106" w:name="_Toc231286269"/>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66118">
        <w:rPr>
          <w:rFonts w:ascii="Humanst521 BT" w:eastAsia="Verdana" w:hAnsi="Humanst521 BT" w:cs="Verdana"/>
          <w:b w:val="0"/>
          <w:bCs w:val="0"/>
          <w:noProof/>
          <w:color w:val="auto"/>
          <w:sz w:val="22"/>
          <w:szCs w:val="22"/>
          <w:lang w:val="es-ES"/>
        </w:rPr>
        <w:t>24</w:t>
      </w:r>
      <w:r w:rsidRPr="007F0FA7">
        <w:rPr>
          <w:rFonts w:ascii="Humanst521 BT" w:eastAsia="Verdana" w:hAnsi="Humanst521 BT" w:cs="Verdana"/>
          <w:b w:val="0"/>
          <w:bCs w:val="0"/>
          <w:color w:val="auto"/>
          <w:sz w:val="22"/>
          <w:szCs w:val="22"/>
          <w:lang w:val="es-ES"/>
        </w:rPr>
        <w:fldChar w:fldCharType="end"/>
      </w:r>
      <w:r w:rsidRPr="007F0FA7">
        <w:rPr>
          <w:rFonts w:ascii="Humanst521 BT" w:eastAsia="Verdana" w:hAnsi="Humanst521 BT" w:cs="Verdana"/>
          <w:b w:val="0"/>
          <w:bCs w:val="0"/>
          <w:color w:val="auto"/>
          <w:sz w:val="22"/>
          <w:szCs w:val="22"/>
          <w:lang w:val="es-ES"/>
        </w:rPr>
        <w:t xml:space="preserve">. Morbilidad Trazadora </w:t>
      </w:r>
      <w:r w:rsidR="00763824">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RCV</w:t>
      </w:r>
      <w:bookmarkEnd w:id="106"/>
    </w:p>
    <w:tbl>
      <w:tblPr>
        <w:tblW w:w="9058" w:type="dxa"/>
        <w:tblCellMar>
          <w:left w:w="70" w:type="dxa"/>
          <w:right w:w="70" w:type="dxa"/>
        </w:tblCellMar>
        <w:tblLook w:val="04A0" w:firstRow="1" w:lastRow="0" w:firstColumn="1" w:lastColumn="0" w:noHBand="0" w:noVBand="1"/>
      </w:tblPr>
      <w:tblGrid>
        <w:gridCol w:w="4810"/>
        <w:gridCol w:w="709"/>
        <w:gridCol w:w="708"/>
        <w:gridCol w:w="567"/>
        <w:gridCol w:w="709"/>
        <w:gridCol w:w="567"/>
        <w:gridCol w:w="988"/>
      </w:tblGrid>
      <w:tr w:rsidR="00E1654F" w:rsidRPr="00E1654F" w14:paraId="632E89EE" w14:textId="77777777" w:rsidTr="00306440">
        <w:trPr>
          <w:trHeight w:val="681"/>
        </w:trPr>
        <w:tc>
          <w:tcPr>
            <w:tcW w:w="4810" w:type="dxa"/>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48348EA4" w14:textId="77777777" w:rsidR="00E1654F" w:rsidRPr="00E1654F" w:rsidRDefault="00E1654F" w:rsidP="00E1654F">
            <w:pPr>
              <w:widowControl/>
              <w:autoSpaceDE/>
              <w:autoSpaceDN/>
              <w:jc w:val="center"/>
              <w:rPr>
                <w:rFonts w:ascii="Humanst521 BT" w:eastAsia="Times New Roman" w:hAnsi="Humanst521 BT" w:cs="Calibri"/>
                <w:b/>
                <w:bCs/>
                <w:color w:val="000000"/>
                <w:sz w:val="20"/>
                <w:szCs w:val="20"/>
                <w:lang w:val="es-CO" w:eastAsia="es-CO"/>
              </w:rPr>
            </w:pPr>
            <w:r w:rsidRPr="00E1654F">
              <w:rPr>
                <w:rFonts w:ascii="Humanst521 BT" w:eastAsia="Times New Roman" w:hAnsi="Humanst521 BT" w:cs="Calibri"/>
                <w:b/>
                <w:bCs/>
                <w:color w:val="000000"/>
                <w:sz w:val="20"/>
                <w:szCs w:val="20"/>
                <w:lang w:eastAsia="es-CO"/>
              </w:rPr>
              <w:t>Indicadores*</w:t>
            </w:r>
          </w:p>
        </w:tc>
        <w:tc>
          <w:tcPr>
            <w:tcW w:w="709" w:type="dxa"/>
            <w:tcBorders>
              <w:top w:val="single" w:sz="8" w:space="0" w:color="67B93E"/>
              <w:left w:val="nil"/>
              <w:bottom w:val="single" w:sz="8" w:space="0" w:color="67B93E"/>
              <w:right w:val="single" w:sz="8" w:space="0" w:color="67B93E"/>
            </w:tcBorders>
            <w:shd w:val="clear" w:color="000000" w:fill="C5E0B3"/>
            <w:vAlign w:val="center"/>
            <w:hideMark/>
          </w:tcPr>
          <w:p w14:paraId="2350F449" w14:textId="77777777" w:rsidR="00E1654F" w:rsidRPr="00E1654F" w:rsidRDefault="00E1654F" w:rsidP="00E1654F">
            <w:pPr>
              <w:widowControl/>
              <w:autoSpaceDE/>
              <w:autoSpaceDN/>
              <w:jc w:val="center"/>
              <w:rPr>
                <w:rFonts w:ascii="Humanst521 BT" w:eastAsia="Times New Roman" w:hAnsi="Humanst521 BT" w:cs="Calibri"/>
                <w:b/>
                <w:bCs/>
                <w:color w:val="000000"/>
                <w:sz w:val="20"/>
                <w:szCs w:val="20"/>
                <w:lang w:val="es-CO" w:eastAsia="es-CO"/>
              </w:rPr>
            </w:pPr>
            <w:r w:rsidRPr="00E1654F">
              <w:rPr>
                <w:rFonts w:ascii="Humanst521 BT" w:eastAsia="Times New Roman" w:hAnsi="Humanst521 BT" w:cs="Calibri"/>
                <w:b/>
                <w:bCs/>
                <w:color w:val="000000"/>
                <w:sz w:val="20"/>
                <w:szCs w:val="20"/>
                <w:lang w:eastAsia="es-CO"/>
              </w:rPr>
              <w:t>2021</w:t>
            </w:r>
          </w:p>
        </w:tc>
        <w:tc>
          <w:tcPr>
            <w:tcW w:w="708" w:type="dxa"/>
            <w:tcBorders>
              <w:top w:val="single" w:sz="8" w:space="0" w:color="67B93E"/>
              <w:left w:val="nil"/>
              <w:bottom w:val="single" w:sz="8" w:space="0" w:color="67B93E"/>
              <w:right w:val="single" w:sz="8" w:space="0" w:color="67B93E"/>
            </w:tcBorders>
            <w:shd w:val="clear" w:color="000000" w:fill="C5E0B3"/>
            <w:vAlign w:val="center"/>
            <w:hideMark/>
          </w:tcPr>
          <w:p w14:paraId="73B84BAA" w14:textId="77777777" w:rsidR="00E1654F" w:rsidRPr="00E1654F" w:rsidRDefault="00E1654F" w:rsidP="00E1654F">
            <w:pPr>
              <w:widowControl/>
              <w:autoSpaceDE/>
              <w:autoSpaceDN/>
              <w:jc w:val="center"/>
              <w:rPr>
                <w:rFonts w:ascii="Humanst521 BT" w:eastAsia="Times New Roman" w:hAnsi="Humanst521 BT" w:cs="Calibri"/>
                <w:b/>
                <w:bCs/>
                <w:color w:val="000000"/>
                <w:sz w:val="20"/>
                <w:szCs w:val="20"/>
                <w:lang w:val="es-CO" w:eastAsia="es-CO"/>
              </w:rPr>
            </w:pPr>
            <w:r w:rsidRPr="00E1654F">
              <w:rPr>
                <w:rFonts w:ascii="Humanst521 BT" w:eastAsia="Times New Roman" w:hAnsi="Humanst521 BT" w:cs="Calibri"/>
                <w:b/>
                <w:bCs/>
                <w:color w:val="000000"/>
                <w:sz w:val="20"/>
                <w:szCs w:val="20"/>
                <w:lang w:eastAsia="es-CO"/>
              </w:rPr>
              <w:t>2022</w:t>
            </w:r>
          </w:p>
        </w:tc>
        <w:tc>
          <w:tcPr>
            <w:tcW w:w="567" w:type="dxa"/>
            <w:tcBorders>
              <w:top w:val="single" w:sz="8" w:space="0" w:color="67B93E"/>
              <w:left w:val="nil"/>
              <w:bottom w:val="single" w:sz="8" w:space="0" w:color="67B93E"/>
              <w:right w:val="single" w:sz="8" w:space="0" w:color="67B93E"/>
            </w:tcBorders>
            <w:shd w:val="clear" w:color="000000" w:fill="C5E0B3"/>
            <w:vAlign w:val="center"/>
            <w:hideMark/>
          </w:tcPr>
          <w:p w14:paraId="003BACFA" w14:textId="77777777" w:rsidR="00E1654F" w:rsidRPr="00E1654F" w:rsidRDefault="00E1654F" w:rsidP="00E1654F">
            <w:pPr>
              <w:widowControl/>
              <w:autoSpaceDE/>
              <w:autoSpaceDN/>
              <w:jc w:val="center"/>
              <w:rPr>
                <w:rFonts w:ascii="Humanst521 BT" w:eastAsia="Times New Roman" w:hAnsi="Humanst521 BT" w:cs="Calibri"/>
                <w:b/>
                <w:bCs/>
                <w:color w:val="000000"/>
                <w:sz w:val="20"/>
                <w:szCs w:val="20"/>
                <w:lang w:val="es-CO" w:eastAsia="es-CO"/>
              </w:rPr>
            </w:pPr>
            <w:r w:rsidRPr="00E1654F">
              <w:rPr>
                <w:rFonts w:ascii="Humanst521 BT" w:eastAsia="Times New Roman" w:hAnsi="Humanst521 BT" w:cs="Calibri"/>
                <w:b/>
                <w:bCs/>
                <w:color w:val="000000"/>
                <w:sz w:val="20"/>
                <w:szCs w:val="20"/>
                <w:lang w:eastAsia="es-CO"/>
              </w:rPr>
              <w:t>2023</w:t>
            </w:r>
          </w:p>
        </w:tc>
        <w:tc>
          <w:tcPr>
            <w:tcW w:w="709" w:type="dxa"/>
            <w:tcBorders>
              <w:top w:val="single" w:sz="8" w:space="0" w:color="67B93E"/>
              <w:left w:val="nil"/>
              <w:bottom w:val="single" w:sz="8" w:space="0" w:color="67B93E"/>
              <w:right w:val="single" w:sz="8" w:space="0" w:color="67B93E"/>
            </w:tcBorders>
            <w:shd w:val="clear" w:color="000000" w:fill="C5E0B3"/>
            <w:vAlign w:val="center"/>
            <w:hideMark/>
          </w:tcPr>
          <w:p w14:paraId="0C679BCF" w14:textId="77777777" w:rsidR="00E1654F" w:rsidRPr="00E1654F" w:rsidRDefault="00E1654F" w:rsidP="00E1654F">
            <w:pPr>
              <w:widowControl/>
              <w:autoSpaceDE/>
              <w:autoSpaceDN/>
              <w:jc w:val="center"/>
              <w:rPr>
                <w:rFonts w:ascii="Humanst521 BT" w:eastAsia="Times New Roman" w:hAnsi="Humanst521 BT" w:cs="Calibri"/>
                <w:b/>
                <w:bCs/>
                <w:color w:val="000000"/>
                <w:sz w:val="20"/>
                <w:szCs w:val="20"/>
                <w:lang w:val="es-CO" w:eastAsia="es-CO"/>
              </w:rPr>
            </w:pPr>
            <w:r w:rsidRPr="00E1654F">
              <w:rPr>
                <w:rFonts w:ascii="Humanst521 BT" w:eastAsia="Times New Roman" w:hAnsi="Humanst521 BT" w:cs="Calibri"/>
                <w:b/>
                <w:bCs/>
                <w:color w:val="000000"/>
                <w:sz w:val="20"/>
                <w:szCs w:val="20"/>
                <w:lang w:eastAsia="es-CO"/>
              </w:rPr>
              <w:t>2024</w:t>
            </w:r>
          </w:p>
        </w:tc>
        <w:tc>
          <w:tcPr>
            <w:tcW w:w="567" w:type="dxa"/>
            <w:tcBorders>
              <w:top w:val="single" w:sz="8" w:space="0" w:color="67B93E"/>
              <w:left w:val="nil"/>
              <w:bottom w:val="single" w:sz="8" w:space="0" w:color="67B93E"/>
              <w:right w:val="single" w:sz="8" w:space="0" w:color="67B93E"/>
            </w:tcBorders>
            <w:shd w:val="clear" w:color="000000" w:fill="C5E0B3"/>
            <w:vAlign w:val="center"/>
            <w:hideMark/>
          </w:tcPr>
          <w:p w14:paraId="7DD11563" w14:textId="77777777" w:rsidR="00E1654F" w:rsidRPr="00E1654F" w:rsidRDefault="00E1654F" w:rsidP="00E1654F">
            <w:pPr>
              <w:widowControl/>
              <w:autoSpaceDE/>
              <w:autoSpaceDN/>
              <w:jc w:val="center"/>
              <w:rPr>
                <w:rFonts w:ascii="Humanst521 BT" w:eastAsia="Times New Roman" w:hAnsi="Humanst521 BT" w:cs="Calibri"/>
                <w:b/>
                <w:bCs/>
                <w:color w:val="000000"/>
                <w:sz w:val="20"/>
                <w:szCs w:val="20"/>
                <w:lang w:val="es-CO" w:eastAsia="es-CO"/>
              </w:rPr>
            </w:pPr>
            <w:r w:rsidRPr="00E1654F">
              <w:rPr>
                <w:rFonts w:ascii="Humanst521 BT" w:eastAsia="Times New Roman" w:hAnsi="Humanst521 BT" w:cs="Calibri"/>
                <w:b/>
                <w:bCs/>
                <w:color w:val="000000"/>
                <w:sz w:val="20"/>
                <w:szCs w:val="20"/>
                <w:lang w:val="es-CO" w:eastAsia="es-CO"/>
              </w:rPr>
              <w:t>2025</w:t>
            </w:r>
          </w:p>
        </w:tc>
        <w:tc>
          <w:tcPr>
            <w:tcW w:w="988" w:type="dxa"/>
            <w:tcBorders>
              <w:top w:val="single" w:sz="8" w:space="0" w:color="67B93E"/>
              <w:left w:val="nil"/>
              <w:bottom w:val="single" w:sz="8" w:space="0" w:color="67B93E"/>
              <w:right w:val="single" w:sz="8" w:space="0" w:color="67B93E"/>
            </w:tcBorders>
            <w:shd w:val="clear" w:color="000000" w:fill="C5E0B3"/>
            <w:vAlign w:val="center"/>
            <w:hideMark/>
          </w:tcPr>
          <w:p w14:paraId="592E603B" w14:textId="77777777" w:rsidR="00E1654F" w:rsidRPr="00E1654F" w:rsidRDefault="00E1654F" w:rsidP="00E1654F">
            <w:pPr>
              <w:widowControl/>
              <w:autoSpaceDE/>
              <w:autoSpaceDN/>
              <w:jc w:val="center"/>
              <w:rPr>
                <w:rFonts w:ascii="Humanst521 BT" w:eastAsia="Times New Roman" w:hAnsi="Humanst521 BT" w:cs="Calibri"/>
                <w:b/>
                <w:bCs/>
                <w:color w:val="000000"/>
                <w:sz w:val="20"/>
                <w:szCs w:val="20"/>
                <w:lang w:val="es-CO" w:eastAsia="es-CO"/>
              </w:rPr>
            </w:pPr>
            <w:r w:rsidRPr="00E1654F">
              <w:rPr>
                <w:rFonts w:ascii="Humanst521 BT" w:eastAsia="Times New Roman" w:hAnsi="Humanst521 BT" w:cs="Calibri"/>
                <w:b/>
                <w:bCs/>
                <w:color w:val="000000"/>
                <w:sz w:val="20"/>
                <w:szCs w:val="20"/>
                <w:lang w:eastAsia="es-CO"/>
              </w:rPr>
              <w:t>Cambio en Puntos %</w:t>
            </w:r>
          </w:p>
        </w:tc>
      </w:tr>
      <w:tr w:rsidR="00E1654F" w:rsidRPr="00E1654F" w14:paraId="40AD3943" w14:textId="77777777" w:rsidTr="00306440">
        <w:trPr>
          <w:trHeight w:val="1017"/>
        </w:trPr>
        <w:tc>
          <w:tcPr>
            <w:tcW w:w="4810" w:type="dxa"/>
            <w:tcBorders>
              <w:top w:val="nil"/>
              <w:left w:val="single" w:sz="8" w:space="0" w:color="67B93E"/>
              <w:bottom w:val="single" w:sz="8" w:space="0" w:color="67B93E"/>
              <w:right w:val="single" w:sz="8" w:space="0" w:color="67B93E"/>
            </w:tcBorders>
            <w:shd w:val="clear" w:color="000000" w:fill="F2F2F2"/>
            <w:vAlign w:val="center"/>
            <w:hideMark/>
          </w:tcPr>
          <w:p w14:paraId="0B6E48C7" w14:textId="1C3FE21E" w:rsidR="00E1654F" w:rsidRPr="00E1654F" w:rsidRDefault="00E1654F" w:rsidP="00E1654F">
            <w:pPr>
              <w:widowControl/>
              <w:autoSpaceDE/>
              <w:autoSpaceDN/>
              <w:jc w:val="both"/>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Prevalencia de hipertensión arterial en personas de 18 a 69 años</w:t>
            </w:r>
            <w:r w:rsidR="00306440">
              <w:rPr>
                <w:rFonts w:ascii="Humanst521 BT" w:eastAsia="Times New Roman" w:hAnsi="Humanst521 BT" w:cs="Calibri"/>
                <w:color w:val="000000"/>
                <w:sz w:val="20"/>
                <w:szCs w:val="20"/>
                <w:lang w:eastAsia="es-CO"/>
              </w:rPr>
              <w:t>.</w:t>
            </w:r>
          </w:p>
        </w:tc>
        <w:tc>
          <w:tcPr>
            <w:tcW w:w="709" w:type="dxa"/>
            <w:tcBorders>
              <w:top w:val="nil"/>
              <w:left w:val="nil"/>
              <w:bottom w:val="single" w:sz="8" w:space="0" w:color="67B93E"/>
              <w:right w:val="single" w:sz="8" w:space="0" w:color="67B93E"/>
            </w:tcBorders>
            <w:shd w:val="clear" w:color="000000" w:fill="F2F2F2"/>
            <w:vAlign w:val="center"/>
            <w:hideMark/>
          </w:tcPr>
          <w:p w14:paraId="20EAC18D"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20,8</w:t>
            </w:r>
          </w:p>
        </w:tc>
        <w:tc>
          <w:tcPr>
            <w:tcW w:w="708" w:type="dxa"/>
            <w:tcBorders>
              <w:top w:val="nil"/>
              <w:left w:val="nil"/>
              <w:bottom w:val="single" w:sz="8" w:space="0" w:color="67B93E"/>
              <w:right w:val="single" w:sz="8" w:space="0" w:color="67B93E"/>
            </w:tcBorders>
            <w:shd w:val="clear" w:color="000000" w:fill="F2F2F2"/>
            <w:vAlign w:val="center"/>
            <w:hideMark/>
          </w:tcPr>
          <w:p w14:paraId="69100E18"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19,6</w:t>
            </w:r>
          </w:p>
        </w:tc>
        <w:tc>
          <w:tcPr>
            <w:tcW w:w="567" w:type="dxa"/>
            <w:tcBorders>
              <w:top w:val="nil"/>
              <w:left w:val="nil"/>
              <w:bottom w:val="single" w:sz="8" w:space="0" w:color="67B93E"/>
              <w:right w:val="single" w:sz="8" w:space="0" w:color="67B93E"/>
            </w:tcBorders>
            <w:shd w:val="clear" w:color="000000" w:fill="F2F2F2"/>
            <w:vAlign w:val="center"/>
            <w:hideMark/>
          </w:tcPr>
          <w:p w14:paraId="27F9A0B0"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17,8</w:t>
            </w:r>
          </w:p>
        </w:tc>
        <w:tc>
          <w:tcPr>
            <w:tcW w:w="709" w:type="dxa"/>
            <w:tcBorders>
              <w:top w:val="nil"/>
              <w:left w:val="nil"/>
              <w:bottom w:val="single" w:sz="8" w:space="0" w:color="67B93E"/>
              <w:right w:val="single" w:sz="8" w:space="0" w:color="67B93E"/>
            </w:tcBorders>
            <w:shd w:val="clear" w:color="000000" w:fill="F2F2F2"/>
            <w:vAlign w:val="center"/>
            <w:hideMark/>
          </w:tcPr>
          <w:p w14:paraId="2E963DFB"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21</w:t>
            </w:r>
          </w:p>
        </w:tc>
        <w:tc>
          <w:tcPr>
            <w:tcW w:w="567" w:type="dxa"/>
            <w:tcBorders>
              <w:top w:val="nil"/>
              <w:left w:val="nil"/>
              <w:bottom w:val="single" w:sz="8" w:space="0" w:color="67B93E"/>
              <w:right w:val="single" w:sz="8" w:space="0" w:color="67B93E"/>
            </w:tcBorders>
            <w:shd w:val="clear" w:color="000000" w:fill="F2F2F2"/>
            <w:vAlign w:val="center"/>
            <w:hideMark/>
          </w:tcPr>
          <w:p w14:paraId="54D488F2"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val="es-CO" w:eastAsia="es-CO"/>
              </w:rPr>
              <w:t>21,8</w:t>
            </w:r>
          </w:p>
        </w:tc>
        <w:tc>
          <w:tcPr>
            <w:tcW w:w="988" w:type="dxa"/>
            <w:tcBorders>
              <w:top w:val="nil"/>
              <w:left w:val="nil"/>
              <w:bottom w:val="single" w:sz="8" w:space="0" w:color="67B93E"/>
              <w:right w:val="single" w:sz="8" w:space="0" w:color="67B93E"/>
            </w:tcBorders>
            <w:shd w:val="clear" w:color="000000" w:fill="F2F2F2"/>
            <w:vAlign w:val="center"/>
            <w:hideMark/>
          </w:tcPr>
          <w:p w14:paraId="78967FAE"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0,8</w:t>
            </w:r>
          </w:p>
        </w:tc>
      </w:tr>
      <w:tr w:rsidR="00E1654F" w:rsidRPr="00E1654F" w14:paraId="6A973654" w14:textId="77777777" w:rsidTr="0051513C">
        <w:trPr>
          <w:trHeight w:val="343"/>
        </w:trPr>
        <w:tc>
          <w:tcPr>
            <w:tcW w:w="4810" w:type="dxa"/>
            <w:tcBorders>
              <w:top w:val="nil"/>
              <w:left w:val="single" w:sz="8" w:space="0" w:color="67B93E"/>
              <w:bottom w:val="single" w:sz="8" w:space="0" w:color="67B93E"/>
              <w:right w:val="single" w:sz="8" w:space="0" w:color="67B93E"/>
            </w:tcBorders>
            <w:shd w:val="clear" w:color="000000" w:fill="FFFFFF"/>
            <w:vAlign w:val="center"/>
            <w:hideMark/>
          </w:tcPr>
          <w:p w14:paraId="507A8D57" w14:textId="77777777" w:rsidR="00E1654F" w:rsidRPr="00E1654F" w:rsidRDefault="00E1654F" w:rsidP="00E1654F">
            <w:pPr>
              <w:widowControl/>
              <w:autoSpaceDE/>
              <w:autoSpaceDN/>
              <w:jc w:val="both"/>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Prevalencia de diabetes mellitus en personas de 18 a 69 años</w:t>
            </w:r>
          </w:p>
        </w:tc>
        <w:tc>
          <w:tcPr>
            <w:tcW w:w="709" w:type="dxa"/>
            <w:tcBorders>
              <w:top w:val="nil"/>
              <w:left w:val="nil"/>
              <w:bottom w:val="single" w:sz="8" w:space="0" w:color="67B93E"/>
              <w:right w:val="single" w:sz="8" w:space="0" w:color="67B93E"/>
            </w:tcBorders>
            <w:shd w:val="clear" w:color="000000" w:fill="FFFFFF"/>
            <w:vAlign w:val="center"/>
            <w:hideMark/>
          </w:tcPr>
          <w:p w14:paraId="088D1FD2"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3,7</w:t>
            </w:r>
          </w:p>
        </w:tc>
        <w:tc>
          <w:tcPr>
            <w:tcW w:w="708" w:type="dxa"/>
            <w:tcBorders>
              <w:top w:val="nil"/>
              <w:left w:val="nil"/>
              <w:bottom w:val="single" w:sz="8" w:space="0" w:color="67B93E"/>
              <w:right w:val="single" w:sz="8" w:space="0" w:color="67B93E"/>
            </w:tcBorders>
            <w:shd w:val="clear" w:color="000000" w:fill="FFFFFF"/>
            <w:vAlign w:val="center"/>
            <w:hideMark/>
          </w:tcPr>
          <w:p w14:paraId="290A6D45"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5,4</w:t>
            </w:r>
          </w:p>
        </w:tc>
        <w:tc>
          <w:tcPr>
            <w:tcW w:w="567" w:type="dxa"/>
            <w:tcBorders>
              <w:top w:val="nil"/>
              <w:left w:val="nil"/>
              <w:bottom w:val="single" w:sz="8" w:space="0" w:color="67B93E"/>
              <w:right w:val="single" w:sz="8" w:space="0" w:color="67B93E"/>
            </w:tcBorders>
            <w:shd w:val="clear" w:color="000000" w:fill="FFFFFF"/>
            <w:vAlign w:val="center"/>
            <w:hideMark/>
          </w:tcPr>
          <w:p w14:paraId="100EA977"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3,8</w:t>
            </w:r>
          </w:p>
        </w:tc>
        <w:tc>
          <w:tcPr>
            <w:tcW w:w="709" w:type="dxa"/>
            <w:tcBorders>
              <w:top w:val="nil"/>
              <w:left w:val="nil"/>
              <w:bottom w:val="single" w:sz="8" w:space="0" w:color="67B93E"/>
              <w:right w:val="single" w:sz="8" w:space="0" w:color="67B93E"/>
            </w:tcBorders>
            <w:shd w:val="clear" w:color="000000" w:fill="FFFFFF"/>
            <w:vAlign w:val="center"/>
            <w:hideMark/>
          </w:tcPr>
          <w:p w14:paraId="1D87F2F4"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5,98</w:t>
            </w:r>
          </w:p>
        </w:tc>
        <w:tc>
          <w:tcPr>
            <w:tcW w:w="567" w:type="dxa"/>
            <w:tcBorders>
              <w:top w:val="nil"/>
              <w:left w:val="nil"/>
              <w:bottom w:val="single" w:sz="8" w:space="0" w:color="67B93E"/>
              <w:right w:val="single" w:sz="8" w:space="0" w:color="67B93E"/>
            </w:tcBorders>
            <w:shd w:val="clear" w:color="000000" w:fill="FFFFFF"/>
            <w:vAlign w:val="center"/>
            <w:hideMark/>
          </w:tcPr>
          <w:p w14:paraId="03804160"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val="es-CO" w:eastAsia="es-CO"/>
              </w:rPr>
              <w:t>6,05</w:t>
            </w:r>
          </w:p>
        </w:tc>
        <w:tc>
          <w:tcPr>
            <w:tcW w:w="988" w:type="dxa"/>
            <w:tcBorders>
              <w:top w:val="nil"/>
              <w:left w:val="nil"/>
              <w:bottom w:val="single" w:sz="8" w:space="0" w:color="67B93E"/>
              <w:right w:val="single" w:sz="8" w:space="0" w:color="67B93E"/>
            </w:tcBorders>
            <w:shd w:val="clear" w:color="000000" w:fill="F2F2F2"/>
            <w:vAlign w:val="center"/>
            <w:hideMark/>
          </w:tcPr>
          <w:p w14:paraId="6A58C555"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0,07</w:t>
            </w:r>
          </w:p>
        </w:tc>
      </w:tr>
      <w:tr w:rsidR="00E1654F" w:rsidRPr="00E1654F" w14:paraId="265909B9" w14:textId="77777777" w:rsidTr="0051513C">
        <w:trPr>
          <w:trHeight w:val="577"/>
        </w:trPr>
        <w:tc>
          <w:tcPr>
            <w:tcW w:w="4810" w:type="dxa"/>
            <w:tcBorders>
              <w:top w:val="nil"/>
              <w:left w:val="single" w:sz="8" w:space="0" w:color="67B93E"/>
              <w:bottom w:val="single" w:sz="8" w:space="0" w:color="67B93E"/>
              <w:right w:val="single" w:sz="8" w:space="0" w:color="67B93E"/>
            </w:tcBorders>
            <w:shd w:val="clear" w:color="000000" w:fill="F2F2F2"/>
            <w:vAlign w:val="center"/>
            <w:hideMark/>
          </w:tcPr>
          <w:p w14:paraId="460C164C" w14:textId="77777777" w:rsidR="00E1654F" w:rsidRPr="00E1654F" w:rsidRDefault="00E1654F" w:rsidP="00E1654F">
            <w:pPr>
              <w:widowControl/>
              <w:autoSpaceDE/>
              <w:autoSpaceDN/>
              <w:jc w:val="both"/>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Prevalencia de enfermedad renal crónica en fase cinco con necesidad de terapia de restitución o reemplazo renal</w:t>
            </w:r>
          </w:p>
        </w:tc>
        <w:tc>
          <w:tcPr>
            <w:tcW w:w="709" w:type="dxa"/>
            <w:tcBorders>
              <w:top w:val="nil"/>
              <w:left w:val="nil"/>
              <w:bottom w:val="single" w:sz="8" w:space="0" w:color="67B93E"/>
              <w:right w:val="single" w:sz="8" w:space="0" w:color="67B93E"/>
            </w:tcBorders>
            <w:shd w:val="clear" w:color="000000" w:fill="F2F2F2"/>
            <w:vAlign w:val="center"/>
            <w:hideMark/>
          </w:tcPr>
          <w:p w14:paraId="58C03D05"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0</w:t>
            </w:r>
          </w:p>
        </w:tc>
        <w:tc>
          <w:tcPr>
            <w:tcW w:w="708" w:type="dxa"/>
            <w:tcBorders>
              <w:top w:val="nil"/>
              <w:left w:val="nil"/>
              <w:bottom w:val="single" w:sz="8" w:space="0" w:color="67B93E"/>
              <w:right w:val="single" w:sz="8" w:space="0" w:color="67B93E"/>
            </w:tcBorders>
            <w:shd w:val="clear" w:color="000000" w:fill="F2F2F2"/>
            <w:vAlign w:val="center"/>
            <w:hideMark/>
          </w:tcPr>
          <w:p w14:paraId="61F1D9BB"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0</w:t>
            </w:r>
          </w:p>
        </w:tc>
        <w:tc>
          <w:tcPr>
            <w:tcW w:w="567" w:type="dxa"/>
            <w:tcBorders>
              <w:top w:val="nil"/>
              <w:left w:val="nil"/>
              <w:bottom w:val="single" w:sz="8" w:space="0" w:color="67B93E"/>
              <w:right w:val="single" w:sz="8" w:space="0" w:color="67B93E"/>
            </w:tcBorders>
            <w:shd w:val="clear" w:color="000000" w:fill="F2F2F2"/>
            <w:vAlign w:val="center"/>
            <w:hideMark/>
          </w:tcPr>
          <w:p w14:paraId="163AD0E0"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0</w:t>
            </w:r>
          </w:p>
        </w:tc>
        <w:tc>
          <w:tcPr>
            <w:tcW w:w="709" w:type="dxa"/>
            <w:tcBorders>
              <w:top w:val="nil"/>
              <w:left w:val="nil"/>
              <w:bottom w:val="single" w:sz="8" w:space="0" w:color="67B93E"/>
              <w:right w:val="single" w:sz="8" w:space="0" w:color="67B93E"/>
            </w:tcBorders>
            <w:shd w:val="clear" w:color="000000" w:fill="F2F2F2"/>
            <w:vAlign w:val="center"/>
            <w:hideMark/>
          </w:tcPr>
          <w:p w14:paraId="696BD11A"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eastAsia="es-CO"/>
              </w:rPr>
              <w:t>0,03</w:t>
            </w:r>
          </w:p>
        </w:tc>
        <w:tc>
          <w:tcPr>
            <w:tcW w:w="567" w:type="dxa"/>
            <w:tcBorders>
              <w:top w:val="nil"/>
              <w:left w:val="nil"/>
              <w:bottom w:val="single" w:sz="8" w:space="0" w:color="67B93E"/>
              <w:right w:val="single" w:sz="8" w:space="0" w:color="67B93E"/>
            </w:tcBorders>
            <w:shd w:val="clear" w:color="000000" w:fill="F2F2F2"/>
            <w:vAlign w:val="center"/>
            <w:hideMark/>
          </w:tcPr>
          <w:p w14:paraId="6841C755"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val="es-CO" w:eastAsia="es-CO"/>
              </w:rPr>
              <w:t>0,03</w:t>
            </w:r>
          </w:p>
        </w:tc>
        <w:tc>
          <w:tcPr>
            <w:tcW w:w="988" w:type="dxa"/>
            <w:tcBorders>
              <w:top w:val="nil"/>
              <w:left w:val="nil"/>
              <w:bottom w:val="single" w:sz="8" w:space="0" w:color="67B93E"/>
              <w:right w:val="single" w:sz="8" w:space="0" w:color="67B93E"/>
            </w:tcBorders>
            <w:shd w:val="clear" w:color="000000" w:fill="F2F2F2"/>
            <w:vAlign w:val="center"/>
            <w:hideMark/>
          </w:tcPr>
          <w:p w14:paraId="3E88EF81" w14:textId="77777777" w:rsidR="00E1654F" w:rsidRPr="00E1654F" w:rsidRDefault="00E1654F" w:rsidP="00E1654F">
            <w:pPr>
              <w:widowControl/>
              <w:autoSpaceDE/>
              <w:autoSpaceDN/>
              <w:jc w:val="center"/>
              <w:rPr>
                <w:rFonts w:ascii="Humanst521 BT" w:eastAsia="Times New Roman" w:hAnsi="Humanst521 BT" w:cs="Calibri"/>
                <w:color w:val="000000"/>
                <w:sz w:val="20"/>
                <w:szCs w:val="20"/>
                <w:lang w:val="es-CO" w:eastAsia="es-CO"/>
              </w:rPr>
            </w:pPr>
            <w:r w:rsidRPr="00E1654F">
              <w:rPr>
                <w:rFonts w:ascii="Humanst521 BT" w:eastAsia="Times New Roman" w:hAnsi="Humanst521 BT" w:cs="Calibri"/>
                <w:color w:val="000000"/>
                <w:sz w:val="20"/>
                <w:szCs w:val="20"/>
                <w:lang w:val="es-CO" w:eastAsia="es-CO"/>
              </w:rPr>
              <w:t>0</w:t>
            </w:r>
          </w:p>
        </w:tc>
      </w:tr>
    </w:tbl>
    <w:p w14:paraId="4BC334A8" w14:textId="2522C83A" w:rsidR="00A15C4C" w:rsidRPr="007F0FA7" w:rsidRDefault="00A15C4C" w:rsidP="00093B44">
      <w:pPr>
        <w:jc w:val="both"/>
        <w:rPr>
          <w:rFonts w:ascii="Humanst521 BT" w:hAnsi="Humanst521 BT" w:cstheme="minorBidi"/>
        </w:rPr>
      </w:pPr>
      <w:r w:rsidRPr="007F0FA7">
        <w:rPr>
          <w:rFonts w:ascii="Humanst521 BT" w:hAnsi="Humanst521 BT" w:cstheme="minorBidi"/>
        </w:rPr>
        <w:t>Fuente: Sistemas Integrados UISALUD 202</w:t>
      </w:r>
      <w:r w:rsidR="006E5890">
        <w:rPr>
          <w:rFonts w:ascii="Humanst521 BT" w:hAnsi="Humanst521 BT" w:cstheme="minorBidi"/>
        </w:rPr>
        <w:t>5</w:t>
      </w:r>
      <w:r w:rsidRPr="007F0FA7">
        <w:rPr>
          <w:rFonts w:ascii="Humanst521 BT" w:hAnsi="Humanst521 BT" w:cstheme="minorBidi"/>
        </w:rPr>
        <w:t xml:space="preserve"> </w:t>
      </w:r>
      <w:r w:rsidR="006E5890">
        <w:rPr>
          <w:rFonts w:ascii="Humanst521 BT" w:hAnsi="Humanst521 BT" w:cstheme="minorBidi"/>
        </w:rPr>
        <w:t>– 31 dic de 2025.</w:t>
      </w:r>
    </w:p>
    <w:p w14:paraId="50CC9C7E" w14:textId="076F287F" w:rsidR="00DB2913" w:rsidRPr="00DB2913" w:rsidRDefault="00DB2913" w:rsidP="00DB2913">
      <w:pPr>
        <w:widowControl/>
        <w:autoSpaceDE/>
        <w:autoSpaceDN/>
        <w:spacing w:before="100" w:beforeAutospacing="1" w:after="100" w:afterAutospacing="1"/>
        <w:jc w:val="both"/>
        <w:rPr>
          <w:rFonts w:ascii="Humanst521 BT" w:hAnsi="Humanst521 BT"/>
        </w:rPr>
      </w:pPr>
      <w:r>
        <w:rPr>
          <w:rFonts w:ascii="Humanst521 BT" w:hAnsi="Humanst521 BT"/>
        </w:rPr>
        <w:t>E</w:t>
      </w:r>
      <w:r w:rsidRPr="00DB2913">
        <w:rPr>
          <w:rFonts w:ascii="Humanst521 BT" w:hAnsi="Humanst521 BT"/>
        </w:rPr>
        <w:t>l análisis comparativo entre UISALUD y el contexto nacional evidencia que la prevalencia de hipertensión arterial (21,8%) y diabetes mellitus (6,05%) en la población afiliada es superior a la reportada por la Cuenta de Alto Costo para Colombia (9,55% y 3,82%, respectivamente)</w:t>
      </w:r>
      <w:r w:rsidR="00DB635C">
        <w:rPr>
          <w:rStyle w:val="Refdenotaalpie"/>
          <w:rFonts w:ascii="Humanst521 BT" w:hAnsi="Humanst521 BT"/>
        </w:rPr>
        <w:footnoteReference w:id="2"/>
      </w:r>
      <w:r w:rsidRPr="00DB2913">
        <w:rPr>
          <w:rFonts w:ascii="Humanst521 BT" w:hAnsi="Humanst521 BT"/>
        </w:rPr>
        <w:t>, lo que sugiere una mayor carga de enfermedad crónica en UISALUD. Este comportamiento puede estar influenciado por la estructura demográfica de la población afiliada, caracterizada por un alto porcentaje de adultos y adultos mayores, así como por una mejor capacidad de detección y seguimiento clínico. La tendencia creciente observada en los últimos años, especialmente en hipertensión y diabetes, refuerza su papel como principales condiciones trazadoras del riesgo cardiovascular y metabólico.</w:t>
      </w:r>
    </w:p>
    <w:p w14:paraId="549C7925" w14:textId="77777777" w:rsidR="00DB2913" w:rsidRPr="00DB2913" w:rsidRDefault="00DB2913" w:rsidP="00DB2913">
      <w:pPr>
        <w:widowControl/>
        <w:autoSpaceDE/>
        <w:autoSpaceDN/>
        <w:spacing w:before="100" w:beforeAutospacing="1" w:after="100" w:afterAutospacing="1"/>
        <w:jc w:val="both"/>
        <w:rPr>
          <w:rFonts w:ascii="Humanst521 BT" w:hAnsi="Humanst521 BT"/>
        </w:rPr>
      </w:pPr>
      <w:r w:rsidRPr="00DB2913">
        <w:rPr>
          <w:rFonts w:ascii="Humanst521 BT" w:hAnsi="Humanst521 BT"/>
        </w:rPr>
        <w:t>En cuanto a la enfermedad renal crónica en fase cinco, aunque su prevalencia en UISALUD es baja (0,03%), su aparición reciente es consistente con la evolución de estas patologías en el tiempo y representa un evento de alto costo y alta complejidad, alineado con lo observado a nivel nacional. Adicionalmente, al considerar el contexto colombiano, donde persisten factores de riesgo como el exceso de peso, el sedentarismo y el tabaquismo, se evidencia que la población de UISALUD no es ajena a estas dinámicas, lo que podría estar contribuyendo a la carga observada de enfermedad.</w:t>
      </w:r>
    </w:p>
    <w:p w14:paraId="11E06573" w14:textId="77777777" w:rsidR="00DB2913" w:rsidRPr="00DB2913" w:rsidRDefault="00DB2913" w:rsidP="00DB2913">
      <w:pPr>
        <w:widowControl/>
        <w:autoSpaceDE/>
        <w:autoSpaceDN/>
        <w:spacing w:before="100" w:beforeAutospacing="1" w:after="100" w:afterAutospacing="1"/>
        <w:jc w:val="both"/>
        <w:rPr>
          <w:rFonts w:ascii="Humanst521 BT" w:hAnsi="Humanst521 BT"/>
        </w:rPr>
      </w:pPr>
      <w:r w:rsidRPr="00DB2913">
        <w:rPr>
          <w:rFonts w:ascii="Humanst521 BT" w:hAnsi="Humanst521 BT"/>
        </w:rPr>
        <w:lastRenderedPageBreak/>
        <w:t>En conjunto, estos hallazgos indican que UISALUD enfrenta un perfil epidemiológico más envejecido y con mayor carga de enfermedades crónicas que el promedio nacional, lo que exige fortalecer de manera prioritaria los programas de gestión del riesgo cardiovascular y metabólico. Es fundamental intensificar las estrategias de detección temprana, control clínico, adherencia al tratamiento y promoción de estilos de vida saludables, con el fin de prevenir la progresión a complicaciones como la enfermedad renal crónica y reducir el impacto en la morbilidad, la calidad de vida y los costos en salud de la población afiliada.</w:t>
      </w:r>
    </w:p>
    <w:p w14:paraId="6476579A" w14:textId="1F6A6E67" w:rsidR="00852C53" w:rsidRPr="007F0FA7" w:rsidRDefault="00852C53" w:rsidP="00093B44">
      <w:pPr>
        <w:pStyle w:val="Descripcin"/>
        <w:spacing w:line="240" w:lineRule="auto"/>
        <w:rPr>
          <w:rFonts w:ascii="Humanst521 BT" w:eastAsia="Verdana" w:hAnsi="Humanst521 BT" w:cs="Verdana"/>
          <w:b w:val="0"/>
          <w:bCs w:val="0"/>
          <w:color w:val="auto"/>
          <w:sz w:val="22"/>
          <w:szCs w:val="22"/>
          <w:lang w:val="es-ES"/>
        </w:rPr>
      </w:pPr>
      <w:bookmarkStart w:id="107" w:name="_Toc161298201"/>
      <w:bookmarkStart w:id="108" w:name="_Toc161318821"/>
      <w:bookmarkStart w:id="109" w:name="_Toc231286270"/>
      <w:r w:rsidRPr="007F0FA7">
        <w:rPr>
          <w:rFonts w:ascii="Humanst521 BT" w:eastAsia="Verdana" w:hAnsi="Humanst521 BT" w:cs="Verdana"/>
          <w:b w:val="0"/>
          <w:bCs w:val="0"/>
          <w:color w:val="auto"/>
          <w:sz w:val="22"/>
          <w:szCs w:val="22"/>
          <w:lang w:val="es-ES"/>
        </w:rPr>
        <w:t xml:space="preserve">Tabla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Tabla \* ARABIC </w:instrText>
      </w:r>
      <w:r w:rsidRPr="007F0FA7">
        <w:rPr>
          <w:rFonts w:ascii="Humanst521 BT" w:eastAsia="Verdana" w:hAnsi="Humanst521 BT" w:cs="Verdana"/>
          <w:b w:val="0"/>
          <w:bCs w:val="0"/>
          <w:color w:val="auto"/>
          <w:sz w:val="22"/>
          <w:szCs w:val="22"/>
          <w:lang w:val="es-ES"/>
        </w:rPr>
        <w:fldChar w:fldCharType="separate"/>
      </w:r>
      <w:r w:rsidR="00266118">
        <w:rPr>
          <w:rFonts w:ascii="Humanst521 BT" w:eastAsia="Verdana" w:hAnsi="Humanst521 BT" w:cs="Verdana"/>
          <w:b w:val="0"/>
          <w:bCs w:val="0"/>
          <w:noProof/>
          <w:color w:val="auto"/>
          <w:sz w:val="22"/>
          <w:szCs w:val="22"/>
          <w:lang w:val="es-ES"/>
        </w:rPr>
        <w:t>25</w:t>
      </w:r>
      <w:r w:rsidRPr="007F0FA7">
        <w:rPr>
          <w:rFonts w:ascii="Humanst521 BT" w:eastAsia="Verdana" w:hAnsi="Humanst521 BT" w:cs="Verdana"/>
          <w:b w:val="0"/>
          <w:bCs w:val="0"/>
          <w:color w:val="auto"/>
          <w:sz w:val="22"/>
          <w:szCs w:val="22"/>
          <w:lang w:val="es-ES"/>
        </w:rPr>
        <w:fldChar w:fldCharType="end"/>
      </w:r>
      <w:r w:rsidR="00724412">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w:t>
      </w:r>
      <w:r w:rsidR="00BA15F4">
        <w:rPr>
          <w:rFonts w:ascii="Humanst521 BT" w:eastAsia="Verdana" w:hAnsi="Humanst521 BT" w:cs="Verdana"/>
          <w:b w:val="0"/>
          <w:bCs w:val="0"/>
          <w:color w:val="auto"/>
          <w:sz w:val="22"/>
          <w:szCs w:val="22"/>
          <w:lang w:val="es-ES"/>
        </w:rPr>
        <w:t xml:space="preserve">Prevalencia de obesidad en </w:t>
      </w:r>
      <w:r w:rsidRPr="007F0FA7">
        <w:rPr>
          <w:rFonts w:ascii="Humanst521 BT" w:eastAsia="Verdana" w:hAnsi="Humanst521 BT" w:cs="Verdana"/>
          <w:b w:val="0"/>
          <w:bCs w:val="0"/>
          <w:color w:val="auto"/>
          <w:sz w:val="22"/>
          <w:szCs w:val="22"/>
          <w:lang w:val="es-ES"/>
        </w:rPr>
        <w:t>población a</w:t>
      </w:r>
      <w:r w:rsidR="00BA15F4">
        <w:rPr>
          <w:rFonts w:ascii="Humanst521 BT" w:eastAsia="Verdana" w:hAnsi="Humanst521 BT" w:cs="Verdana"/>
          <w:b w:val="0"/>
          <w:bCs w:val="0"/>
          <w:color w:val="auto"/>
          <w:sz w:val="22"/>
          <w:szCs w:val="22"/>
          <w:lang w:val="es-ES"/>
        </w:rPr>
        <w:t>tendida</w:t>
      </w:r>
      <w:r w:rsidRPr="007F0FA7">
        <w:rPr>
          <w:rFonts w:ascii="Humanst521 BT" w:eastAsia="Verdana" w:hAnsi="Humanst521 BT" w:cs="Verdana"/>
          <w:b w:val="0"/>
          <w:bCs w:val="0"/>
          <w:color w:val="auto"/>
          <w:sz w:val="22"/>
          <w:szCs w:val="22"/>
          <w:lang w:val="es-ES"/>
        </w:rPr>
        <w:t xml:space="preserve"> UISALUD, 2021-</w:t>
      </w:r>
      <w:bookmarkEnd w:id="107"/>
      <w:bookmarkEnd w:id="108"/>
      <w:r w:rsidRPr="007F0FA7">
        <w:rPr>
          <w:rFonts w:ascii="Humanst521 BT" w:eastAsia="Verdana" w:hAnsi="Humanst521 BT" w:cs="Verdana"/>
          <w:b w:val="0"/>
          <w:bCs w:val="0"/>
          <w:color w:val="auto"/>
          <w:sz w:val="22"/>
          <w:szCs w:val="22"/>
          <w:lang w:val="es-ES"/>
        </w:rPr>
        <w:t>202</w:t>
      </w:r>
      <w:r w:rsidR="00583F3F">
        <w:rPr>
          <w:rFonts w:ascii="Humanst521 BT" w:eastAsia="Verdana" w:hAnsi="Humanst521 BT" w:cs="Verdana"/>
          <w:b w:val="0"/>
          <w:bCs w:val="0"/>
          <w:color w:val="auto"/>
          <w:sz w:val="22"/>
          <w:szCs w:val="22"/>
          <w:lang w:val="es-ES"/>
        </w:rPr>
        <w:t>5</w:t>
      </w:r>
      <w:bookmarkEnd w:id="109"/>
    </w:p>
    <w:tbl>
      <w:tblPr>
        <w:tblW w:w="8400" w:type="dxa"/>
        <w:jc w:val="center"/>
        <w:tblLayout w:type="fixed"/>
        <w:tblCellMar>
          <w:left w:w="70" w:type="dxa"/>
          <w:right w:w="70" w:type="dxa"/>
        </w:tblCellMar>
        <w:tblLook w:val="04A0" w:firstRow="1" w:lastRow="0" w:firstColumn="1" w:lastColumn="0" w:noHBand="0" w:noVBand="1"/>
      </w:tblPr>
      <w:tblGrid>
        <w:gridCol w:w="4385"/>
        <w:gridCol w:w="567"/>
        <w:gridCol w:w="708"/>
        <w:gridCol w:w="709"/>
        <w:gridCol w:w="709"/>
        <w:gridCol w:w="709"/>
        <w:gridCol w:w="613"/>
      </w:tblGrid>
      <w:tr w:rsidR="00146791" w:rsidRPr="00BB2FB4" w14:paraId="21BA321F" w14:textId="77777777" w:rsidTr="00146791">
        <w:trPr>
          <w:trHeight w:val="525"/>
          <w:jc w:val="center"/>
        </w:trPr>
        <w:tc>
          <w:tcPr>
            <w:tcW w:w="4385" w:type="dxa"/>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3FF5A04B" w14:textId="77777777" w:rsidR="00BB2FB4" w:rsidRPr="00BB2FB4" w:rsidRDefault="00BB2FB4" w:rsidP="00BB2FB4">
            <w:pPr>
              <w:widowControl/>
              <w:autoSpaceDE/>
              <w:autoSpaceDN/>
              <w:jc w:val="center"/>
              <w:rPr>
                <w:rFonts w:ascii="Humanst521 BT" w:eastAsia="Times New Roman" w:hAnsi="Humanst521 BT" w:cs="Calibri"/>
                <w:b/>
                <w:bCs/>
                <w:color w:val="000000"/>
                <w:sz w:val="20"/>
                <w:szCs w:val="20"/>
                <w:lang w:val="es-CO" w:eastAsia="es-CO"/>
              </w:rPr>
            </w:pPr>
            <w:r w:rsidRPr="00BB2FB4">
              <w:rPr>
                <w:rFonts w:ascii="Humanst521 BT" w:eastAsia="Times New Roman" w:hAnsi="Humanst521 BT" w:cs="Arial"/>
                <w:b/>
                <w:bCs/>
                <w:color w:val="000000"/>
                <w:sz w:val="20"/>
                <w:szCs w:val="24"/>
                <w:lang w:eastAsia="es-CO"/>
              </w:rPr>
              <w:t>Indicadores*</w:t>
            </w:r>
          </w:p>
        </w:tc>
        <w:tc>
          <w:tcPr>
            <w:tcW w:w="567" w:type="dxa"/>
            <w:tcBorders>
              <w:top w:val="single" w:sz="8" w:space="0" w:color="67B93E"/>
              <w:left w:val="nil"/>
              <w:bottom w:val="single" w:sz="8" w:space="0" w:color="67B93E"/>
              <w:right w:val="single" w:sz="8" w:space="0" w:color="67B93E"/>
            </w:tcBorders>
            <w:shd w:val="clear" w:color="000000" w:fill="C5E0B3"/>
            <w:vAlign w:val="center"/>
            <w:hideMark/>
          </w:tcPr>
          <w:p w14:paraId="4D1345D8" w14:textId="77777777" w:rsidR="00BB2FB4" w:rsidRPr="00BB2FB4" w:rsidRDefault="00BB2FB4" w:rsidP="00BB2FB4">
            <w:pPr>
              <w:widowControl/>
              <w:autoSpaceDE/>
              <w:autoSpaceDN/>
              <w:jc w:val="center"/>
              <w:rPr>
                <w:rFonts w:ascii="Humanst521 BT" w:eastAsia="Times New Roman" w:hAnsi="Humanst521 BT" w:cs="Calibri"/>
                <w:b/>
                <w:bCs/>
                <w:color w:val="000000"/>
                <w:sz w:val="20"/>
                <w:szCs w:val="20"/>
                <w:lang w:val="es-CO" w:eastAsia="es-CO"/>
              </w:rPr>
            </w:pPr>
            <w:r w:rsidRPr="00BB2FB4">
              <w:rPr>
                <w:rFonts w:ascii="Humanst521 BT" w:eastAsia="Times New Roman" w:hAnsi="Humanst521 BT" w:cs="Calibri"/>
                <w:b/>
                <w:bCs/>
                <w:color w:val="000000"/>
                <w:sz w:val="20"/>
                <w:szCs w:val="20"/>
                <w:lang w:eastAsia="es-CO"/>
              </w:rPr>
              <w:t>2021</w:t>
            </w:r>
          </w:p>
        </w:tc>
        <w:tc>
          <w:tcPr>
            <w:tcW w:w="708" w:type="dxa"/>
            <w:tcBorders>
              <w:top w:val="single" w:sz="8" w:space="0" w:color="67B93E"/>
              <w:left w:val="nil"/>
              <w:bottom w:val="single" w:sz="8" w:space="0" w:color="67B93E"/>
              <w:right w:val="single" w:sz="8" w:space="0" w:color="67B93E"/>
            </w:tcBorders>
            <w:shd w:val="clear" w:color="000000" w:fill="C5E0B3"/>
            <w:vAlign w:val="center"/>
            <w:hideMark/>
          </w:tcPr>
          <w:p w14:paraId="776B5F2F" w14:textId="77777777" w:rsidR="00BB2FB4" w:rsidRPr="00BB2FB4" w:rsidRDefault="00BB2FB4" w:rsidP="00BB2FB4">
            <w:pPr>
              <w:widowControl/>
              <w:autoSpaceDE/>
              <w:autoSpaceDN/>
              <w:jc w:val="center"/>
              <w:rPr>
                <w:rFonts w:ascii="Humanst521 BT" w:eastAsia="Times New Roman" w:hAnsi="Humanst521 BT" w:cs="Calibri"/>
                <w:b/>
                <w:bCs/>
                <w:color w:val="000000"/>
                <w:sz w:val="20"/>
                <w:szCs w:val="20"/>
                <w:lang w:val="es-CO" w:eastAsia="es-CO"/>
              </w:rPr>
            </w:pPr>
            <w:r w:rsidRPr="00BB2FB4">
              <w:rPr>
                <w:rFonts w:ascii="Humanst521 BT" w:eastAsia="Times New Roman" w:hAnsi="Humanst521 BT" w:cs="Calibri"/>
                <w:b/>
                <w:bCs/>
                <w:color w:val="000000"/>
                <w:sz w:val="20"/>
                <w:szCs w:val="20"/>
                <w:lang w:eastAsia="es-CO"/>
              </w:rPr>
              <w:t>2022</w:t>
            </w:r>
          </w:p>
        </w:tc>
        <w:tc>
          <w:tcPr>
            <w:tcW w:w="709" w:type="dxa"/>
            <w:tcBorders>
              <w:top w:val="single" w:sz="8" w:space="0" w:color="67B93E"/>
              <w:left w:val="nil"/>
              <w:bottom w:val="single" w:sz="8" w:space="0" w:color="67B93E"/>
              <w:right w:val="single" w:sz="8" w:space="0" w:color="67B93E"/>
            </w:tcBorders>
            <w:shd w:val="clear" w:color="000000" w:fill="C5E0B3"/>
            <w:vAlign w:val="center"/>
            <w:hideMark/>
          </w:tcPr>
          <w:p w14:paraId="6D2F879B" w14:textId="77777777" w:rsidR="00BB2FB4" w:rsidRPr="00BB2FB4" w:rsidRDefault="00BB2FB4" w:rsidP="00BB2FB4">
            <w:pPr>
              <w:widowControl/>
              <w:autoSpaceDE/>
              <w:autoSpaceDN/>
              <w:jc w:val="center"/>
              <w:rPr>
                <w:rFonts w:ascii="Humanst521 BT" w:eastAsia="Times New Roman" w:hAnsi="Humanst521 BT" w:cs="Calibri"/>
                <w:b/>
                <w:bCs/>
                <w:color w:val="000000"/>
                <w:sz w:val="20"/>
                <w:szCs w:val="20"/>
                <w:lang w:val="es-CO" w:eastAsia="es-CO"/>
              </w:rPr>
            </w:pPr>
            <w:r w:rsidRPr="00BB2FB4">
              <w:rPr>
                <w:rFonts w:ascii="Humanst521 BT" w:eastAsia="Times New Roman" w:hAnsi="Humanst521 BT" w:cs="Calibri"/>
                <w:b/>
                <w:bCs/>
                <w:color w:val="000000"/>
                <w:sz w:val="20"/>
                <w:szCs w:val="20"/>
                <w:lang w:eastAsia="es-CO"/>
              </w:rPr>
              <w:t>2023</w:t>
            </w:r>
          </w:p>
        </w:tc>
        <w:tc>
          <w:tcPr>
            <w:tcW w:w="709" w:type="dxa"/>
            <w:tcBorders>
              <w:top w:val="single" w:sz="8" w:space="0" w:color="67B93E"/>
              <w:left w:val="nil"/>
              <w:bottom w:val="single" w:sz="8" w:space="0" w:color="67B93E"/>
              <w:right w:val="single" w:sz="8" w:space="0" w:color="67B93E"/>
            </w:tcBorders>
            <w:shd w:val="clear" w:color="000000" w:fill="C5E0B3"/>
            <w:vAlign w:val="center"/>
            <w:hideMark/>
          </w:tcPr>
          <w:p w14:paraId="53723720" w14:textId="77777777" w:rsidR="00BB2FB4" w:rsidRPr="00BB2FB4" w:rsidRDefault="00BB2FB4" w:rsidP="00BB2FB4">
            <w:pPr>
              <w:widowControl/>
              <w:autoSpaceDE/>
              <w:autoSpaceDN/>
              <w:jc w:val="center"/>
              <w:rPr>
                <w:rFonts w:ascii="Humanst521 BT" w:eastAsia="Times New Roman" w:hAnsi="Humanst521 BT" w:cs="Calibri"/>
                <w:b/>
                <w:bCs/>
                <w:color w:val="000000"/>
                <w:sz w:val="20"/>
                <w:szCs w:val="20"/>
                <w:lang w:val="es-CO" w:eastAsia="es-CO"/>
              </w:rPr>
            </w:pPr>
            <w:r w:rsidRPr="00BB2FB4">
              <w:rPr>
                <w:rFonts w:ascii="Humanst521 BT" w:eastAsia="Times New Roman" w:hAnsi="Humanst521 BT" w:cs="Calibri"/>
                <w:b/>
                <w:bCs/>
                <w:color w:val="000000"/>
                <w:sz w:val="20"/>
                <w:szCs w:val="20"/>
                <w:lang w:eastAsia="es-CO"/>
              </w:rPr>
              <w:t>2024</w:t>
            </w:r>
          </w:p>
        </w:tc>
        <w:tc>
          <w:tcPr>
            <w:tcW w:w="709" w:type="dxa"/>
            <w:tcBorders>
              <w:top w:val="single" w:sz="8" w:space="0" w:color="67B93E"/>
              <w:left w:val="nil"/>
              <w:bottom w:val="single" w:sz="8" w:space="0" w:color="67B93E"/>
              <w:right w:val="single" w:sz="8" w:space="0" w:color="67B93E"/>
            </w:tcBorders>
            <w:shd w:val="clear" w:color="000000" w:fill="C5E0B3"/>
            <w:vAlign w:val="center"/>
            <w:hideMark/>
          </w:tcPr>
          <w:p w14:paraId="5FB99D2A" w14:textId="77777777" w:rsidR="00BB2FB4" w:rsidRPr="00BB2FB4" w:rsidRDefault="00BB2FB4" w:rsidP="00BB2FB4">
            <w:pPr>
              <w:widowControl/>
              <w:autoSpaceDE/>
              <w:autoSpaceDN/>
              <w:jc w:val="center"/>
              <w:rPr>
                <w:rFonts w:ascii="Humanst521 BT" w:eastAsia="Times New Roman" w:hAnsi="Humanst521 BT" w:cs="Calibri"/>
                <w:b/>
                <w:bCs/>
                <w:color w:val="000000"/>
                <w:sz w:val="20"/>
                <w:szCs w:val="20"/>
                <w:lang w:val="es-CO" w:eastAsia="es-CO"/>
              </w:rPr>
            </w:pPr>
            <w:r w:rsidRPr="00BB2FB4">
              <w:rPr>
                <w:rFonts w:ascii="Humanst521 BT" w:eastAsia="Times New Roman" w:hAnsi="Humanst521 BT" w:cs="Calibri"/>
                <w:b/>
                <w:bCs/>
                <w:color w:val="000000"/>
                <w:sz w:val="20"/>
                <w:szCs w:val="20"/>
                <w:lang w:eastAsia="es-CO"/>
              </w:rPr>
              <w:t>2025</w:t>
            </w:r>
          </w:p>
        </w:tc>
        <w:tc>
          <w:tcPr>
            <w:tcW w:w="613" w:type="dxa"/>
            <w:tcBorders>
              <w:top w:val="single" w:sz="8" w:space="0" w:color="67B93E"/>
              <w:left w:val="nil"/>
              <w:bottom w:val="single" w:sz="8" w:space="0" w:color="67B93E"/>
              <w:right w:val="single" w:sz="8" w:space="0" w:color="67B93E"/>
            </w:tcBorders>
            <w:shd w:val="clear" w:color="000000" w:fill="C5E0B3"/>
            <w:vAlign w:val="center"/>
            <w:hideMark/>
          </w:tcPr>
          <w:p w14:paraId="6ECF4C97" w14:textId="77777777" w:rsidR="00BB2FB4" w:rsidRPr="00BB2FB4" w:rsidRDefault="00BB2FB4" w:rsidP="00BB2FB4">
            <w:pPr>
              <w:widowControl/>
              <w:autoSpaceDE/>
              <w:autoSpaceDN/>
              <w:jc w:val="center"/>
              <w:rPr>
                <w:rFonts w:ascii="Humanst521 BT" w:eastAsia="Times New Roman" w:hAnsi="Humanst521 BT" w:cs="Calibri"/>
                <w:b/>
                <w:bCs/>
                <w:color w:val="000000"/>
                <w:sz w:val="20"/>
                <w:szCs w:val="20"/>
                <w:lang w:val="es-CO" w:eastAsia="es-CO"/>
              </w:rPr>
            </w:pPr>
            <w:r w:rsidRPr="00BB2FB4">
              <w:rPr>
                <w:rFonts w:ascii="Humanst521 BT" w:eastAsia="Times New Roman" w:hAnsi="Humanst521 BT" w:cs="Calibri"/>
                <w:b/>
                <w:bCs/>
                <w:color w:val="000000"/>
                <w:sz w:val="20"/>
                <w:szCs w:val="20"/>
                <w:lang w:val="es-CO" w:eastAsia="es-CO"/>
              </w:rPr>
              <w:t>Dif %</w:t>
            </w:r>
          </w:p>
        </w:tc>
      </w:tr>
      <w:tr w:rsidR="00146791" w:rsidRPr="00BB2FB4" w14:paraId="38FB714C" w14:textId="77777777" w:rsidTr="00146791">
        <w:trPr>
          <w:trHeight w:val="518"/>
          <w:jc w:val="center"/>
        </w:trPr>
        <w:tc>
          <w:tcPr>
            <w:tcW w:w="4385" w:type="dxa"/>
            <w:tcBorders>
              <w:top w:val="nil"/>
              <w:left w:val="single" w:sz="8" w:space="0" w:color="67B93E"/>
              <w:bottom w:val="single" w:sz="8" w:space="0" w:color="67B93E"/>
              <w:right w:val="single" w:sz="8" w:space="0" w:color="67B93E"/>
            </w:tcBorders>
            <w:shd w:val="clear" w:color="000000" w:fill="F2F2F2"/>
            <w:vAlign w:val="center"/>
            <w:hideMark/>
          </w:tcPr>
          <w:p w14:paraId="7F218D13" w14:textId="77777777" w:rsidR="00BB2FB4" w:rsidRPr="00BB2FB4" w:rsidRDefault="00BB2FB4" w:rsidP="00BB2FB4">
            <w:pPr>
              <w:widowControl/>
              <w:autoSpaceDE/>
              <w:autoSpaceDN/>
              <w:jc w:val="both"/>
              <w:rPr>
                <w:rFonts w:ascii="Humanst521 BT" w:eastAsia="Times New Roman" w:hAnsi="Humanst521 BT" w:cs="Calibri"/>
                <w:color w:val="000000"/>
                <w:sz w:val="20"/>
                <w:szCs w:val="20"/>
                <w:lang w:val="es-CO" w:eastAsia="es-CO"/>
              </w:rPr>
            </w:pPr>
            <w:r w:rsidRPr="00BB2FB4">
              <w:rPr>
                <w:rFonts w:ascii="Humanst521 BT" w:eastAsia="Times New Roman" w:hAnsi="Humanst521 BT" w:cs="Calibri"/>
                <w:color w:val="000000"/>
                <w:sz w:val="20"/>
                <w:szCs w:val="20"/>
                <w:lang w:eastAsia="es-CO"/>
              </w:rPr>
              <w:t>Prevalencia de obesidad en mujeres de 18 a 64 años</w:t>
            </w:r>
          </w:p>
        </w:tc>
        <w:tc>
          <w:tcPr>
            <w:tcW w:w="567" w:type="dxa"/>
            <w:tcBorders>
              <w:top w:val="nil"/>
              <w:left w:val="nil"/>
              <w:bottom w:val="single" w:sz="8" w:space="0" w:color="67B93E"/>
              <w:right w:val="single" w:sz="8" w:space="0" w:color="67B93E"/>
            </w:tcBorders>
            <w:shd w:val="clear" w:color="000000" w:fill="F2F2F2"/>
            <w:vAlign w:val="center"/>
            <w:hideMark/>
          </w:tcPr>
          <w:p w14:paraId="452E0C7C"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Calibri"/>
                <w:color w:val="000000"/>
                <w:sz w:val="20"/>
                <w:szCs w:val="20"/>
                <w:lang w:eastAsia="es-CO"/>
              </w:rPr>
              <w:t>17,7</w:t>
            </w:r>
          </w:p>
        </w:tc>
        <w:tc>
          <w:tcPr>
            <w:tcW w:w="708" w:type="dxa"/>
            <w:tcBorders>
              <w:top w:val="nil"/>
              <w:left w:val="nil"/>
              <w:bottom w:val="single" w:sz="8" w:space="0" w:color="67B93E"/>
              <w:right w:val="single" w:sz="8" w:space="0" w:color="67B93E"/>
            </w:tcBorders>
            <w:shd w:val="clear" w:color="000000" w:fill="F2F2F2"/>
            <w:vAlign w:val="center"/>
            <w:hideMark/>
          </w:tcPr>
          <w:p w14:paraId="12A1D12F"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Calibri"/>
                <w:color w:val="000000"/>
                <w:sz w:val="20"/>
                <w:szCs w:val="20"/>
                <w:lang w:eastAsia="es-CO"/>
              </w:rPr>
              <w:t>22,94</w:t>
            </w:r>
          </w:p>
        </w:tc>
        <w:tc>
          <w:tcPr>
            <w:tcW w:w="709" w:type="dxa"/>
            <w:tcBorders>
              <w:top w:val="nil"/>
              <w:left w:val="nil"/>
              <w:bottom w:val="single" w:sz="8" w:space="0" w:color="67B93E"/>
              <w:right w:val="single" w:sz="8" w:space="0" w:color="67B93E"/>
            </w:tcBorders>
            <w:shd w:val="clear" w:color="000000" w:fill="F2F2F2"/>
            <w:vAlign w:val="center"/>
            <w:hideMark/>
          </w:tcPr>
          <w:p w14:paraId="64E2AD45"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Calibri"/>
                <w:color w:val="000000"/>
                <w:sz w:val="20"/>
                <w:szCs w:val="20"/>
                <w:lang w:eastAsia="es-CO"/>
              </w:rPr>
              <w:t>24,27</w:t>
            </w:r>
          </w:p>
        </w:tc>
        <w:tc>
          <w:tcPr>
            <w:tcW w:w="709" w:type="dxa"/>
            <w:tcBorders>
              <w:top w:val="nil"/>
              <w:left w:val="nil"/>
              <w:bottom w:val="single" w:sz="8" w:space="0" w:color="67B93E"/>
              <w:right w:val="single" w:sz="8" w:space="0" w:color="67B93E"/>
            </w:tcBorders>
            <w:shd w:val="clear" w:color="000000" w:fill="F2F2F2"/>
            <w:vAlign w:val="center"/>
            <w:hideMark/>
          </w:tcPr>
          <w:p w14:paraId="671E2EEB"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Calibri"/>
                <w:color w:val="000000"/>
                <w:sz w:val="20"/>
                <w:szCs w:val="20"/>
                <w:lang w:eastAsia="es-CO"/>
              </w:rPr>
              <w:t>13,5</w:t>
            </w:r>
          </w:p>
        </w:tc>
        <w:tc>
          <w:tcPr>
            <w:tcW w:w="709" w:type="dxa"/>
            <w:tcBorders>
              <w:top w:val="nil"/>
              <w:left w:val="nil"/>
              <w:bottom w:val="single" w:sz="8" w:space="0" w:color="67B93E"/>
              <w:right w:val="single" w:sz="8" w:space="0" w:color="67B93E"/>
            </w:tcBorders>
            <w:shd w:val="clear" w:color="000000" w:fill="F2F2F2"/>
            <w:vAlign w:val="center"/>
            <w:hideMark/>
          </w:tcPr>
          <w:p w14:paraId="0BFADB12"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Calibri"/>
                <w:color w:val="000000"/>
                <w:sz w:val="20"/>
                <w:szCs w:val="20"/>
                <w:lang w:eastAsia="es-CO"/>
              </w:rPr>
              <w:t>25,1</w:t>
            </w:r>
          </w:p>
        </w:tc>
        <w:tc>
          <w:tcPr>
            <w:tcW w:w="613" w:type="dxa"/>
            <w:tcBorders>
              <w:top w:val="nil"/>
              <w:left w:val="nil"/>
              <w:bottom w:val="single" w:sz="8" w:space="0" w:color="67B93E"/>
              <w:right w:val="single" w:sz="8" w:space="0" w:color="67B93E"/>
            </w:tcBorders>
            <w:shd w:val="clear" w:color="000000" w:fill="F2F2F2"/>
            <w:vAlign w:val="center"/>
            <w:hideMark/>
          </w:tcPr>
          <w:p w14:paraId="31B2F205"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Calibri"/>
                <w:color w:val="000000"/>
                <w:sz w:val="20"/>
                <w:szCs w:val="20"/>
                <w:lang w:val="es-CO" w:eastAsia="es-CO"/>
              </w:rPr>
              <w:t>11,6</w:t>
            </w:r>
          </w:p>
        </w:tc>
      </w:tr>
      <w:tr w:rsidR="00146791" w:rsidRPr="00BB2FB4" w14:paraId="47CE649D" w14:textId="77777777" w:rsidTr="00146791">
        <w:trPr>
          <w:trHeight w:val="398"/>
          <w:jc w:val="center"/>
        </w:trPr>
        <w:tc>
          <w:tcPr>
            <w:tcW w:w="4385" w:type="dxa"/>
            <w:tcBorders>
              <w:top w:val="nil"/>
              <w:left w:val="single" w:sz="8" w:space="0" w:color="67B93E"/>
              <w:bottom w:val="single" w:sz="8" w:space="0" w:color="67B93E"/>
              <w:right w:val="single" w:sz="8" w:space="0" w:color="67B93E"/>
            </w:tcBorders>
            <w:shd w:val="clear" w:color="000000" w:fill="FFFFFF"/>
            <w:vAlign w:val="center"/>
            <w:hideMark/>
          </w:tcPr>
          <w:p w14:paraId="21365564" w14:textId="77777777" w:rsidR="00BB2FB4" w:rsidRPr="00BB2FB4" w:rsidRDefault="00BB2FB4" w:rsidP="00BB2FB4">
            <w:pPr>
              <w:widowControl/>
              <w:autoSpaceDE/>
              <w:autoSpaceDN/>
              <w:jc w:val="both"/>
              <w:rPr>
                <w:rFonts w:ascii="Humanst521 BT" w:eastAsia="Times New Roman" w:hAnsi="Humanst521 BT" w:cs="Calibri"/>
                <w:color w:val="000000"/>
                <w:sz w:val="20"/>
                <w:szCs w:val="20"/>
                <w:lang w:val="es-CO" w:eastAsia="es-CO"/>
              </w:rPr>
            </w:pPr>
            <w:r w:rsidRPr="00BB2FB4">
              <w:rPr>
                <w:rFonts w:ascii="Humanst521 BT" w:eastAsia="Times New Roman" w:hAnsi="Humanst521 BT" w:cs="Arial"/>
                <w:color w:val="000000"/>
                <w:sz w:val="20"/>
                <w:szCs w:val="24"/>
                <w:lang w:eastAsia="es-CO"/>
              </w:rPr>
              <w:t>Prevalencia de obesidad en personas de 18 a 64 años</w:t>
            </w:r>
          </w:p>
        </w:tc>
        <w:tc>
          <w:tcPr>
            <w:tcW w:w="567" w:type="dxa"/>
            <w:tcBorders>
              <w:top w:val="nil"/>
              <w:left w:val="nil"/>
              <w:bottom w:val="single" w:sz="8" w:space="0" w:color="67B93E"/>
              <w:right w:val="single" w:sz="8" w:space="0" w:color="67B93E"/>
            </w:tcBorders>
            <w:shd w:val="clear" w:color="000000" w:fill="FFFFFF"/>
            <w:vAlign w:val="center"/>
            <w:hideMark/>
          </w:tcPr>
          <w:p w14:paraId="3C769C91"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Arial"/>
                <w:color w:val="000000"/>
                <w:sz w:val="20"/>
                <w:szCs w:val="24"/>
                <w:lang w:eastAsia="es-CO"/>
              </w:rPr>
              <w:t>19,6</w:t>
            </w:r>
          </w:p>
        </w:tc>
        <w:tc>
          <w:tcPr>
            <w:tcW w:w="708" w:type="dxa"/>
            <w:tcBorders>
              <w:top w:val="nil"/>
              <w:left w:val="nil"/>
              <w:bottom w:val="single" w:sz="8" w:space="0" w:color="67B93E"/>
              <w:right w:val="single" w:sz="8" w:space="0" w:color="67B93E"/>
            </w:tcBorders>
            <w:shd w:val="clear" w:color="000000" w:fill="FFFFFF"/>
            <w:vAlign w:val="center"/>
            <w:hideMark/>
          </w:tcPr>
          <w:p w14:paraId="2D614C34"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Arial"/>
                <w:color w:val="000000"/>
                <w:sz w:val="20"/>
                <w:szCs w:val="24"/>
                <w:lang w:eastAsia="es-CO"/>
              </w:rPr>
              <w:t>22,7</w:t>
            </w:r>
          </w:p>
        </w:tc>
        <w:tc>
          <w:tcPr>
            <w:tcW w:w="709" w:type="dxa"/>
            <w:tcBorders>
              <w:top w:val="nil"/>
              <w:left w:val="nil"/>
              <w:bottom w:val="single" w:sz="8" w:space="0" w:color="67B93E"/>
              <w:right w:val="single" w:sz="8" w:space="0" w:color="67B93E"/>
            </w:tcBorders>
            <w:shd w:val="clear" w:color="000000" w:fill="FFFFFF"/>
            <w:vAlign w:val="center"/>
            <w:hideMark/>
          </w:tcPr>
          <w:p w14:paraId="08B54574"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Arial"/>
                <w:color w:val="000000"/>
                <w:sz w:val="20"/>
                <w:szCs w:val="24"/>
                <w:lang w:eastAsia="es-CO"/>
              </w:rPr>
              <w:t>22,95</w:t>
            </w:r>
          </w:p>
        </w:tc>
        <w:tc>
          <w:tcPr>
            <w:tcW w:w="709" w:type="dxa"/>
            <w:tcBorders>
              <w:top w:val="nil"/>
              <w:left w:val="nil"/>
              <w:bottom w:val="single" w:sz="8" w:space="0" w:color="67B93E"/>
              <w:right w:val="single" w:sz="8" w:space="0" w:color="67B93E"/>
            </w:tcBorders>
            <w:shd w:val="clear" w:color="000000" w:fill="FFFFFF"/>
            <w:vAlign w:val="center"/>
            <w:hideMark/>
          </w:tcPr>
          <w:p w14:paraId="2D362F76"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Arial"/>
                <w:color w:val="000000"/>
                <w:sz w:val="20"/>
                <w:szCs w:val="24"/>
                <w:lang w:eastAsia="es-CO"/>
              </w:rPr>
              <w:t>25,63</w:t>
            </w:r>
          </w:p>
        </w:tc>
        <w:tc>
          <w:tcPr>
            <w:tcW w:w="709" w:type="dxa"/>
            <w:tcBorders>
              <w:top w:val="nil"/>
              <w:left w:val="nil"/>
              <w:bottom w:val="single" w:sz="8" w:space="0" w:color="67B93E"/>
              <w:right w:val="single" w:sz="8" w:space="0" w:color="67B93E"/>
            </w:tcBorders>
            <w:shd w:val="clear" w:color="000000" w:fill="FFFFFF"/>
            <w:vAlign w:val="center"/>
            <w:hideMark/>
          </w:tcPr>
          <w:p w14:paraId="12C77DD0"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Arial"/>
                <w:color w:val="000000"/>
                <w:sz w:val="20"/>
                <w:szCs w:val="24"/>
                <w:lang w:eastAsia="es-CO"/>
              </w:rPr>
              <w:t>22,1</w:t>
            </w:r>
          </w:p>
        </w:tc>
        <w:tc>
          <w:tcPr>
            <w:tcW w:w="613" w:type="dxa"/>
            <w:tcBorders>
              <w:top w:val="nil"/>
              <w:left w:val="nil"/>
              <w:bottom w:val="single" w:sz="8" w:space="0" w:color="67B93E"/>
              <w:right w:val="single" w:sz="8" w:space="0" w:color="67B93E"/>
            </w:tcBorders>
            <w:shd w:val="clear" w:color="000000" w:fill="FFFFFF"/>
            <w:vAlign w:val="center"/>
            <w:hideMark/>
          </w:tcPr>
          <w:p w14:paraId="0A325408" w14:textId="77777777" w:rsidR="00BB2FB4" w:rsidRPr="00BB2FB4" w:rsidRDefault="00BB2FB4" w:rsidP="00BB2FB4">
            <w:pPr>
              <w:widowControl/>
              <w:autoSpaceDE/>
              <w:autoSpaceDN/>
              <w:jc w:val="center"/>
              <w:rPr>
                <w:rFonts w:ascii="Humanst521 BT" w:eastAsia="Times New Roman" w:hAnsi="Humanst521 BT" w:cs="Calibri"/>
                <w:color w:val="000000"/>
                <w:sz w:val="20"/>
                <w:szCs w:val="20"/>
                <w:lang w:val="es-CO" w:eastAsia="es-CO"/>
              </w:rPr>
            </w:pPr>
            <w:r w:rsidRPr="00BB2FB4">
              <w:rPr>
                <w:rFonts w:ascii="Humanst521 BT" w:eastAsia="Times New Roman" w:hAnsi="Humanst521 BT" w:cs="Calibri"/>
                <w:color w:val="000000"/>
                <w:sz w:val="20"/>
                <w:szCs w:val="20"/>
                <w:lang w:val="es-CO" w:eastAsia="es-CO"/>
              </w:rPr>
              <w:t>-3,53</w:t>
            </w:r>
          </w:p>
        </w:tc>
      </w:tr>
    </w:tbl>
    <w:p w14:paraId="31C2E468" w14:textId="0E8ECD8F" w:rsidR="00852C53" w:rsidRPr="007F0FA7" w:rsidRDefault="00852C53" w:rsidP="00093B44">
      <w:pPr>
        <w:pStyle w:val="Cita"/>
        <w:spacing w:line="240" w:lineRule="auto"/>
        <w:rPr>
          <w:rFonts w:ascii="Humanst521 BT" w:hAnsi="Humanst521 BT"/>
          <w:sz w:val="22"/>
          <w:szCs w:val="22"/>
        </w:rPr>
      </w:pPr>
      <w:r w:rsidRPr="007F0FA7">
        <w:rPr>
          <w:rFonts w:ascii="Humanst521 BT" w:hAnsi="Humanst521 BT"/>
          <w:sz w:val="22"/>
          <w:szCs w:val="22"/>
        </w:rPr>
        <w:t xml:space="preserve">Fuente: Información UISALUD. Tasa por 100 afiliados </w:t>
      </w:r>
    </w:p>
    <w:p w14:paraId="1CC1498B" w14:textId="77777777" w:rsidR="00852C53" w:rsidRPr="007F0FA7" w:rsidRDefault="00852C53" w:rsidP="00093B44">
      <w:pPr>
        <w:rPr>
          <w:rFonts w:ascii="Humanst521 BT" w:hAnsi="Humanst521 BT"/>
        </w:rPr>
      </w:pPr>
    </w:p>
    <w:p w14:paraId="09733F19" w14:textId="3B370FF8" w:rsidR="00852C53" w:rsidRPr="007F0FA7" w:rsidRDefault="00852C53" w:rsidP="00093B44">
      <w:pPr>
        <w:rPr>
          <w:rFonts w:ascii="Humanst521 BT" w:hAnsi="Humanst521 BT"/>
        </w:rPr>
      </w:pPr>
      <w:r w:rsidRPr="007F0FA7">
        <w:rPr>
          <w:rFonts w:ascii="Humanst521 BT" w:hAnsi="Humanst521 BT"/>
        </w:rPr>
        <w:t>Cabe señalar que en el país existe una prevalencia de obesidad en adultos de 18 a 64 años de edad de 18,7%, lo que indica que UISALUD se encuentra por encima del promedio nacional.</w:t>
      </w:r>
    </w:p>
    <w:p w14:paraId="25485B41" w14:textId="77777777" w:rsidR="00852C53" w:rsidRPr="007F0FA7" w:rsidRDefault="00852C53" w:rsidP="00093B44">
      <w:pPr>
        <w:rPr>
          <w:rFonts w:ascii="Humanst521 BT" w:hAnsi="Humanst521 BT"/>
        </w:rPr>
      </w:pPr>
    </w:p>
    <w:p w14:paraId="47DC38A3" w14:textId="77777777" w:rsidR="00085FEA" w:rsidRPr="007F0FA7" w:rsidRDefault="00085FEA" w:rsidP="00093B44">
      <w:pPr>
        <w:rPr>
          <w:rFonts w:ascii="Humanst521 BT" w:hAnsi="Humanst521 BT"/>
        </w:rPr>
      </w:pPr>
    </w:p>
    <w:p w14:paraId="33378EFD" w14:textId="1CA9CEC7" w:rsidR="00AC4427" w:rsidRPr="007F0FA7" w:rsidRDefault="00AC4427" w:rsidP="00B6007F">
      <w:pPr>
        <w:pStyle w:val="Ttulo5"/>
        <w:numPr>
          <w:ilvl w:val="0"/>
          <w:numId w:val="13"/>
        </w:numPr>
      </w:pPr>
      <w:bookmarkStart w:id="110" w:name="_Toc161297449"/>
      <w:r w:rsidRPr="007F0FA7">
        <w:t>Cohorte de cáncer</w:t>
      </w:r>
      <w:bookmarkEnd w:id="110"/>
      <w:r w:rsidRPr="007F0FA7">
        <w:t xml:space="preserve">  </w:t>
      </w:r>
    </w:p>
    <w:p w14:paraId="58127BD0" w14:textId="77777777" w:rsidR="00A82C23" w:rsidRPr="000712D6" w:rsidRDefault="00A82C23" w:rsidP="00A82C23">
      <w:pPr>
        <w:autoSpaceDE/>
        <w:autoSpaceDN/>
        <w:spacing w:before="100" w:beforeAutospacing="1" w:after="100" w:afterAutospacing="1"/>
        <w:jc w:val="both"/>
        <w:rPr>
          <w:rFonts w:ascii="Humanst521 BT" w:eastAsia="Humanst521 BT" w:hAnsi="Humanst521 BT" w:cs="Humanst521 BT"/>
        </w:rPr>
      </w:pPr>
      <w:r w:rsidRPr="07074AB7">
        <w:rPr>
          <w:rFonts w:ascii="Humanst521 BT" w:eastAsia="Humanst521 BT" w:hAnsi="Humanst521 BT" w:cs="Humanst521 BT"/>
        </w:rPr>
        <w:t>Durante 2025, los tumores malignos fueron la principal morbilidad trazadora en los afiliados de UISALUD, con un total de 151 casos, distribuidos en 52% mujeres (78) y 48% hombres (73). Se observó un aumento del 5% de los casos con relación al año 2024 (144 casos)</w:t>
      </w:r>
    </w:p>
    <w:p w14:paraId="5824B3E0" w14:textId="77777777" w:rsidR="00A82C23" w:rsidRPr="000712D6" w:rsidRDefault="00A82C23" w:rsidP="00A82C23">
      <w:pPr>
        <w:autoSpaceDE/>
        <w:autoSpaceDN/>
        <w:spacing w:before="100" w:beforeAutospacing="1" w:after="100" w:afterAutospacing="1"/>
        <w:jc w:val="both"/>
        <w:rPr>
          <w:rFonts w:ascii="Humanst521 BT" w:eastAsia="Humanst521 BT" w:hAnsi="Humanst521 BT" w:cs="Humanst521 BT"/>
        </w:rPr>
      </w:pPr>
      <w:r w:rsidRPr="07074AB7">
        <w:rPr>
          <w:rFonts w:ascii="Humanst521 BT" w:eastAsia="Humanst521 BT" w:hAnsi="Humanst521 BT" w:cs="Humanst521 BT"/>
        </w:rPr>
        <w:t>La mayoría de los casos se concentra en el grupo de vejez (mayores de 60 años), con 135 casos (89%), mientras que 16 casos (11%) corresponden a adultos entre 29 y 59 años. En cuanto a la residencia, 149 afiliados (99%) viven en Santander, y los restantes casos se distribuyen en Bogotá (1), y Cesar (1).</w:t>
      </w:r>
    </w:p>
    <w:p w14:paraId="13158600" w14:textId="77777777" w:rsidR="00A82C23" w:rsidRPr="000712D6" w:rsidRDefault="00A82C23" w:rsidP="00A82C23">
      <w:pPr>
        <w:autoSpaceDE/>
        <w:autoSpaceDN/>
        <w:spacing w:before="100" w:beforeAutospacing="1" w:after="100" w:afterAutospacing="1"/>
        <w:jc w:val="both"/>
        <w:rPr>
          <w:rFonts w:ascii="Humanst521 BT" w:eastAsia="Humanst521 BT" w:hAnsi="Humanst521 BT" w:cs="Humanst521 BT"/>
        </w:rPr>
      </w:pPr>
      <w:r w:rsidRPr="07074AB7">
        <w:rPr>
          <w:rFonts w:ascii="Humanst521 BT" w:eastAsia="Humanst521 BT" w:hAnsi="Humanst521 BT" w:cs="Humanst521 BT"/>
        </w:rPr>
        <w:t>Por tipo de afiliación, la mayor proporción de casos se presentó en pensionados (101, 67%), seguidos de empleados activos (24, 16%) y beneficiarios (26, 17%).</w:t>
      </w:r>
    </w:p>
    <w:p w14:paraId="3BC25783" w14:textId="214AB327" w:rsidR="00A82C23" w:rsidRPr="000712D6" w:rsidRDefault="00A82C23" w:rsidP="00A82C23">
      <w:pPr>
        <w:spacing w:after="160" w:line="257" w:lineRule="auto"/>
        <w:jc w:val="both"/>
        <w:rPr>
          <w:rFonts w:ascii="Humanst521 BT" w:eastAsia="Humanst521 BT" w:hAnsi="Humanst521 BT" w:cs="Humanst521 BT"/>
        </w:rPr>
      </w:pPr>
      <w:bookmarkStart w:id="111" w:name="_Toc231286271"/>
      <w:r w:rsidRPr="000712D6">
        <w:rPr>
          <w:rFonts w:ascii="Humanst521 BT" w:hAnsi="Humanst521 BT" w:cstheme="minorBidi"/>
        </w:rPr>
        <w:t xml:space="preserve">Tabla </w:t>
      </w:r>
      <w:r w:rsidRPr="000712D6">
        <w:rPr>
          <w:rFonts w:ascii="Humanst521 BT" w:hAnsi="Humanst521 BT" w:cstheme="minorBidi"/>
        </w:rPr>
        <w:fldChar w:fldCharType="begin"/>
      </w:r>
      <w:r w:rsidRPr="000712D6">
        <w:rPr>
          <w:rFonts w:ascii="Humanst521 BT" w:hAnsi="Humanst521 BT" w:cstheme="minorBidi"/>
        </w:rPr>
        <w:instrText xml:space="preserve"> SEQ Tabla \* ARABIC </w:instrText>
      </w:r>
      <w:r w:rsidRPr="000712D6">
        <w:rPr>
          <w:rFonts w:ascii="Humanst521 BT" w:hAnsi="Humanst521 BT" w:cstheme="minorBidi"/>
        </w:rPr>
        <w:fldChar w:fldCharType="separate"/>
      </w:r>
      <w:r w:rsidR="00266118">
        <w:rPr>
          <w:rFonts w:ascii="Humanst521 BT" w:hAnsi="Humanst521 BT" w:cstheme="minorBidi"/>
          <w:noProof/>
        </w:rPr>
        <w:t>26</w:t>
      </w:r>
      <w:r w:rsidRPr="000712D6">
        <w:rPr>
          <w:rFonts w:ascii="Humanst521 BT" w:hAnsi="Humanst521 BT" w:cstheme="minorBidi"/>
        </w:rPr>
        <w:fldChar w:fldCharType="end"/>
      </w:r>
      <w:r w:rsidRPr="3D60B639">
        <w:rPr>
          <w:rFonts w:ascii="Humanst521 BT" w:eastAsia="Humanst521 BT" w:hAnsi="Humanst521 BT" w:cs="Humanst521 BT"/>
          <w:lang w:val="es"/>
        </w:rPr>
        <w:t>. Casos</w:t>
      </w:r>
      <w:r w:rsidR="00ED2FB0">
        <w:rPr>
          <w:rFonts w:ascii="Humanst521 BT" w:eastAsia="Humanst521 BT" w:hAnsi="Humanst521 BT" w:cs="Humanst521 BT"/>
          <w:lang w:val="es"/>
        </w:rPr>
        <w:t xml:space="preserve"> prevalentes</w:t>
      </w:r>
      <w:r w:rsidRPr="3D60B639">
        <w:rPr>
          <w:rFonts w:ascii="Humanst521 BT" w:eastAsia="Humanst521 BT" w:hAnsi="Humanst521 BT" w:cs="Humanst521 BT"/>
          <w:lang w:val="es"/>
        </w:rPr>
        <w:t xml:space="preserve"> de cáncer en UISALUD – 2025</w:t>
      </w:r>
      <w:bookmarkEnd w:id="111"/>
    </w:p>
    <w:tbl>
      <w:tblPr>
        <w:tblW w:w="9144" w:type="dxa"/>
        <w:tblCellMar>
          <w:left w:w="70" w:type="dxa"/>
          <w:right w:w="70" w:type="dxa"/>
        </w:tblCellMar>
        <w:tblLook w:val="04A0" w:firstRow="1" w:lastRow="0" w:firstColumn="1" w:lastColumn="0" w:noHBand="0" w:noVBand="1"/>
      </w:tblPr>
      <w:tblGrid>
        <w:gridCol w:w="5404"/>
        <w:gridCol w:w="1751"/>
        <w:gridCol w:w="1989"/>
      </w:tblGrid>
      <w:tr w:rsidR="00A82C23" w:rsidRPr="000712D6" w14:paraId="09EE153A" w14:textId="77777777" w:rsidTr="0017192E">
        <w:trPr>
          <w:trHeight w:val="189"/>
        </w:trPr>
        <w:tc>
          <w:tcPr>
            <w:tcW w:w="5404" w:type="dxa"/>
            <w:tcBorders>
              <w:top w:val="single" w:sz="8" w:space="0" w:color="67B93E"/>
              <w:left w:val="single" w:sz="8" w:space="0" w:color="67B93E"/>
              <w:bottom w:val="single" w:sz="8" w:space="0" w:color="67B93E"/>
              <w:right w:val="single" w:sz="8" w:space="0" w:color="67B93E"/>
            </w:tcBorders>
            <w:shd w:val="clear" w:color="auto" w:fill="C5E0B3"/>
            <w:vAlign w:val="center"/>
            <w:hideMark/>
          </w:tcPr>
          <w:p w14:paraId="29A40832" w14:textId="77777777" w:rsidR="00A82C23" w:rsidRPr="000712D6" w:rsidRDefault="00A82C23" w:rsidP="00A57280">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Diagnóstico</w:t>
            </w:r>
          </w:p>
        </w:tc>
        <w:tc>
          <w:tcPr>
            <w:tcW w:w="1751" w:type="dxa"/>
            <w:tcBorders>
              <w:top w:val="single" w:sz="8" w:space="0" w:color="67B93E"/>
              <w:left w:val="nil"/>
              <w:bottom w:val="single" w:sz="8" w:space="0" w:color="67B93E"/>
              <w:right w:val="single" w:sz="8" w:space="0" w:color="67B93E"/>
            </w:tcBorders>
            <w:shd w:val="clear" w:color="auto" w:fill="C5E0B3"/>
            <w:vAlign w:val="center"/>
            <w:hideMark/>
          </w:tcPr>
          <w:p w14:paraId="14DB2435" w14:textId="77777777" w:rsidR="00A82C23" w:rsidRPr="000712D6" w:rsidRDefault="00A82C23" w:rsidP="00A57280">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N°</w:t>
            </w:r>
          </w:p>
        </w:tc>
        <w:tc>
          <w:tcPr>
            <w:tcW w:w="1989" w:type="dxa"/>
            <w:tcBorders>
              <w:top w:val="single" w:sz="8" w:space="0" w:color="67B93E"/>
              <w:left w:val="nil"/>
              <w:bottom w:val="single" w:sz="8" w:space="0" w:color="67B93E"/>
              <w:right w:val="single" w:sz="8" w:space="0" w:color="67B93E"/>
            </w:tcBorders>
            <w:shd w:val="clear" w:color="auto" w:fill="C5E0B3"/>
            <w:vAlign w:val="center"/>
            <w:hideMark/>
          </w:tcPr>
          <w:p w14:paraId="3608C804" w14:textId="77777777" w:rsidR="00A82C23" w:rsidRPr="000712D6" w:rsidRDefault="00A82C23" w:rsidP="00A57280">
            <w:pPr>
              <w:autoSpaceDE/>
              <w:autoSpaceDN/>
              <w:jc w:val="center"/>
              <w:rPr>
                <w:rFonts w:ascii="Humanst521 BT" w:hAnsi="Humanst521 BT" w:cs="Arial"/>
                <w:b/>
                <w:bCs/>
                <w:color w:val="000000"/>
                <w:sz w:val="20"/>
              </w:rPr>
            </w:pPr>
            <w:r w:rsidRPr="000712D6">
              <w:rPr>
                <w:rFonts w:ascii="Humanst521 BT" w:hAnsi="Humanst521 BT" w:cs="Arial"/>
                <w:b/>
                <w:bCs/>
                <w:color w:val="000000"/>
                <w:sz w:val="20"/>
              </w:rPr>
              <w:t>%</w:t>
            </w:r>
          </w:p>
        </w:tc>
      </w:tr>
      <w:tr w:rsidR="00A82C23" w:rsidRPr="000712D6" w14:paraId="06AF9F0B" w14:textId="77777777" w:rsidTr="0017192E">
        <w:trPr>
          <w:trHeight w:val="508"/>
        </w:trPr>
        <w:tc>
          <w:tcPr>
            <w:tcW w:w="5404" w:type="dxa"/>
            <w:tcBorders>
              <w:top w:val="nil"/>
              <w:left w:val="single" w:sz="8" w:space="0" w:color="67B93E"/>
              <w:bottom w:val="single" w:sz="8" w:space="0" w:color="67B93E"/>
              <w:right w:val="single" w:sz="8" w:space="0" w:color="67B93E"/>
            </w:tcBorders>
            <w:shd w:val="clear" w:color="auto" w:fill="FFFFFF" w:themeFill="background1"/>
            <w:vAlign w:val="center"/>
            <w:hideMark/>
          </w:tcPr>
          <w:p w14:paraId="0DB10866"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Tumor maligno de la próstata</w:t>
            </w:r>
          </w:p>
        </w:tc>
        <w:tc>
          <w:tcPr>
            <w:tcW w:w="1751" w:type="dxa"/>
            <w:tcBorders>
              <w:top w:val="nil"/>
              <w:left w:val="nil"/>
              <w:bottom w:val="single" w:sz="8" w:space="0" w:color="67B93E"/>
              <w:right w:val="single" w:sz="8" w:space="0" w:color="67B93E"/>
            </w:tcBorders>
            <w:shd w:val="clear" w:color="auto" w:fill="FFFFFF" w:themeFill="background1"/>
            <w:vAlign w:val="center"/>
            <w:hideMark/>
          </w:tcPr>
          <w:p w14:paraId="5B9BD89E"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34</w:t>
            </w:r>
          </w:p>
        </w:tc>
        <w:tc>
          <w:tcPr>
            <w:tcW w:w="1989" w:type="dxa"/>
            <w:tcBorders>
              <w:top w:val="nil"/>
              <w:left w:val="nil"/>
              <w:bottom w:val="single" w:sz="8" w:space="0" w:color="67B93E"/>
              <w:right w:val="single" w:sz="8" w:space="0" w:color="67B93E"/>
            </w:tcBorders>
            <w:shd w:val="clear" w:color="auto" w:fill="FFFFFF" w:themeFill="background1"/>
            <w:vAlign w:val="center"/>
            <w:hideMark/>
          </w:tcPr>
          <w:p w14:paraId="04D1FBA5"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22,52%</w:t>
            </w:r>
          </w:p>
        </w:tc>
      </w:tr>
      <w:tr w:rsidR="00A82C23" w:rsidRPr="000712D6" w14:paraId="707F80F7" w14:textId="77777777" w:rsidTr="0017192E">
        <w:trPr>
          <w:trHeight w:val="354"/>
        </w:trPr>
        <w:tc>
          <w:tcPr>
            <w:tcW w:w="5404" w:type="dxa"/>
            <w:tcBorders>
              <w:top w:val="nil"/>
              <w:left w:val="single" w:sz="8" w:space="0" w:color="67B93E"/>
              <w:bottom w:val="single" w:sz="8" w:space="0" w:color="67B93E"/>
              <w:right w:val="single" w:sz="8" w:space="0" w:color="67B93E"/>
            </w:tcBorders>
            <w:shd w:val="clear" w:color="auto" w:fill="F2F2F2" w:themeFill="background1" w:themeFillShade="F2"/>
            <w:vAlign w:val="center"/>
            <w:hideMark/>
          </w:tcPr>
          <w:p w14:paraId="1A752205"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Tumor maligno de la mama de la mujer</w:t>
            </w:r>
          </w:p>
        </w:tc>
        <w:tc>
          <w:tcPr>
            <w:tcW w:w="1751" w:type="dxa"/>
            <w:tcBorders>
              <w:top w:val="nil"/>
              <w:left w:val="nil"/>
              <w:bottom w:val="single" w:sz="8" w:space="0" w:color="67B93E"/>
              <w:right w:val="single" w:sz="8" w:space="0" w:color="67B93E"/>
            </w:tcBorders>
            <w:shd w:val="clear" w:color="auto" w:fill="F2F2F2" w:themeFill="background1" w:themeFillShade="F2"/>
            <w:vAlign w:val="center"/>
            <w:hideMark/>
          </w:tcPr>
          <w:p w14:paraId="1AA6D610"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32</w:t>
            </w:r>
          </w:p>
        </w:tc>
        <w:tc>
          <w:tcPr>
            <w:tcW w:w="1989" w:type="dxa"/>
            <w:tcBorders>
              <w:top w:val="nil"/>
              <w:left w:val="nil"/>
              <w:bottom w:val="single" w:sz="8" w:space="0" w:color="67B93E"/>
              <w:right w:val="single" w:sz="8" w:space="0" w:color="67B93E"/>
            </w:tcBorders>
            <w:shd w:val="clear" w:color="auto" w:fill="F2F2F2" w:themeFill="background1" w:themeFillShade="F2"/>
            <w:vAlign w:val="center"/>
            <w:hideMark/>
          </w:tcPr>
          <w:p w14:paraId="0D6ED8CA"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21,19%</w:t>
            </w:r>
          </w:p>
        </w:tc>
      </w:tr>
      <w:tr w:rsidR="00A82C23" w:rsidRPr="000712D6" w14:paraId="67A34088" w14:textId="77777777" w:rsidTr="0017192E">
        <w:trPr>
          <w:trHeight w:val="534"/>
        </w:trPr>
        <w:tc>
          <w:tcPr>
            <w:tcW w:w="5404" w:type="dxa"/>
            <w:tcBorders>
              <w:top w:val="nil"/>
              <w:left w:val="single" w:sz="8" w:space="0" w:color="67B93E"/>
              <w:bottom w:val="single" w:sz="8" w:space="0" w:color="67B93E"/>
              <w:right w:val="single" w:sz="8" w:space="0" w:color="67B93E"/>
            </w:tcBorders>
            <w:shd w:val="clear" w:color="auto" w:fill="FFFFFF" w:themeFill="background1"/>
            <w:vAlign w:val="center"/>
            <w:hideMark/>
          </w:tcPr>
          <w:p w14:paraId="66837DC9"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Tumor maligno del colon, de la unión rectosigmoidea, recto y ano</w:t>
            </w:r>
          </w:p>
        </w:tc>
        <w:tc>
          <w:tcPr>
            <w:tcW w:w="1751" w:type="dxa"/>
            <w:tcBorders>
              <w:top w:val="nil"/>
              <w:left w:val="nil"/>
              <w:bottom w:val="single" w:sz="8" w:space="0" w:color="67B93E"/>
              <w:right w:val="single" w:sz="8" w:space="0" w:color="67B93E"/>
            </w:tcBorders>
            <w:shd w:val="clear" w:color="auto" w:fill="FFFFFF" w:themeFill="background1"/>
            <w:vAlign w:val="center"/>
            <w:hideMark/>
          </w:tcPr>
          <w:p w14:paraId="5D7D842D"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14</w:t>
            </w:r>
          </w:p>
        </w:tc>
        <w:tc>
          <w:tcPr>
            <w:tcW w:w="1989" w:type="dxa"/>
            <w:tcBorders>
              <w:top w:val="nil"/>
              <w:left w:val="nil"/>
              <w:bottom w:val="single" w:sz="8" w:space="0" w:color="67B93E"/>
              <w:right w:val="single" w:sz="8" w:space="0" w:color="67B93E"/>
            </w:tcBorders>
            <w:shd w:val="clear" w:color="auto" w:fill="FFFFFF" w:themeFill="background1"/>
            <w:vAlign w:val="center"/>
            <w:hideMark/>
          </w:tcPr>
          <w:p w14:paraId="33448B5D"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9,27%</w:t>
            </w:r>
          </w:p>
        </w:tc>
      </w:tr>
      <w:tr w:rsidR="00A82C23" w:rsidRPr="000712D6" w14:paraId="0702FD59" w14:textId="77777777" w:rsidTr="0017192E">
        <w:trPr>
          <w:trHeight w:val="620"/>
        </w:trPr>
        <w:tc>
          <w:tcPr>
            <w:tcW w:w="5404" w:type="dxa"/>
            <w:tcBorders>
              <w:top w:val="nil"/>
              <w:left w:val="single" w:sz="8" w:space="0" w:color="67B93E"/>
              <w:bottom w:val="single" w:sz="8" w:space="0" w:color="67B93E"/>
              <w:right w:val="single" w:sz="8" w:space="0" w:color="67B93E"/>
            </w:tcBorders>
            <w:shd w:val="clear" w:color="auto" w:fill="F2F2F2" w:themeFill="background1" w:themeFillShade="F2"/>
            <w:vAlign w:val="center"/>
            <w:hideMark/>
          </w:tcPr>
          <w:p w14:paraId="7CEF81C3"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lastRenderedPageBreak/>
              <w:t xml:space="preserve">Tumor maligno del tiroides y de otras glándulas endocrinas </w:t>
            </w:r>
          </w:p>
        </w:tc>
        <w:tc>
          <w:tcPr>
            <w:tcW w:w="1751" w:type="dxa"/>
            <w:tcBorders>
              <w:top w:val="nil"/>
              <w:left w:val="nil"/>
              <w:bottom w:val="single" w:sz="8" w:space="0" w:color="67B93E"/>
              <w:right w:val="single" w:sz="8" w:space="0" w:color="67B93E"/>
            </w:tcBorders>
            <w:shd w:val="clear" w:color="auto" w:fill="F2F2F2" w:themeFill="background1" w:themeFillShade="F2"/>
            <w:vAlign w:val="center"/>
            <w:hideMark/>
          </w:tcPr>
          <w:p w14:paraId="0B520650"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10</w:t>
            </w:r>
          </w:p>
        </w:tc>
        <w:tc>
          <w:tcPr>
            <w:tcW w:w="1989" w:type="dxa"/>
            <w:tcBorders>
              <w:top w:val="nil"/>
              <w:left w:val="nil"/>
              <w:bottom w:val="single" w:sz="8" w:space="0" w:color="67B93E"/>
              <w:right w:val="single" w:sz="8" w:space="0" w:color="67B93E"/>
            </w:tcBorders>
            <w:shd w:val="clear" w:color="auto" w:fill="F2F2F2" w:themeFill="background1" w:themeFillShade="F2"/>
            <w:vAlign w:val="center"/>
            <w:hideMark/>
          </w:tcPr>
          <w:p w14:paraId="64C8D0E6"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6,62%</w:t>
            </w:r>
          </w:p>
        </w:tc>
      </w:tr>
      <w:tr w:rsidR="00A82C23" w:rsidRPr="000712D6" w14:paraId="01D7C1CB" w14:textId="77777777" w:rsidTr="0017192E">
        <w:trPr>
          <w:trHeight w:val="886"/>
        </w:trPr>
        <w:tc>
          <w:tcPr>
            <w:tcW w:w="5404" w:type="dxa"/>
            <w:tcBorders>
              <w:top w:val="nil"/>
              <w:left w:val="single" w:sz="8" w:space="0" w:color="67B93E"/>
              <w:bottom w:val="single" w:sz="8" w:space="0" w:color="67B93E"/>
              <w:right w:val="single" w:sz="8" w:space="0" w:color="67B93E"/>
            </w:tcBorders>
            <w:shd w:val="clear" w:color="auto" w:fill="FFFFFF" w:themeFill="background1"/>
            <w:vAlign w:val="center"/>
            <w:hideMark/>
          </w:tcPr>
          <w:p w14:paraId="18BDE121"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 xml:space="preserve">Tumores: in situ, benignos y de comportamiento incierto o desconocido y los no especificados </w:t>
            </w:r>
          </w:p>
        </w:tc>
        <w:tc>
          <w:tcPr>
            <w:tcW w:w="1751" w:type="dxa"/>
            <w:tcBorders>
              <w:top w:val="nil"/>
              <w:left w:val="nil"/>
              <w:bottom w:val="single" w:sz="8" w:space="0" w:color="67B93E"/>
              <w:right w:val="single" w:sz="8" w:space="0" w:color="67B93E"/>
            </w:tcBorders>
            <w:shd w:val="clear" w:color="auto" w:fill="FFFFFF" w:themeFill="background1"/>
            <w:vAlign w:val="center"/>
            <w:hideMark/>
          </w:tcPr>
          <w:p w14:paraId="47725F64"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9</w:t>
            </w:r>
          </w:p>
        </w:tc>
        <w:tc>
          <w:tcPr>
            <w:tcW w:w="1989" w:type="dxa"/>
            <w:tcBorders>
              <w:top w:val="nil"/>
              <w:left w:val="nil"/>
              <w:bottom w:val="single" w:sz="8" w:space="0" w:color="67B93E"/>
              <w:right w:val="single" w:sz="8" w:space="0" w:color="67B93E"/>
            </w:tcBorders>
            <w:shd w:val="clear" w:color="auto" w:fill="FFFFFF" w:themeFill="background1"/>
            <w:vAlign w:val="center"/>
            <w:hideMark/>
          </w:tcPr>
          <w:p w14:paraId="09C26635"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5,96%</w:t>
            </w:r>
          </w:p>
        </w:tc>
      </w:tr>
      <w:tr w:rsidR="00A82C23" w:rsidRPr="000712D6" w14:paraId="5EF207D4" w14:textId="77777777" w:rsidTr="0017192E">
        <w:trPr>
          <w:trHeight w:val="708"/>
        </w:trPr>
        <w:tc>
          <w:tcPr>
            <w:tcW w:w="5404" w:type="dxa"/>
            <w:tcBorders>
              <w:top w:val="nil"/>
              <w:left w:val="single" w:sz="8" w:space="0" w:color="67B93E"/>
              <w:bottom w:val="single" w:sz="8" w:space="0" w:color="67B93E"/>
              <w:right w:val="single" w:sz="8" w:space="0" w:color="67B93E"/>
            </w:tcBorders>
            <w:shd w:val="clear" w:color="auto" w:fill="F2F2F2" w:themeFill="background1" w:themeFillShade="F2"/>
            <w:vAlign w:val="center"/>
            <w:hideMark/>
          </w:tcPr>
          <w:p w14:paraId="4D32479C"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 xml:space="preserve">Todos los demás tumores malignos del tejido linfático, de los órganos hematopoyéticos y de tejidos afines </w:t>
            </w:r>
          </w:p>
        </w:tc>
        <w:tc>
          <w:tcPr>
            <w:tcW w:w="1751" w:type="dxa"/>
            <w:tcBorders>
              <w:top w:val="nil"/>
              <w:left w:val="nil"/>
              <w:bottom w:val="single" w:sz="8" w:space="0" w:color="67B93E"/>
              <w:right w:val="single" w:sz="8" w:space="0" w:color="67B93E"/>
            </w:tcBorders>
            <w:shd w:val="clear" w:color="auto" w:fill="F2F2F2" w:themeFill="background1" w:themeFillShade="F2"/>
            <w:vAlign w:val="center"/>
            <w:hideMark/>
          </w:tcPr>
          <w:p w14:paraId="1CF214BA"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9</w:t>
            </w:r>
          </w:p>
        </w:tc>
        <w:tc>
          <w:tcPr>
            <w:tcW w:w="1989" w:type="dxa"/>
            <w:tcBorders>
              <w:top w:val="nil"/>
              <w:left w:val="nil"/>
              <w:bottom w:val="single" w:sz="8" w:space="0" w:color="67B93E"/>
              <w:right w:val="single" w:sz="8" w:space="0" w:color="67B93E"/>
            </w:tcBorders>
            <w:shd w:val="clear" w:color="auto" w:fill="F2F2F2" w:themeFill="background1" w:themeFillShade="F2"/>
            <w:vAlign w:val="center"/>
            <w:hideMark/>
          </w:tcPr>
          <w:p w14:paraId="0E11E104"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5,96%</w:t>
            </w:r>
          </w:p>
        </w:tc>
      </w:tr>
      <w:tr w:rsidR="00A82C23" w:rsidRPr="000712D6" w14:paraId="51159DAB" w14:textId="77777777" w:rsidTr="0017192E">
        <w:trPr>
          <w:trHeight w:val="534"/>
        </w:trPr>
        <w:tc>
          <w:tcPr>
            <w:tcW w:w="5404" w:type="dxa"/>
            <w:tcBorders>
              <w:top w:val="nil"/>
              <w:left w:val="single" w:sz="8" w:space="0" w:color="67B93E"/>
              <w:bottom w:val="single" w:sz="8" w:space="0" w:color="67B93E"/>
              <w:right w:val="single" w:sz="8" w:space="0" w:color="67B93E"/>
            </w:tcBorders>
            <w:shd w:val="clear" w:color="auto" w:fill="FFFFFF" w:themeFill="background1"/>
            <w:vAlign w:val="center"/>
            <w:hideMark/>
          </w:tcPr>
          <w:p w14:paraId="062344C2"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 xml:space="preserve">Tumores malignos del labio, de la cavidad bucal y de la faringe </w:t>
            </w:r>
          </w:p>
        </w:tc>
        <w:tc>
          <w:tcPr>
            <w:tcW w:w="1751" w:type="dxa"/>
            <w:tcBorders>
              <w:top w:val="nil"/>
              <w:left w:val="nil"/>
              <w:bottom w:val="single" w:sz="8" w:space="0" w:color="67B93E"/>
              <w:right w:val="single" w:sz="8" w:space="0" w:color="67B93E"/>
            </w:tcBorders>
            <w:shd w:val="clear" w:color="auto" w:fill="FFFFFF" w:themeFill="background1"/>
            <w:vAlign w:val="center"/>
            <w:hideMark/>
          </w:tcPr>
          <w:p w14:paraId="121179CE"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7</w:t>
            </w:r>
          </w:p>
        </w:tc>
        <w:tc>
          <w:tcPr>
            <w:tcW w:w="1989" w:type="dxa"/>
            <w:tcBorders>
              <w:top w:val="nil"/>
              <w:left w:val="nil"/>
              <w:bottom w:val="single" w:sz="8" w:space="0" w:color="67B93E"/>
              <w:right w:val="single" w:sz="8" w:space="0" w:color="67B93E"/>
            </w:tcBorders>
            <w:shd w:val="clear" w:color="auto" w:fill="FFFFFF" w:themeFill="background1"/>
            <w:vAlign w:val="center"/>
            <w:hideMark/>
          </w:tcPr>
          <w:p w14:paraId="437A9792"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4,64%</w:t>
            </w:r>
          </w:p>
        </w:tc>
      </w:tr>
      <w:tr w:rsidR="00A82C23" w:rsidRPr="000712D6" w14:paraId="7838B0C3" w14:textId="77777777" w:rsidTr="0017192E">
        <w:trPr>
          <w:trHeight w:val="534"/>
        </w:trPr>
        <w:tc>
          <w:tcPr>
            <w:tcW w:w="5404" w:type="dxa"/>
            <w:tcBorders>
              <w:top w:val="nil"/>
              <w:left w:val="single" w:sz="8" w:space="0" w:color="67B93E"/>
              <w:bottom w:val="single" w:sz="8" w:space="0" w:color="67B93E"/>
              <w:right w:val="single" w:sz="8" w:space="0" w:color="67B93E"/>
            </w:tcBorders>
            <w:shd w:val="clear" w:color="auto" w:fill="F2F2F2" w:themeFill="background1" w:themeFillShade="F2"/>
            <w:vAlign w:val="center"/>
            <w:hideMark/>
          </w:tcPr>
          <w:p w14:paraId="454E9CF6"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 xml:space="preserve">Tumor maligno de la vejiga urinaria </w:t>
            </w:r>
          </w:p>
        </w:tc>
        <w:tc>
          <w:tcPr>
            <w:tcW w:w="1751" w:type="dxa"/>
            <w:tcBorders>
              <w:top w:val="nil"/>
              <w:left w:val="nil"/>
              <w:bottom w:val="single" w:sz="8" w:space="0" w:color="67B93E"/>
              <w:right w:val="single" w:sz="8" w:space="0" w:color="67B93E"/>
            </w:tcBorders>
            <w:shd w:val="clear" w:color="auto" w:fill="F2F2F2" w:themeFill="background1" w:themeFillShade="F2"/>
            <w:vAlign w:val="center"/>
            <w:hideMark/>
          </w:tcPr>
          <w:p w14:paraId="73E85C29"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7</w:t>
            </w:r>
          </w:p>
        </w:tc>
        <w:tc>
          <w:tcPr>
            <w:tcW w:w="1989" w:type="dxa"/>
            <w:tcBorders>
              <w:top w:val="nil"/>
              <w:left w:val="nil"/>
              <w:bottom w:val="single" w:sz="8" w:space="0" w:color="67B93E"/>
              <w:right w:val="single" w:sz="8" w:space="0" w:color="67B93E"/>
            </w:tcBorders>
            <w:shd w:val="clear" w:color="auto" w:fill="F2F2F2" w:themeFill="background1" w:themeFillShade="F2"/>
            <w:vAlign w:val="center"/>
            <w:hideMark/>
          </w:tcPr>
          <w:p w14:paraId="34248615"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4,64%</w:t>
            </w:r>
          </w:p>
        </w:tc>
      </w:tr>
      <w:tr w:rsidR="00A82C23" w:rsidRPr="000712D6" w14:paraId="3F970DAF" w14:textId="77777777" w:rsidTr="0017192E">
        <w:trPr>
          <w:trHeight w:val="444"/>
        </w:trPr>
        <w:tc>
          <w:tcPr>
            <w:tcW w:w="5404" w:type="dxa"/>
            <w:tcBorders>
              <w:top w:val="nil"/>
              <w:left w:val="single" w:sz="8" w:space="0" w:color="67B93E"/>
              <w:bottom w:val="single" w:sz="8" w:space="0" w:color="67B93E"/>
              <w:right w:val="single" w:sz="8" w:space="0" w:color="67B93E"/>
            </w:tcBorders>
            <w:shd w:val="clear" w:color="auto" w:fill="FFFFFF" w:themeFill="background1"/>
            <w:vAlign w:val="center"/>
            <w:hideMark/>
          </w:tcPr>
          <w:p w14:paraId="31E22094"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 xml:space="preserve">Tumor maligno del ovario </w:t>
            </w:r>
          </w:p>
        </w:tc>
        <w:tc>
          <w:tcPr>
            <w:tcW w:w="1751" w:type="dxa"/>
            <w:tcBorders>
              <w:top w:val="nil"/>
              <w:left w:val="nil"/>
              <w:bottom w:val="single" w:sz="8" w:space="0" w:color="67B93E"/>
              <w:right w:val="single" w:sz="8" w:space="0" w:color="67B93E"/>
            </w:tcBorders>
            <w:shd w:val="clear" w:color="auto" w:fill="FFFFFF" w:themeFill="background1"/>
            <w:vAlign w:val="center"/>
            <w:hideMark/>
          </w:tcPr>
          <w:p w14:paraId="4B088B6E"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4</w:t>
            </w:r>
          </w:p>
        </w:tc>
        <w:tc>
          <w:tcPr>
            <w:tcW w:w="1989" w:type="dxa"/>
            <w:tcBorders>
              <w:top w:val="nil"/>
              <w:left w:val="nil"/>
              <w:bottom w:val="single" w:sz="8" w:space="0" w:color="67B93E"/>
              <w:right w:val="single" w:sz="8" w:space="0" w:color="67B93E"/>
            </w:tcBorders>
            <w:shd w:val="clear" w:color="auto" w:fill="FFFFFF" w:themeFill="background1"/>
            <w:vAlign w:val="center"/>
            <w:hideMark/>
          </w:tcPr>
          <w:p w14:paraId="21D9E79C"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2,65%</w:t>
            </w:r>
          </w:p>
        </w:tc>
      </w:tr>
      <w:tr w:rsidR="00A82C23" w:rsidRPr="000712D6" w14:paraId="58E61C4E" w14:textId="77777777" w:rsidTr="0017192E">
        <w:trPr>
          <w:trHeight w:val="267"/>
        </w:trPr>
        <w:tc>
          <w:tcPr>
            <w:tcW w:w="5404" w:type="dxa"/>
            <w:tcBorders>
              <w:top w:val="nil"/>
              <w:left w:val="single" w:sz="8" w:space="0" w:color="67B93E"/>
              <w:bottom w:val="single" w:sz="8" w:space="0" w:color="67B93E"/>
              <w:right w:val="single" w:sz="8" w:space="0" w:color="67B93E"/>
            </w:tcBorders>
            <w:shd w:val="clear" w:color="auto" w:fill="F2F2F2" w:themeFill="background1" w:themeFillShade="F2"/>
            <w:vAlign w:val="center"/>
            <w:hideMark/>
          </w:tcPr>
          <w:p w14:paraId="20F4CD64"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 xml:space="preserve">Tumor maligno del estómago </w:t>
            </w:r>
          </w:p>
        </w:tc>
        <w:tc>
          <w:tcPr>
            <w:tcW w:w="1751" w:type="dxa"/>
            <w:tcBorders>
              <w:top w:val="nil"/>
              <w:left w:val="nil"/>
              <w:bottom w:val="single" w:sz="8" w:space="0" w:color="67B93E"/>
              <w:right w:val="single" w:sz="8" w:space="0" w:color="67B93E"/>
            </w:tcBorders>
            <w:shd w:val="clear" w:color="auto" w:fill="F2F2F2" w:themeFill="background1" w:themeFillShade="F2"/>
            <w:vAlign w:val="center"/>
            <w:hideMark/>
          </w:tcPr>
          <w:p w14:paraId="6A782E7F"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4</w:t>
            </w:r>
          </w:p>
        </w:tc>
        <w:tc>
          <w:tcPr>
            <w:tcW w:w="1989" w:type="dxa"/>
            <w:tcBorders>
              <w:top w:val="nil"/>
              <w:left w:val="nil"/>
              <w:bottom w:val="single" w:sz="8" w:space="0" w:color="67B93E"/>
              <w:right w:val="single" w:sz="8" w:space="0" w:color="67B93E"/>
            </w:tcBorders>
            <w:shd w:val="clear" w:color="auto" w:fill="F2F2F2" w:themeFill="background1" w:themeFillShade="F2"/>
            <w:vAlign w:val="center"/>
            <w:hideMark/>
          </w:tcPr>
          <w:p w14:paraId="1F9CAEAE"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2,65%</w:t>
            </w:r>
          </w:p>
        </w:tc>
      </w:tr>
      <w:tr w:rsidR="00A82C23" w:rsidRPr="000712D6" w14:paraId="17E5701B" w14:textId="77777777" w:rsidTr="0017192E">
        <w:trPr>
          <w:trHeight w:val="96"/>
        </w:trPr>
        <w:tc>
          <w:tcPr>
            <w:tcW w:w="5404" w:type="dxa"/>
            <w:tcBorders>
              <w:top w:val="nil"/>
              <w:left w:val="single" w:sz="8" w:space="0" w:color="67B93E"/>
              <w:bottom w:val="single" w:sz="8" w:space="0" w:color="67B93E"/>
              <w:right w:val="single" w:sz="8" w:space="0" w:color="67B93E"/>
            </w:tcBorders>
            <w:shd w:val="clear" w:color="auto" w:fill="FFFFFF" w:themeFill="background1"/>
            <w:vAlign w:val="center"/>
            <w:hideMark/>
          </w:tcPr>
          <w:p w14:paraId="0ED8C70A" w14:textId="77777777" w:rsidR="00A82C23" w:rsidRDefault="00A82C23" w:rsidP="00A57280">
            <w:pPr>
              <w:rPr>
                <w:rFonts w:ascii="Humanst521 BT" w:hAnsi="Humanst521 BT" w:cs="Arial"/>
                <w:color w:val="000000" w:themeColor="text1"/>
                <w:sz w:val="20"/>
              </w:rPr>
            </w:pPr>
            <w:r w:rsidRPr="07074AB7">
              <w:rPr>
                <w:rFonts w:ascii="Humanst521 BT" w:hAnsi="Humanst521 BT" w:cs="Arial"/>
                <w:color w:val="000000" w:themeColor="text1"/>
                <w:sz w:val="20"/>
              </w:rPr>
              <w:t>Otras neoplasias</w:t>
            </w:r>
          </w:p>
        </w:tc>
        <w:tc>
          <w:tcPr>
            <w:tcW w:w="1751" w:type="dxa"/>
            <w:tcBorders>
              <w:top w:val="nil"/>
              <w:left w:val="nil"/>
              <w:bottom w:val="single" w:sz="8" w:space="0" w:color="67B93E"/>
              <w:right w:val="single" w:sz="8" w:space="0" w:color="67B93E"/>
            </w:tcBorders>
            <w:shd w:val="clear" w:color="auto" w:fill="FFFFFF" w:themeFill="background1"/>
            <w:vAlign w:val="center"/>
            <w:hideMark/>
          </w:tcPr>
          <w:p w14:paraId="2D5870EC"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21</w:t>
            </w:r>
          </w:p>
        </w:tc>
        <w:tc>
          <w:tcPr>
            <w:tcW w:w="1989" w:type="dxa"/>
            <w:tcBorders>
              <w:top w:val="nil"/>
              <w:left w:val="nil"/>
              <w:bottom w:val="single" w:sz="8" w:space="0" w:color="67B93E"/>
              <w:right w:val="single" w:sz="8" w:space="0" w:color="67B93E"/>
            </w:tcBorders>
            <w:shd w:val="clear" w:color="auto" w:fill="FFFFFF" w:themeFill="background1"/>
            <w:vAlign w:val="center"/>
            <w:hideMark/>
          </w:tcPr>
          <w:p w14:paraId="34F0E09B" w14:textId="77777777" w:rsidR="00A82C23" w:rsidRDefault="00A82C23" w:rsidP="00A57280">
            <w:pPr>
              <w:jc w:val="center"/>
              <w:rPr>
                <w:rFonts w:ascii="Humanst521 BT" w:hAnsi="Humanst521 BT" w:cs="Arial"/>
                <w:color w:val="000000" w:themeColor="text1"/>
                <w:sz w:val="18"/>
                <w:szCs w:val="18"/>
              </w:rPr>
            </w:pPr>
            <w:r w:rsidRPr="07074AB7">
              <w:rPr>
                <w:rFonts w:ascii="Humanst521 BT" w:hAnsi="Humanst521 BT" w:cs="Arial"/>
                <w:color w:val="000000" w:themeColor="text1"/>
                <w:sz w:val="18"/>
                <w:szCs w:val="18"/>
              </w:rPr>
              <w:t>13,91%</w:t>
            </w:r>
          </w:p>
        </w:tc>
      </w:tr>
      <w:tr w:rsidR="00A82C23" w:rsidRPr="000712D6" w14:paraId="3635FDCC" w14:textId="77777777" w:rsidTr="0017192E">
        <w:trPr>
          <w:trHeight w:val="96"/>
        </w:trPr>
        <w:tc>
          <w:tcPr>
            <w:tcW w:w="5404" w:type="dxa"/>
            <w:tcBorders>
              <w:top w:val="nil"/>
              <w:left w:val="single" w:sz="8" w:space="0" w:color="67B93E"/>
              <w:bottom w:val="single" w:sz="8" w:space="0" w:color="67B93E"/>
              <w:right w:val="single" w:sz="8" w:space="0" w:color="67B93E"/>
            </w:tcBorders>
            <w:shd w:val="clear" w:color="auto" w:fill="C5E0B3"/>
            <w:vAlign w:val="center"/>
            <w:hideMark/>
          </w:tcPr>
          <w:p w14:paraId="580A6E75" w14:textId="77777777" w:rsidR="00A82C23" w:rsidRPr="000712D6" w:rsidRDefault="00A82C23" w:rsidP="00A57280">
            <w:pPr>
              <w:autoSpaceDE/>
              <w:autoSpaceDN/>
              <w:rPr>
                <w:rFonts w:ascii="Humanst521 BT" w:hAnsi="Humanst521 BT" w:cs="Arial"/>
                <w:b/>
                <w:bCs/>
                <w:color w:val="000000"/>
                <w:sz w:val="20"/>
              </w:rPr>
            </w:pPr>
            <w:r w:rsidRPr="07074AB7">
              <w:rPr>
                <w:rFonts w:ascii="Humanst521 BT" w:hAnsi="Humanst521 BT" w:cs="Arial"/>
                <w:b/>
                <w:bCs/>
                <w:color w:val="000000" w:themeColor="text1"/>
                <w:sz w:val="20"/>
              </w:rPr>
              <w:t>Total</w:t>
            </w:r>
          </w:p>
        </w:tc>
        <w:tc>
          <w:tcPr>
            <w:tcW w:w="1751" w:type="dxa"/>
            <w:tcBorders>
              <w:top w:val="nil"/>
              <w:left w:val="nil"/>
              <w:bottom w:val="single" w:sz="8" w:space="0" w:color="67B93E"/>
              <w:right w:val="single" w:sz="8" w:space="0" w:color="67B93E"/>
            </w:tcBorders>
            <w:shd w:val="clear" w:color="auto" w:fill="C5E0B3"/>
            <w:vAlign w:val="center"/>
            <w:hideMark/>
          </w:tcPr>
          <w:p w14:paraId="233C769E" w14:textId="77777777" w:rsidR="00A82C23" w:rsidRDefault="00A82C23" w:rsidP="00A57280">
            <w:pPr>
              <w:jc w:val="center"/>
              <w:rPr>
                <w:rFonts w:ascii="Humanst521 BT" w:hAnsi="Humanst521 BT" w:cs="Arial"/>
                <w:b/>
                <w:bCs/>
                <w:color w:val="000000" w:themeColor="text1"/>
                <w:sz w:val="18"/>
                <w:szCs w:val="18"/>
              </w:rPr>
            </w:pPr>
            <w:r w:rsidRPr="07074AB7">
              <w:rPr>
                <w:rFonts w:ascii="Humanst521 BT" w:hAnsi="Humanst521 BT" w:cs="Arial"/>
                <w:b/>
                <w:bCs/>
                <w:color w:val="000000" w:themeColor="text1"/>
                <w:sz w:val="18"/>
                <w:szCs w:val="18"/>
              </w:rPr>
              <w:t>151</w:t>
            </w:r>
          </w:p>
        </w:tc>
        <w:tc>
          <w:tcPr>
            <w:tcW w:w="1989" w:type="dxa"/>
            <w:tcBorders>
              <w:top w:val="nil"/>
              <w:left w:val="nil"/>
              <w:bottom w:val="single" w:sz="8" w:space="0" w:color="67B93E"/>
              <w:right w:val="single" w:sz="8" w:space="0" w:color="67B93E"/>
            </w:tcBorders>
            <w:shd w:val="clear" w:color="auto" w:fill="C5E0B3"/>
            <w:vAlign w:val="center"/>
            <w:hideMark/>
          </w:tcPr>
          <w:p w14:paraId="619F4564" w14:textId="77777777" w:rsidR="00A82C23" w:rsidRDefault="00A82C23" w:rsidP="00A57280">
            <w:pPr>
              <w:jc w:val="center"/>
              <w:rPr>
                <w:rFonts w:ascii="Humanst521 BT" w:hAnsi="Humanst521 BT" w:cs="Arial"/>
                <w:b/>
                <w:bCs/>
                <w:color w:val="000000" w:themeColor="text1"/>
                <w:sz w:val="18"/>
                <w:szCs w:val="18"/>
              </w:rPr>
            </w:pPr>
            <w:r w:rsidRPr="07074AB7">
              <w:rPr>
                <w:rFonts w:ascii="Humanst521 BT" w:hAnsi="Humanst521 BT" w:cs="Arial"/>
                <w:b/>
                <w:bCs/>
                <w:color w:val="000000" w:themeColor="text1"/>
                <w:sz w:val="18"/>
                <w:szCs w:val="18"/>
              </w:rPr>
              <w:t>100%</w:t>
            </w:r>
          </w:p>
        </w:tc>
      </w:tr>
    </w:tbl>
    <w:p w14:paraId="5056473C" w14:textId="77777777" w:rsidR="00A82C23" w:rsidRPr="000712D6" w:rsidRDefault="00A82C23" w:rsidP="00A82C23">
      <w:pPr>
        <w:spacing w:after="160" w:line="257" w:lineRule="auto"/>
        <w:rPr>
          <w:rFonts w:ascii="Humanst521 BT" w:hAnsi="Humanst521 BT"/>
        </w:rPr>
      </w:pPr>
      <w:r w:rsidRPr="3D60B639">
        <w:rPr>
          <w:rFonts w:ascii="Humanst521 BT" w:eastAsia="Humanst521 BT" w:hAnsi="Humanst521 BT" w:cs="Humanst521 BT"/>
          <w:lang w:val="es"/>
        </w:rPr>
        <w:t xml:space="preserve"> Corte: Base de datos Enfermería 1-UISALUD</w:t>
      </w:r>
    </w:p>
    <w:p w14:paraId="18F7B79E" w14:textId="77777777" w:rsidR="00A82C23" w:rsidRPr="000712D6" w:rsidRDefault="00A82C23" w:rsidP="00A82C23">
      <w:pPr>
        <w:autoSpaceDE/>
        <w:autoSpaceDN/>
        <w:spacing w:before="100" w:beforeAutospacing="1" w:after="100" w:afterAutospacing="1"/>
        <w:rPr>
          <w:rFonts w:ascii="Humanst521 BT" w:hAnsi="Humanst521 BT" w:cstheme="minorBidi"/>
        </w:rPr>
      </w:pPr>
      <w:r w:rsidRPr="000712D6">
        <w:rPr>
          <w:rFonts w:ascii="Humanst521 BT" w:hAnsi="Humanst521 BT" w:cstheme="minorBidi"/>
        </w:rPr>
        <w:t>Los diagnósticos más frecuentes fueron:</w:t>
      </w:r>
    </w:p>
    <w:p w14:paraId="724BF4AC" w14:textId="77777777" w:rsidR="00A82C23" w:rsidRPr="000712D6" w:rsidRDefault="00A82C23" w:rsidP="00B6007F">
      <w:pPr>
        <w:widowControl/>
        <w:numPr>
          <w:ilvl w:val="0"/>
          <w:numId w:val="11"/>
        </w:numPr>
        <w:autoSpaceDE/>
        <w:autoSpaceDN/>
        <w:spacing w:before="100" w:beforeAutospacing="1" w:after="100" w:afterAutospacing="1"/>
        <w:rPr>
          <w:rFonts w:ascii="Humanst521 BT" w:hAnsi="Humanst521 BT" w:cstheme="minorBidi"/>
        </w:rPr>
      </w:pPr>
      <w:r w:rsidRPr="07074AB7">
        <w:rPr>
          <w:rFonts w:ascii="Humanst521 BT" w:hAnsi="Humanst521 BT" w:cstheme="minorBidi"/>
        </w:rPr>
        <w:t>Tumor maligno de próstata: 34 casos (22,5%), con edad promedio de 76,0 años.</w:t>
      </w:r>
    </w:p>
    <w:p w14:paraId="66F6673D" w14:textId="77777777" w:rsidR="00A82C23" w:rsidRPr="000712D6" w:rsidRDefault="00A82C23" w:rsidP="00B6007F">
      <w:pPr>
        <w:widowControl/>
        <w:numPr>
          <w:ilvl w:val="0"/>
          <w:numId w:val="11"/>
        </w:numPr>
        <w:autoSpaceDE/>
        <w:autoSpaceDN/>
        <w:spacing w:before="100" w:beforeAutospacing="1" w:after="100" w:afterAutospacing="1"/>
        <w:rPr>
          <w:rFonts w:ascii="Humanst521 BT" w:hAnsi="Humanst521 BT" w:cstheme="minorBidi"/>
        </w:rPr>
      </w:pPr>
      <w:r w:rsidRPr="07074AB7">
        <w:rPr>
          <w:rFonts w:ascii="Humanst521 BT" w:hAnsi="Humanst521 BT" w:cstheme="minorBidi"/>
        </w:rPr>
        <w:t>Tumor maligno de mama en mujeres: 32 casos (21,1%), edad promedio 70,2 años.</w:t>
      </w:r>
    </w:p>
    <w:p w14:paraId="15E379A3" w14:textId="77777777" w:rsidR="00A82C23" w:rsidRPr="000712D6" w:rsidRDefault="00A82C23" w:rsidP="00B6007F">
      <w:pPr>
        <w:widowControl/>
        <w:numPr>
          <w:ilvl w:val="0"/>
          <w:numId w:val="11"/>
        </w:numPr>
        <w:autoSpaceDE/>
        <w:autoSpaceDN/>
        <w:spacing w:before="100" w:beforeAutospacing="1" w:after="100" w:afterAutospacing="1"/>
        <w:rPr>
          <w:rFonts w:ascii="Humanst521 BT" w:hAnsi="Humanst521 BT" w:cstheme="minorBidi"/>
        </w:rPr>
      </w:pPr>
      <w:r w:rsidRPr="07074AB7">
        <w:rPr>
          <w:rFonts w:ascii="Humanst521 BT" w:hAnsi="Humanst521 BT" w:cstheme="minorBidi"/>
        </w:rPr>
        <w:t>Tumor maligno de colon, de la unión rectosigmoidea, recto y ano: 14 casos (9,27%), edad promedio 70,1 años.</w:t>
      </w:r>
    </w:p>
    <w:p w14:paraId="52BE19F6" w14:textId="77777777" w:rsidR="00A82C23" w:rsidRPr="000712D6" w:rsidRDefault="00A82C23" w:rsidP="00A82C23">
      <w:pPr>
        <w:autoSpaceDE/>
        <w:autoSpaceDN/>
        <w:spacing w:before="100" w:beforeAutospacing="1" w:after="100" w:afterAutospacing="1"/>
        <w:rPr>
          <w:rFonts w:ascii="Humanst521 BT" w:hAnsi="Humanst521 BT" w:cstheme="minorBidi"/>
        </w:rPr>
      </w:pPr>
      <w:r w:rsidRPr="07074AB7">
        <w:rPr>
          <w:rFonts w:ascii="Humanst521 BT" w:hAnsi="Humanst521 BT" w:cstheme="minorBidi"/>
        </w:rPr>
        <w:t>Otros diagnósticos relevantes incluyen tumores malignos de tiroides, así como los tumores in situ, benignos y de comportamiento incierto o desconocido y los no especificados.</w:t>
      </w:r>
    </w:p>
    <w:p w14:paraId="61F6D199" w14:textId="77777777" w:rsidR="00A82C23" w:rsidRPr="000712D6" w:rsidRDefault="00A82C23" w:rsidP="00A82C23">
      <w:pPr>
        <w:autoSpaceDE/>
        <w:autoSpaceDN/>
        <w:spacing w:before="100" w:beforeAutospacing="1" w:after="100" w:afterAutospacing="1"/>
        <w:rPr>
          <w:rFonts w:ascii="Humanst521 BT" w:hAnsi="Humanst521 BT" w:cstheme="minorBidi"/>
        </w:rPr>
      </w:pPr>
      <w:r w:rsidRPr="000712D6">
        <w:rPr>
          <w:rFonts w:ascii="Humanst521 BT" w:hAnsi="Humanst521 BT" w:cstheme="minorBidi"/>
        </w:rPr>
        <w:t>Estos hallazgos consolidan al cáncer como un evento trazador prioritario para la gestión del riesgo en UISALUD, sustentando la implementación de:</w:t>
      </w:r>
    </w:p>
    <w:p w14:paraId="54D3D59D" w14:textId="77777777" w:rsidR="00A82C23" w:rsidRPr="000712D6" w:rsidRDefault="00A82C23" w:rsidP="00B6007F">
      <w:pPr>
        <w:widowControl/>
        <w:numPr>
          <w:ilvl w:val="0"/>
          <w:numId w:val="12"/>
        </w:numPr>
        <w:autoSpaceDE/>
        <w:autoSpaceDN/>
        <w:spacing w:before="100" w:beforeAutospacing="1" w:after="100" w:afterAutospacing="1"/>
        <w:rPr>
          <w:rFonts w:ascii="Humanst521 BT" w:hAnsi="Humanst521 BT" w:cstheme="minorBidi"/>
        </w:rPr>
      </w:pPr>
      <w:r w:rsidRPr="000712D6">
        <w:rPr>
          <w:rFonts w:ascii="Humanst521 BT" w:hAnsi="Humanst521 BT" w:cstheme="minorBidi"/>
        </w:rPr>
        <w:t>Estrategias de detección temprana y tamizaje preventivo, especialmente para próstata y mama.</w:t>
      </w:r>
    </w:p>
    <w:p w14:paraId="5DB6CB9D" w14:textId="77777777" w:rsidR="00A82C23" w:rsidRPr="000712D6" w:rsidRDefault="00A82C23" w:rsidP="00B6007F">
      <w:pPr>
        <w:widowControl/>
        <w:numPr>
          <w:ilvl w:val="0"/>
          <w:numId w:val="12"/>
        </w:numPr>
        <w:autoSpaceDE/>
        <w:autoSpaceDN/>
        <w:spacing w:before="100" w:beforeAutospacing="1" w:after="100" w:afterAutospacing="1"/>
        <w:rPr>
          <w:rFonts w:ascii="Humanst521 BT" w:hAnsi="Humanst521 BT" w:cstheme="minorBidi"/>
        </w:rPr>
      </w:pPr>
      <w:r w:rsidRPr="000712D6">
        <w:rPr>
          <w:rFonts w:ascii="Humanst521 BT" w:hAnsi="Humanst521 BT" w:cstheme="minorBidi"/>
        </w:rPr>
        <w:t>Seguimiento clínico individualizado de los casos identificados.</w:t>
      </w:r>
    </w:p>
    <w:p w14:paraId="48AE2F3C" w14:textId="77777777" w:rsidR="00A82C23" w:rsidRPr="000712D6" w:rsidRDefault="00A82C23" w:rsidP="00B6007F">
      <w:pPr>
        <w:widowControl/>
        <w:numPr>
          <w:ilvl w:val="0"/>
          <w:numId w:val="12"/>
        </w:numPr>
        <w:autoSpaceDE/>
        <w:autoSpaceDN/>
        <w:spacing w:before="100" w:beforeAutospacing="1" w:after="100" w:afterAutospacing="1"/>
        <w:rPr>
          <w:rFonts w:ascii="Humanst521 BT" w:hAnsi="Humanst521 BT" w:cstheme="minorBidi"/>
        </w:rPr>
      </w:pPr>
      <w:r w:rsidRPr="000712D6">
        <w:rPr>
          <w:rFonts w:ascii="Humanst521 BT" w:hAnsi="Humanst521 BT" w:cstheme="minorBidi"/>
        </w:rPr>
        <w:t>Vigilancia epidemiológica activa, articulada con las Rutas Integrales de Atención en Salud y los programas institucionales de promoción y prevención.</w:t>
      </w:r>
    </w:p>
    <w:p w14:paraId="5D56EB89" w14:textId="77777777" w:rsidR="00A82C23" w:rsidRDefault="00A82C23" w:rsidP="00A82C23">
      <w:pPr>
        <w:autoSpaceDE/>
        <w:autoSpaceDN/>
        <w:spacing w:before="100" w:beforeAutospacing="1" w:after="100" w:afterAutospacing="1"/>
        <w:rPr>
          <w:rFonts w:ascii="Humanst521 BT" w:hAnsi="Humanst521 BT" w:cstheme="minorBidi"/>
        </w:rPr>
      </w:pPr>
      <w:r w:rsidRPr="000712D6">
        <w:rPr>
          <w:rFonts w:ascii="Humanst521 BT" w:hAnsi="Humanst521 BT" w:cstheme="minorBidi"/>
        </w:rPr>
        <w:t>En conjunto, los resultados destacan la necesidad de mantener la vigilancia constante y fortalecer las acciones de prevención en la población afiliada, con énfasis en los grupos de mayor riesgo.</w:t>
      </w:r>
    </w:p>
    <w:p w14:paraId="660196C6" w14:textId="77777777" w:rsidR="001602B7" w:rsidRDefault="001602B7" w:rsidP="00A82C23">
      <w:pPr>
        <w:autoSpaceDE/>
        <w:autoSpaceDN/>
        <w:spacing w:before="100" w:beforeAutospacing="1" w:after="100" w:afterAutospacing="1"/>
        <w:rPr>
          <w:rFonts w:ascii="Humanst521 BT" w:hAnsi="Humanst521 BT" w:cstheme="minorBidi"/>
        </w:rPr>
      </w:pPr>
    </w:p>
    <w:p w14:paraId="091C9340" w14:textId="77777777" w:rsidR="001602B7" w:rsidRPr="00842D4E" w:rsidRDefault="001602B7" w:rsidP="00842D4E">
      <w:pPr>
        <w:widowControl/>
        <w:autoSpaceDE/>
        <w:autoSpaceDN/>
        <w:spacing w:before="100" w:beforeAutospacing="1" w:after="100" w:afterAutospacing="1"/>
        <w:rPr>
          <w:rFonts w:ascii="Humanst521 BT" w:hAnsi="Humanst521 BT" w:cstheme="minorBidi"/>
        </w:rPr>
      </w:pPr>
      <w:r w:rsidRPr="00842D4E">
        <w:rPr>
          <w:rFonts w:ascii="Humanst521 BT" w:hAnsi="Humanst521 BT" w:cstheme="minorBidi"/>
        </w:rPr>
        <w:t>ANÁLISIS EPIDEMIOLÓGICO DE SUPERVIVENCIA POR TIPO DE CÁNCER (KM)</w:t>
      </w:r>
    </w:p>
    <w:p w14:paraId="3059058B" w14:textId="36874155" w:rsidR="001602B7" w:rsidRPr="00842D4E" w:rsidRDefault="00842D4E" w:rsidP="001602B7">
      <w:pPr>
        <w:pStyle w:val="NormalWeb"/>
        <w:rPr>
          <w:rFonts w:ascii="Humanst521 BT" w:eastAsia="Verdana" w:hAnsi="Humanst521 BT" w:cstheme="minorBidi"/>
          <w:sz w:val="22"/>
          <w:szCs w:val="22"/>
          <w:lang w:val="es-ES" w:eastAsia="en-US"/>
        </w:rPr>
      </w:pPr>
      <w:r w:rsidRPr="00842D4E">
        <w:rPr>
          <w:rFonts w:ascii="Humanst521 BT" w:eastAsia="Verdana" w:hAnsi="Humanst521 BT" w:cstheme="minorBidi"/>
          <w:sz w:val="22"/>
          <w:szCs w:val="22"/>
          <w:lang w:val="es-ES" w:eastAsia="en-US"/>
        </w:rPr>
        <w:lastRenderedPageBreak/>
        <w:t xml:space="preserve">A </w:t>
      </w:r>
      <w:r w:rsidR="00812DCF" w:rsidRPr="00842D4E">
        <w:rPr>
          <w:rFonts w:ascii="Humanst521 BT" w:eastAsia="Verdana" w:hAnsi="Humanst521 BT" w:cstheme="minorBidi"/>
          <w:sz w:val="22"/>
          <w:szCs w:val="22"/>
          <w:lang w:val="es-ES" w:eastAsia="en-US"/>
        </w:rPr>
        <w:t>continuación,</w:t>
      </w:r>
      <w:r w:rsidRPr="00842D4E">
        <w:rPr>
          <w:rFonts w:ascii="Humanst521 BT" w:eastAsia="Verdana" w:hAnsi="Humanst521 BT" w:cstheme="minorBidi"/>
          <w:sz w:val="22"/>
          <w:szCs w:val="22"/>
          <w:lang w:val="es-ES" w:eastAsia="en-US"/>
        </w:rPr>
        <w:t xml:space="preserve"> se presenta e</w:t>
      </w:r>
      <w:r w:rsidR="001602B7" w:rsidRPr="00842D4E">
        <w:rPr>
          <w:rFonts w:ascii="Humanst521 BT" w:eastAsia="Verdana" w:hAnsi="Humanst521 BT" w:cstheme="minorBidi"/>
          <w:sz w:val="22"/>
          <w:szCs w:val="22"/>
          <w:lang w:val="es-ES" w:eastAsia="en-US"/>
        </w:rPr>
        <w:t xml:space="preserve">l análisis corresponde a estimaciones de supervivencia mediante el método de </w:t>
      </w:r>
      <w:r w:rsidR="001602B7" w:rsidRPr="00812DCF">
        <w:rPr>
          <w:rFonts w:ascii="Humanst521 BT" w:eastAsia="Verdana" w:hAnsi="Humanst521 BT" w:cstheme="minorBidi"/>
          <w:sz w:val="22"/>
          <w:szCs w:val="22"/>
          <w:lang w:val="es-ES" w:eastAsia="en-US"/>
        </w:rPr>
        <w:t>Kaplan-Meier, estratificado por grupo diagnóstico (GRUPO: colon, mama, próstata y otros), con evaluación puntual en tiempos</w:t>
      </w:r>
      <w:r w:rsidR="001602B7" w:rsidRPr="00842D4E">
        <w:rPr>
          <w:rFonts w:ascii="Humanst521 BT" w:eastAsia="Verdana" w:hAnsi="Humanst521 BT" w:cstheme="minorBidi"/>
          <w:sz w:val="22"/>
          <w:szCs w:val="22"/>
          <w:lang w:val="es-ES" w:eastAsia="en-US"/>
        </w:rPr>
        <w:t xml:space="preserve"> específicos (1 y 5 años).</w:t>
      </w:r>
    </w:p>
    <w:p w14:paraId="709823D7" w14:textId="74BA6E5D" w:rsidR="00AC6740" w:rsidRPr="00413E37" w:rsidRDefault="004431F0" w:rsidP="00413E37">
      <w:pPr>
        <w:pStyle w:val="Descripcin"/>
        <w:spacing w:line="240" w:lineRule="auto"/>
        <w:rPr>
          <w:rFonts w:ascii="Humanst521 BT" w:eastAsia="Verdana" w:hAnsi="Humanst521 BT"/>
          <w:b w:val="0"/>
          <w:bCs w:val="0"/>
          <w:color w:val="auto"/>
          <w:sz w:val="22"/>
          <w:szCs w:val="22"/>
          <w:lang w:val="es-ES"/>
        </w:rPr>
      </w:pPr>
      <w:bookmarkStart w:id="112" w:name="_Toc161302632"/>
      <w:bookmarkStart w:id="113" w:name="_Toc161298298"/>
      <w:bookmarkStart w:id="114" w:name="_Toc231286765"/>
      <w:r w:rsidRPr="00C82E7B">
        <w:rPr>
          <w:rFonts w:ascii="Humanst521 BT" w:eastAsia="Verdana" w:hAnsi="Humanst521 BT" w:cs="Verdana"/>
          <w:b w:val="0"/>
          <w:bCs w:val="0"/>
          <w:color w:val="auto"/>
          <w:sz w:val="22"/>
          <w:szCs w:val="22"/>
          <w:lang w:val="es-ES"/>
        </w:rPr>
        <w:t xml:space="preserve">Figura  </w:t>
      </w:r>
      <w:r w:rsidRPr="00C82E7B">
        <w:rPr>
          <w:rFonts w:ascii="Humanst521 BT" w:eastAsia="Verdana" w:hAnsi="Humanst521 BT" w:cs="Verdana"/>
          <w:b w:val="0"/>
          <w:bCs w:val="0"/>
          <w:color w:val="auto"/>
          <w:sz w:val="22"/>
          <w:szCs w:val="22"/>
          <w:lang w:val="es-ES"/>
        </w:rPr>
        <w:fldChar w:fldCharType="begin"/>
      </w:r>
      <w:r w:rsidRPr="00C82E7B">
        <w:rPr>
          <w:rFonts w:ascii="Humanst521 BT" w:eastAsia="Verdana" w:hAnsi="Humanst521 BT" w:cs="Verdana"/>
          <w:b w:val="0"/>
          <w:bCs w:val="0"/>
          <w:color w:val="auto"/>
          <w:sz w:val="22"/>
          <w:szCs w:val="22"/>
          <w:lang w:val="es-ES"/>
        </w:rPr>
        <w:instrText xml:space="preserve"> SEQ Figura_ \* ARABIC </w:instrText>
      </w:r>
      <w:r w:rsidRPr="00C82E7B">
        <w:rPr>
          <w:rFonts w:ascii="Humanst521 BT" w:eastAsia="Verdana" w:hAnsi="Humanst521 BT" w:cs="Verdana"/>
          <w:b w:val="0"/>
          <w:bCs w:val="0"/>
          <w:color w:val="auto"/>
          <w:sz w:val="22"/>
          <w:szCs w:val="22"/>
          <w:lang w:val="es-ES"/>
        </w:rPr>
        <w:fldChar w:fldCharType="separate"/>
      </w:r>
      <w:r w:rsidR="00531B05">
        <w:rPr>
          <w:rFonts w:ascii="Humanst521 BT" w:eastAsia="Verdana" w:hAnsi="Humanst521 BT" w:cs="Verdana"/>
          <w:b w:val="0"/>
          <w:bCs w:val="0"/>
          <w:noProof/>
          <w:color w:val="auto"/>
          <w:sz w:val="22"/>
          <w:szCs w:val="22"/>
          <w:lang w:val="es-ES"/>
        </w:rPr>
        <w:t>3</w:t>
      </w:r>
      <w:r w:rsidRPr="00C82E7B">
        <w:rPr>
          <w:rFonts w:ascii="Humanst521 BT" w:eastAsia="Verdana" w:hAnsi="Humanst521 BT" w:cs="Verdana"/>
          <w:b w:val="0"/>
          <w:bCs w:val="0"/>
          <w:color w:val="auto"/>
          <w:sz w:val="22"/>
          <w:szCs w:val="22"/>
          <w:lang w:val="es-ES"/>
        </w:rPr>
        <w:fldChar w:fldCharType="end"/>
      </w:r>
      <w:r w:rsidRPr="00C82E7B">
        <w:rPr>
          <w:rFonts w:ascii="Humanst521 BT" w:eastAsia="Verdana" w:hAnsi="Humanst521 BT" w:cs="Verdana"/>
          <w:b w:val="0"/>
          <w:bCs w:val="0"/>
          <w:color w:val="auto"/>
          <w:sz w:val="22"/>
          <w:szCs w:val="22"/>
          <w:lang w:val="es-ES"/>
        </w:rPr>
        <w:t>.</w:t>
      </w:r>
      <w:bookmarkEnd w:id="112"/>
      <w:bookmarkEnd w:id="113"/>
      <w:r w:rsidR="00413E37" w:rsidRPr="00C82E7B">
        <w:rPr>
          <w:color w:val="auto"/>
        </w:rPr>
        <w:t xml:space="preserve"> </w:t>
      </w:r>
      <w:r w:rsidR="00413E37" w:rsidRPr="00C82E7B">
        <w:rPr>
          <w:rFonts w:ascii="Humanst521 BT" w:eastAsia="Verdana" w:hAnsi="Humanst521 BT"/>
          <w:b w:val="0"/>
          <w:bCs w:val="0"/>
          <w:color w:val="auto"/>
          <w:sz w:val="22"/>
          <w:szCs w:val="22"/>
          <w:lang w:val="es-ES"/>
        </w:rPr>
        <w:t xml:space="preserve">Curvas de </w:t>
      </w:r>
      <w:r w:rsidR="00413E37" w:rsidRPr="00413E37">
        <w:rPr>
          <w:rFonts w:ascii="Humanst521 BT" w:eastAsia="Verdana" w:hAnsi="Humanst521 BT"/>
          <w:b w:val="0"/>
          <w:bCs w:val="0"/>
          <w:color w:val="auto"/>
          <w:sz w:val="22"/>
          <w:szCs w:val="22"/>
          <w:lang w:val="es-ES"/>
        </w:rPr>
        <w:t>supervivencia por tipo de cáncer (Kaplan-Meier)</w:t>
      </w:r>
      <w:bookmarkEnd w:id="114"/>
    </w:p>
    <w:p w14:paraId="60DBFA01" w14:textId="3C2F977A" w:rsidR="00AC6740" w:rsidRPr="000712D6" w:rsidRDefault="00AC6740" w:rsidP="009A0645">
      <w:pPr>
        <w:autoSpaceDE/>
        <w:autoSpaceDN/>
        <w:spacing w:before="100" w:beforeAutospacing="1" w:after="100" w:afterAutospacing="1"/>
        <w:jc w:val="center"/>
        <w:rPr>
          <w:rFonts w:ascii="Humanst521 BT" w:hAnsi="Humanst521 BT" w:cstheme="minorBidi"/>
        </w:rPr>
      </w:pPr>
      <w:r w:rsidRPr="00AC6740">
        <w:rPr>
          <w:rFonts w:ascii="Humanst521 BT" w:hAnsi="Humanst521 BT" w:cstheme="minorBidi"/>
          <w:noProof/>
        </w:rPr>
        <w:drawing>
          <wp:inline distT="0" distB="0" distL="0" distR="0" wp14:anchorId="08D2E7BC" wp14:editId="398372E6">
            <wp:extent cx="5306365" cy="3067050"/>
            <wp:effectExtent l="0" t="0" r="889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08674" cy="3068385"/>
                    </a:xfrm>
                    <a:prstGeom prst="rect">
                      <a:avLst/>
                    </a:prstGeom>
                  </pic:spPr>
                </pic:pic>
              </a:graphicData>
            </a:graphic>
          </wp:inline>
        </w:drawing>
      </w:r>
    </w:p>
    <w:p w14:paraId="711BE36B" w14:textId="77777777" w:rsidR="00C82E7B" w:rsidRPr="00C82E7B" w:rsidRDefault="00C82E7B" w:rsidP="00C82E7B">
      <w:pPr>
        <w:rPr>
          <w:rFonts w:ascii="Humanst521 BT" w:hAnsi="Humanst521 BT"/>
        </w:rPr>
      </w:pPr>
      <w:r w:rsidRPr="00C82E7B">
        <w:rPr>
          <w:rFonts w:ascii="Humanst521 BT" w:hAnsi="Humanst521 BT"/>
        </w:rPr>
        <w:t>Fuente: UISALUD</w:t>
      </w:r>
    </w:p>
    <w:p w14:paraId="4ACB2EFA" w14:textId="01DABEBC" w:rsidR="00092CDF" w:rsidRDefault="00092CDF" w:rsidP="00093B44">
      <w:pPr>
        <w:rPr>
          <w:rFonts w:ascii="Humanst521 BT" w:hAnsi="Humanst521 BT"/>
        </w:rPr>
      </w:pPr>
    </w:p>
    <w:p w14:paraId="7F18AB10" w14:textId="77777777" w:rsidR="005F5425" w:rsidRDefault="005F5425" w:rsidP="00093B44">
      <w:pPr>
        <w:rPr>
          <w:rFonts w:ascii="Humanst521 BT" w:hAnsi="Humanst521 BT"/>
        </w:rPr>
      </w:pPr>
    </w:p>
    <w:p w14:paraId="1D5A6476" w14:textId="0382F1E9" w:rsidR="001B403D" w:rsidRPr="00C82E7B" w:rsidRDefault="004431F0" w:rsidP="00C82E7B">
      <w:pPr>
        <w:jc w:val="both"/>
        <w:rPr>
          <w:rFonts w:ascii="Humanst521 BT" w:hAnsi="Humanst521 BT" w:cstheme="minorBidi"/>
        </w:rPr>
      </w:pPr>
      <w:r w:rsidRPr="00C82E7B">
        <w:rPr>
          <w:rFonts w:ascii="Humanst521 BT" w:hAnsi="Humanst521 BT" w:cstheme="minorBidi"/>
        </w:rPr>
        <w:t>El análisis de supervivencia mediante el método de Kaplan-Meier evidenció diferencias en el comportamiento de la función de supervivencia entre los grupos de cáncer evaluados (colon, mama, próstata y otros). Se observó una mayor supervivencia acumulada en los grupos de mama y próstata, sin eventos registrados durante el periodo de seguimiento, mientras que el cáncer de colon presentó eventos tempranos con estabilización posterior de la curva. El grupo “otros” concentró la mayor carga de eventos y una disminución progresiva de la supervivencia a lo largo del tiempo, alcanzando una supervivencia del 74.8% a 5 unidades de tiempo. Estas diferencias fueron estadísticamente significativas según el test de log-</w:t>
      </w:r>
      <w:proofErr w:type="spellStart"/>
      <w:r w:rsidRPr="00C82E7B">
        <w:rPr>
          <w:rFonts w:ascii="Humanst521 BT" w:hAnsi="Humanst521 BT" w:cstheme="minorBidi"/>
        </w:rPr>
        <w:t>rank</w:t>
      </w:r>
      <w:proofErr w:type="spellEnd"/>
      <w:r w:rsidRPr="00C82E7B">
        <w:rPr>
          <w:rFonts w:ascii="Humanst521 BT" w:hAnsi="Humanst521 BT" w:cstheme="minorBidi"/>
        </w:rPr>
        <w:t xml:space="preserve"> (p = 0.00085), lo que indica heterogeneidad en las funciones de supervivencia entre los grupos y descarta la hipótesis de igualdad de riesgo en el tiempo.</w:t>
      </w:r>
    </w:p>
    <w:p w14:paraId="28785983" w14:textId="77777777" w:rsidR="00AC4427" w:rsidRPr="006C0E65" w:rsidRDefault="00AC4427" w:rsidP="00093B44">
      <w:pPr>
        <w:rPr>
          <w:rFonts w:ascii="Humanst521 BT" w:hAnsi="Humanst521 BT"/>
          <w:color w:val="FF0000"/>
        </w:rPr>
      </w:pPr>
    </w:p>
    <w:p w14:paraId="2C0EB5C2" w14:textId="77777777" w:rsidR="00AC4427" w:rsidRDefault="00AC4427" w:rsidP="00093B44">
      <w:pPr>
        <w:rPr>
          <w:rFonts w:ascii="Humanst521 BT" w:hAnsi="Humanst521 BT"/>
          <w:color w:val="FF0000"/>
        </w:rPr>
      </w:pPr>
    </w:p>
    <w:p w14:paraId="7C206B97" w14:textId="77777777" w:rsidR="00D05141" w:rsidRDefault="00D05141" w:rsidP="00093B44">
      <w:pPr>
        <w:rPr>
          <w:rFonts w:ascii="Humanst521 BT" w:hAnsi="Humanst521 BT"/>
          <w:color w:val="FF0000"/>
        </w:rPr>
      </w:pPr>
    </w:p>
    <w:p w14:paraId="59B245D2" w14:textId="77777777" w:rsidR="00D05141" w:rsidRDefault="00D05141" w:rsidP="00093B44">
      <w:pPr>
        <w:rPr>
          <w:rFonts w:ascii="Humanst521 BT" w:hAnsi="Humanst521 BT"/>
          <w:color w:val="FF0000"/>
        </w:rPr>
      </w:pPr>
    </w:p>
    <w:p w14:paraId="1297224B" w14:textId="77777777" w:rsidR="00D05141" w:rsidRPr="006C0E65" w:rsidRDefault="00D05141" w:rsidP="00093B44">
      <w:pPr>
        <w:rPr>
          <w:rFonts w:ascii="Humanst521 BT" w:hAnsi="Humanst521 BT"/>
          <w:color w:val="FF0000"/>
        </w:rPr>
      </w:pPr>
    </w:p>
    <w:p w14:paraId="72109FFA" w14:textId="4890364F" w:rsidR="0036264E" w:rsidRPr="0036264E" w:rsidRDefault="0036264E" w:rsidP="0036264E">
      <w:pPr>
        <w:rPr>
          <w:rFonts w:ascii="Humanst521 BT" w:hAnsi="Humanst521 BT"/>
        </w:rPr>
      </w:pPr>
      <w:r w:rsidRPr="0036264E">
        <w:rPr>
          <w:rFonts w:ascii="Humanst521 BT" w:hAnsi="Humanst521 BT"/>
        </w:rPr>
        <w:t>Orden de supervivencia (5</w:t>
      </w:r>
      <w:r w:rsidR="0042533F">
        <w:rPr>
          <w:rFonts w:ascii="Humanst521 BT" w:hAnsi="Humanst521 BT"/>
        </w:rPr>
        <w:t>to</w:t>
      </w:r>
      <w:r w:rsidRPr="0036264E">
        <w:rPr>
          <w:rFonts w:ascii="Humanst521 BT" w:hAnsi="Humanst521 BT"/>
        </w:rPr>
        <w:t xml:space="preserve"> </w:t>
      </w:r>
      <w:r w:rsidR="0042533F">
        <w:rPr>
          <w:rFonts w:ascii="Humanst521 BT" w:hAnsi="Humanst521 BT"/>
        </w:rPr>
        <w:t>año</w:t>
      </w:r>
      <w:r w:rsidRPr="0036264E">
        <w:rPr>
          <w:rFonts w:ascii="Humanst521 BT" w:hAnsi="Humanst521 BT"/>
        </w:rPr>
        <w:t>)</w:t>
      </w:r>
    </w:p>
    <w:p w14:paraId="02D62BCA" w14:textId="71801877" w:rsidR="0036264E" w:rsidRPr="0036264E" w:rsidRDefault="0036264E" w:rsidP="0036264E">
      <w:pPr>
        <w:rPr>
          <w:rFonts w:ascii="Humanst521 BT" w:hAnsi="Humanst521 BT"/>
        </w:rPr>
      </w:pPr>
      <w:r w:rsidRPr="0036264E">
        <w:rPr>
          <w:rFonts w:ascii="Humanst521 BT" w:hAnsi="Humanst521 BT"/>
        </w:rPr>
        <w:t xml:space="preserve">Mama = 100% </w:t>
      </w:r>
    </w:p>
    <w:p w14:paraId="6D5AA27F" w14:textId="5A378830" w:rsidR="0036264E" w:rsidRPr="0036264E" w:rsidRDefault="0036264E" w:rsidP="0036264E">
      <w:pPr>
        <w:rPr>
          <w:rFonts w:ascii="Humanst521 BT" w:hAnsi="Humanst521 BT"/>
        </w:rPr>
      </w:pPr>
      <w:r w:rsidRPr="0036264E">
        <w:rPr>
          <w:rFonts w:ascii="Humanst521 BT" w:hAnsi="Humanst521 BT"/>
        </w:rPr>
        <w:t xml:space="preserve">Próstata = 100% </w:t>
      </w:r>
    </w:p>
    <w:p w14:paraId="4918D23B" w14:textId="1F707620" w:rsidR="0036264E" w:rsidRPr="0036264E" w:rsidRDefault="0036264E" w:rsidP="0036264E">
      <w:pPr>
        <w:rPr>
          <w:rFonts w:ascii="Humanst521 BT" w:hAnsi="Humanst521 BT"/>
        </w:rPr>
      </w:pPr>
      <w:r w:rsidRPr="0036264E">
        <w:rPr>
          <w:rFonts w:ascii="Humanst521 BT" w:hAnsi="Humanst521 BT"/>
        </w:rPr>
        <w:lastRenderedPageBreak/>
        <w:t xml:space="preserve">Colon = 92.3% </w:t>
      </w:r>
    </w:p>
    <w:p w14:paraId="58460829" w14:textId="3870778D" w:rsidR="0036264E" w:rsidRPr="0036264E" w:rsidRDefault="0036264E" w:rsidP="0036264E">
      <w:pPr>
        <w:rPr>
          <w:rFonts w:ascii="Humanst521 BT" w:hAnsi="Humanst521 BT"/>
        </w:rPr>
      </w:pPr>
      <w:r w:rsidRPr="0036264E">
        <w:rPr>
          <w:rFonts w:ascii="Humanst521 BT" w:hAnsi="Humanst521 BT"/>
        </w:rPr>
        <w:t>Otros = 74.8%</w:t>
      </w:r>
    </w:p>
    <w:p w14:paraId="66D6CD3A" w14:textId="401B5A64" w:rsidR="00AC4427" w:rsidRPr="006C0E65" w:rsidRDefault="00AC4427" w:rsidP="00093B44">
      <w:pPr>
        <w:jc w:val="center"/>
        <w:rPr>
          <w:rFonts w:ascii="Humanst521 BT" w:hAnsi="Humanst521 BT"/>
          <w:color w:val="FF0000"/>
        </w:rPr>
      </w:pPr>
    </w:p>
    <w:p w14:paraId="6F0B2A72" w14:textId="77777777" w:rsidR="00AC4427" w:rsidRPr="007F0FA7" w:rsidRDefault="00AC4427" w:rsidP="00093B44">
      <w:pPr>
        <w:rPr>
          <w:rFonts w:ascii="Humanst521 BT" w:hAnsi="Humanst521 BT"/>
        </w:rPr>
      </w:pPr>
    </w:p>
    <w:p w14:paraId="0962F766" w14:textId="77777777" w:rsidR="00AC4427" w:rsidRPr="007F0FA7" w:rsidRDefault="00AC4427" w:rsidP="00B6007F">
      <w:pPr>
        <w:pStyle w:val="Ttulo5"/>
        <w:numPr>
          <w:ilvl w:val="0"/>
          <w:numId w:val="13"/>
        </w:numPr>
      </w:pPr>
      <w:bookmarkStart w:id="115" w:name="_Toc161297451"/>
      <w:r w:rsidRPr="007F0FA7">
        <w:t>Cohorte de Hemofilia</w:t>
      </w:r>
      <w:bookmarkEnd w:id="115"/>
    </w:p>
    <w:p w14:paraId="34B9B00A" w14:textId="77777777" w:rsidR="00AC4427" w:rsidRPr="007F0FA7" w:rsidRDefault="00AC4427" w:rsidP="004F629B">
      <w:pPr>
        <w:pStyle w:val="Ttulo5"/>
        <w:ind w:left="1637" w:firstLine="0"/>
      </w:pPr>
    </w:p>
    <w:p w14:paraId="52A33B03" w14:textId="77777777" w:rsidR="00AC4427" w:rsidRPr="007F0FA7" w:rsidRDefault="00AC4427" w:rsidP="00093B44">
      <w:pPr>
        <w:jc w:val="both"/>
        <w:rPr>
          <w:rFonts w:ascii="Humanst521 BT" w:hAnsi="Humanst521 BT"/>
        </w:rPr>
      </w:pPr>
      <w:r w:rsidRPr="007F0FA7">
        <w:rPr>
          <w:rFonts w:ascii="Humanst521 BT" w:hAnsi="Humanst521 BT"/>
        </w:rPr>
        <w:t>La hemofilia es un trastorno congénito que afecta la coagulación de la sangre, debido a su avance, algunas características y sus complicaciones suele afectar condiciones físicas y mentales de quienes la padecen como restricción de actividades. Esta patología es considerada entre las enfermedades huérfanas o raras.</w:t>
      </w:r>
    </w:p>
    <w:p w14:paraId="5B1BB196" w14:textId="77777777" w:rsidR="00AC4427" w:rsidRPr="007F0FA7" w:rsidRDefault="00AC4427" w:rsidP="00093B44">
      <w:pPr>
        <w:jc w:val="both"/>
        <w:rPr>
          <w:rFonts w:ascii="Humanst521 BT" w:hAnsi="Humanst521 BT"/>
        </w:rPr>
      </w:pPr>
    </w:p>
    <w:p w14:paraId="5078BCFB" w14:textId="606B7CFA" w:rsidR="00AC4427" w:rsidRPr="007F0FA7" w:rsidRDefault="00AC4427" w:rsidP="00093B44">
      <w:pPr>
        <w:jc w:val="both"/>
        <w:rPr>
          <w:rFonts w:ascii="Humanst521 BT" w:hAnsi="Humanst521 BT"/>
        </w:rPr>
      </w:pPr>
      <w:r w:rsidRPr="007F0FA7">
        <w:rPr>
          <w:rFonts w:ascii="Humanst521 BT" w:hAnsi="Humanst521 BT"/>
        </w:rPr>
        <w:t>UISALUD cuenta con un afiliado femenino de 5</w:t>
      </w:r>
      <w:r w:rsidR="006C0E65">
        <w:rPr>
          <w:rFonts w:ascii="Humanst521 BT" w:hAnsi="Humanst521 BT"/>
        </w:rPr>
        <w:t>7</w:t>
      </w:r>
      <w:r w:rsidRPr="007F0FA7">
        <w:rPr>
          <w:rFonts w:ascii="Humanst521 BT" w:hAnsi="Humanst521 BT"/>
        </w:rPr>
        <w:t xml:space="preserve"> años con diagnóstico de enfermedad de </w:t>
      </w:r>
      <w:proofErr w:type="spellStart"/>
      <w:r w:rsidRPr="007F0FA7">
        <w:rPr>
          <w:rFonts w:ascii="Humanst521 BT" w:hAnsi="Humanst521 BT"/>
        </w:rPr>
        <w:t>V</w:t>
      </w:r>
      <w:r w:rsidR="006C0E65">
        <w:rPr>
          <w:rFonts w:ascii="Humanst521 BT" w:hAnsi="Humanst521 BT"/>
        </w:rPr>
        <w:t>o</w:t>
      </w:r>
      <w:r w:rsidRPr="007F0FA7">
        <w:rPr>
          <w:rFonts w:ascii="Humanst521 BT" w:hAnsi="Humanst521 BT"/>
        </w:rPr>
        <w:t>n</w:t>
      </w:r>
      <w:proofErr w:type="spellEnd"/>
      <w:r w:rsidRPr="007F0FA7">
        <w:rPr>
          <w:rFonts w:ascii="Humanst521 BT" w:hAnsi="Humanst521 BT"/>
        </w:rPr>
        <w:t xml:space="preserve"> Willebrand, del municipio de Piedecuesta. Actualmente se encuentra en seguimiento y tratamiento. </w:t>
      </w:r>
    </w:p>
    <w:p w14:paraId="42F6BBD4" w14:textId="77777777" w:rsidR="00AC4427" w:rsidRPr="007F0FA7" w:rsidRDefault="00AC4427" w:rsidP="00093B44">
      <w:pPr>
        <w:rPr>
          <w:rFonts w:ascii="Humanst521 BT" w:hAnsi="Humanst521 BT"/>
        </w:rPr>
      </w:pPr>
    </w:p>
    <w:p w14:paraId="0E909B45" w14:textId="77777777" w:rsidR="00AC4427" w:rsidRPr="007F0FA7" w:rsidRDefault="00AC4427" w:rsidP="00B6007F">
      <w:pPr>
        <w:pStyle w:val="Ttulo5"/>
        <w:numPr>
          <w:ilvl w:val="0"/>
          <w:numId w:val="13"/>
        </w:numPr>
      </w:pPr>
      <w:bookmarkStart w:id="116" w:name="_Toc161297452"/>
      <w:r w:rsidRPr="007F0FA7">
        <w:t>Cohorte Artritis</w:t>
      </w:r>
      <w:bookmarkEnd w:id="116"/>
      <w:r w:rsidRPr="007F0FA7">
        <w:t xml:space="preserve"> </w:t>
      </w:r>
    </w:p>
    <w:p w14:paraId="5CA16514" w14:textId="77777777" w:rsidR="00AC4427" w:rsidRPr="007F0FA7" w:rsidRDefault="00AC4427" w:rsidP="00093B44">
      <w:pPr>
        <w:rPr>
          <w:rFonts w:ascii="Humanst521 BT" w:hAnsi="Humanst521 BT"/>
          <w:b/>
          <w:bCs/>
        </w:rPr>
      </w:pPr>
    </w:p>
    <w:p w14:paraId="6F75AD26" w14:textId="5BAAC461" w:rsidR="00AC4427" w:rsidRPr="007F0FA7" w:rsidRDefault="00C932C4" w:rsidP="00093B44">
      <w:pPr>
        <w:jc w:val="both"/>
        <w:rPr>
          <w:rFonts w:ascii="Humanst521 BT" w:hAnsi="Humanst521 BT"/>
        </w:rPr>
      </w:pPr>
      <w:r>
        <w:rPr>
          <w:rFonts w:ascii="Humanst521 BT" w:hAnsi="Humanst521 BT"/>
        </w:rPr>
        <w:t>UISALUD</w:t>
      </w:r>
      <w:r w:rsidR="00AC4427" w:rsidRPr="007F0FA7">
        <w:rPr>
          <w:rFonts w:ascii="Humanst521 BT" w:hAnsi="Humanst521 BT"/>
        </w:rPr>
        <w:t xml:space="preserve"> cuenta con el reporte</w:t>
      </w:r>
      <w:r>
        <w:rPr>
          <w:rFonts w:ascii="Humanst521 BT" w:hAnsi="Humanst521 BT"/>
        </w:rPr>
        <w:t xml:space="preserve"> realizado en el año 2025 con</w:t>
      </w:r>
      <w:r w:rsidR="00AC4427" w:rsidRPr="007F0FA7">
        <w:rPr>
          <w:rFonts w:ascii="Humanst521 BT" w:hAnsi="Humanst521 BT"/>
        </w:rPr>
        <w:t>15 pacientes para la cuenta de alto costo.</w:t>
      </w:r>
      <w:r>
        <w:rPr>
          <w:rFonts w:ascii="Humanst521 BT" w:hAnsi="Humanst521 BT"/>
        </w:rPr>
        <w:t xml:space="preserve"> A la fecha sin casos incidentes. </w:t>
      </w:r>
      <w:r w:rsidR="00AC4427" w:rsidRPr="007F0FA7">
        <w:rPr>
          <w:rFonts w:ascii="Humanst521 BT" w:hAnsi="Humanst521 BT"/>
        </w:rPr>
        <w:t xml:space="preserve"> el 66,7% (10) </w:t>
      </w:r>
      <w:r w:rsidR="00A57520" w:rsidRPr="007F0FA7">
        <w:rPr>
          <w:rFonts w:ascii="Humanst521 BT" w:hAnsi="Humanst521 BT"/>
        </w:rPr>
        <w:t>son</w:t>
      </w:r>
      <w:r w:rsidR="00AC4427" w:rsidRPr="007F0FA7">
        <w:rPr>
          <w:rFonts w:ascii="Humanst521 BT" w:hAnsi="Humanst521 BT"/>
        </w:rPr>
        <w:t xml:space="preserve"> mujeres y lo demás hombres. Según municipio de residencia el 86,7% (13) son de Bucaramanga y 13,3% (2) de Floridablanca. </w:t>
      </w:r>
    </w:p>
    <w:p w14:paraId="108087DD" w14:textId="77777777" w:rsidR="00AC4427" w:rsidRPr="007F0FA7" w:rsidRDefault="00AC4427" w:rsidP="00093B44">
      <w:pPr>
        <w:jc w:val="both"/>
        <w:rPr>
          <w:rFonts w:ascii="Humanst521 BT" w:hAnsi="Humanst521 BT"/>
        </w:rPr>
      </w:pPr>
    </w:p>
    <w:p w14:paraId="2DE8E2E8" w14:textId="0A5D48DD" w:rsidR="00AC4427" w:rsidRPr="007F0FA7" w:rsidRDefault="00AC4427" w:rsidP="00093B44">
      <w:pPr>
        <w:jc w:val="both"/>
        <w:rPr>
          <w:rFonts w:ascii="Humanst521 BT" w:hAnsi="Humanst521 BT"/>
        </w:rPr>
      </w:pPr>
      <w:r w:rsidRPr="007F0FA7">
        <w:rPr>
          <w:rFonts w:ascii="Humanst521 BT" w:hAnsi="Humanst521 BT"/>
        </w:rPr>
        <w:t>Por grupos de edad el 33,3% (5) están el grupo de 65 a 69 años, 13,3% (2) son de 70 a 74 años y 80 y más años   26,7% (4).   El promedio de edad es de 70 años, y la mediana de 69 años. En la figura 6 se presentan los casos para el año 202</w:t>
      </w:r>
      <w:r w:rsidR="00281649" w:rsidRPr="007F0FA7">
        <w:rPr>
          <w:rFonts w:ascii="Humanst521 BT" w:hAnsi="Humanst521 BT"/>
        </w:rPr>
        <w:t>4</w:t>
      </w:r>
      <w:r w:rsidRPr="007F0FA7">
        <w:rPr>
          <w:rFonts w:ascii="Humanst521 BT" w:hAnsi="Humanst521 BT"/>
        </w:rPr>
        <w:t xml:space="preserve"> según sexo y grupo edad. </w:t>
      </w:r>
      <w:r w:rsidR="008D113A" w:rsidRPr="007F0FA7">
        <w:rPr>
          <w:rFonts w:ascii="Humanst521 BT" w:hAnsi="Humanst521 BT"/>
        </w:rPr>
        <w:t>Los pacientes</w:t>
      </w:r>
      <w:r w:rsidRPr="007F0FA7">
        <w:rPr>
          <w:rFonts w:ascii="Humanst521 BT" w:hAnsi="Humanst521 BT"/>
        </w:rPr>
        <w:t xml:space="preserve"> de artritis se encuentran con seguimiento por medico reumatólogo. En la </w:t>
      </w:r>
      <w:r w:rsidR="00562EDE" w:rsidRPr="007F0FA7">
        <w:rPr>
          <w:rFonts w:ascii="Humanst521 BT" w:hAnsi="Humanst521 BT"/>
        </w:rPr>
        <w:t xml:space="preserve">siguiente </w:t>
      </w:r>
      <w:r w:rsidRPr="007F0FA7">
        <w:rPr>
          <w:rFonts w:ascii="Humanst521 BT" w:hAnsi="Humanst521 BT"/>
        </w:rPr>
        <w:t xml:space="preserve">figura se presentan las comorbilidades identificadas en los pacientes según sexo.  </w:t>
      </w:r>
    </w:p>
    <w:p w14:paraId="5A55ABE8" w14:textId="438BC4A3" w:rsidR="00AC4427" w:rsidRPr="007F0FA7" w:rsidRDefault="00AC4427" w:rsidP="00093B44">
      <w:pPr>
        <w:jc w:val="both"/>
        <w:rPr>
          <w:rFonts w:ascii="Humanst521 BT" w:hAnsi="Humanst521 BT"/>
        </w:rPr>
      </w:pPr>
    </w:p>
    <w:p w14:paraId="4CB7E9C5" w14:textId="66756085" w:rsidR="00531B05" w:rsidRDefault="00AC4427" w:rsidP="00531B05">
      <w:pPr>
        <w:pStyle w:val="Descripcin"/>
        <w:spacing w:line="240" w:lineRule="auto"/>
        <w:rPr>
          <w:rFonts w:ascii="Humanst521 BT" w:eastAsia="Verdana" w:hAnsi="Humanst521 BT" w:cs="Verdana"/>
          <w:b w:val="0"/>
          <w:bCs w:val="0"/>
          <w:color w:val="auto"/>
          <w:sz w:val="22"/>
          <w:szCs w:val="22"/>
          <w:lang w:val="es-ES"/>
        </w:rPr>
      </w:pPr>
      <w:bookmarkStart w:id="117" w:name="_Toc161302634"/>
      <w:bookmarkStart w:id="118" w:name="_Toc161298300"/>
      <w:bookmarkStart w:id="119" w:name="_Toc231286766"/>
      <w:r w:rsidRPr="007F0FA7">
        <w:rPr>
          <w:rFonts w:ascii="Humanst521 BT" w:eastAsia="Verdana" w:hAnsi="Humanst521 BT" w:cs="Verdana"/>
          <w:b w:val="0"/>
          <w:bCs w:val="0"/>
          <w:color w:val="auto"/>
          <w:sz w:val="22"/>
          <w:szCs w:val="22"/>
          <w:lang w:val="es-ES"/>
        </w:rPr>
        <w:t xml:space="preserve">Figura  </w:t>
      </w:r>
      <w:r w:rsidRPr="007F0FA7">
        <w:rPr>
          <w:rFonts w:ascii="Humanst521 BT" w:eastAsia="Verdana" w:hAnsi="Humanst521 BT" w:cs="Verdana"/>
          <w:b w:val="0"/>
          <w:bCs w:val="0"/>
          <w:color w:val="auto"/>
          <w:sz w:val="22"/>
          <w:szCs w:val="22"/>
          <w:lang w:val="es-ES"/>
        </w:rPr>
        <w:fldChar w:fldCharType="begin"/>
      </w:r>
      <w:r w:rsidRPr="007F0FA7">
        <w:rPr>
          <w:rFonts w:ascii="Humanst521 BT" w:eastAsia="Verdana" w:hAnsi="Humanst521 BT" w:cs="Verdana"/>
          <w:b w:val="0"/>
          <w:bCs w:val="0"/>
          <w:color w:val="auto"/>
          <w:sz w:val="22"/>
          <w:szCs w:val="22"/>
          <w:lang w:val="es-ES"/>
        </w:rPr>
        <w:instrText xml:space="preserve"> SEQ Figura_ \* ARABIC </w:instrText>
      </w:r>
      <w:r w:rsidRPr="007F0FA7">
        <w:rPr>
          <w:rFonts w:ascii="Humanst521 BT" w:eastAsia="Verdana" w:hAnsi="Humanst521 BT" w:cs="Verdana"/>
          <w:b w:val="0"/>
          <w:bCs w:val="0"/>
          <w:color w:val="auto"/>
          <w:sz w:val="22"/>
          <w:szCs w:val="22"/>
          <w:lang w:val="es-ES"/>
        </w:rPr>
        <w:fldChar w:fldCharType="separate"/>
      </w:r>
      <w:r w:rsidR="00531B05">
        <w:rPr>
          <w:rFonts w:ascii="Humanst521 BT" w:eastAsia="Verdana" w:hAnsi="Humanst521 BT" w:cs="Verdana"/>
          <w:b w:val="0"/>
          <w:bCs w:val="0"/>
          <w:noProof/>
          <w:color w:val="auto"/>
          <w:sz w:val="22"/>
          <w:szCs w:val="22"/>
          <w:lang w:val="es-ES"/>
        </w:rPr>
        <w:t>4</w:t>
      </w:r>
      <w:r w:rsidRPr="007F0FA7">
        <w:rPr>
          <w:rFonts w:ascii="Humanst521 BT" w:eastAsia="Verdana" w:hAnsi="Humanst521 BT" w:cs="Verdana"/>
          <w:b w:val="0"/>
          <w:bCs w:val="0"/>
          <w:color w:val="auto"/>
          <w:sz w:val="22"/>
          <w:szCs w:val="22"/>
          <w:lang w:val="es-ES"/>
        </w:rPr>
        <w:fldChar w:fldCharType="end"/>
      </w:r>
      <w:r w:rsidR="001E05C9">
        <w:rPr>
          <w:rFonts w:ascii="Humanst521 BT" w:eastAsia="Verdana" w:hAnsi="Humanst521 BT" w:cs="Verdana"/>
          <w:b w:val="0"/>
          <w:bCs w:val="0"/>
          <w:color w:val="auto"/>
          <w:sz w:val="22"/>
          <w:szCs w:val="22"/>
          <w:lang w:val="es-ES"/>
        </w:rPr>
        <w:t>.</w:t>
      </w:r>
      <w:r w:rsidRPr="007F0FA7">
        <w:rPr>
          <w:rFonts w:ascii="Humanst521 BT" w:eastAsia="Verdana" w:hAnsi="Humanst521 BT" w:cs="Verdana"/>
          <w:b w:val="0"/>
          <w:bCs w:val="0"/>
          <w:color w:val="auto"/>
          <w:sz w:val="22"/>
          <w:szCs w:val="22"/>
          <w:lang w:val="es-ES"/>
        </w:rPr>
        <w:t xml:space="preserve"> </w:t>
      </w:r>
      <w:bookmarkEnd w:id="117"/>
      <w:bookmarkEnd w:id="118"/>
      <w:r w:rsidR="001E05C9" w:rsidRPr="001E05C9">
        <w:rPr>
          <w:rFonts w:ascii="Humanst521 BT" w:eastAsia="Verdana" w:hAnsi="Humanst521 BT" w:cs="Verdana"/>
          <w:b w:val="0"/>
          <w:bCs w:val="0"/>
          <w:color w:val="auto"/>
          <w:sz w:val="22"/>
          <w:szCs w:val="22"/>
          <w:lang w:val="es-ES"/>
        </w:rPr>
        <w:t>Distribución de casos de artritis según sexo y grupo de edad, UISALUD, 2025</w:t>
      </w:r>
      <w:bookmarkEnd w:id="119"/>
    </w:p>
    <w:p w14:paraId="1F72EB08" w14:textId="77777777" w:rsidR="00531B05" w:rsidRDefault="00531B05" w:rsidP="00531B05">
      <w:pPr>
        <w:pStyle w:val="Descripcin"/>
        <w:spacing w:line="240" w:lineRule="auto"/>
        <w:rPr>
          <w:rFonts w:ascii="Humanst521 BT" w:eastAsia="Verdana" w:hAnsi="Humanst521 BT" w:cs="Verdana"/>
          <w:b w:val="0"/>
          <w:bCs w:val="0"/>
          <w:color w:val="auto"/>
          <w:sz w:val="22"/>
          <w:szCs w:val="22"/>
          <w:lang w:val="es-ES"/>
        </w:rPr>
      </w:pPr>
    </w:p>
    <w:p w14:paraId="2DA7FB28" w14:textId="46900DEC" w:rsidR="00AC4427" w:rsidRPr="007F0FA7" w:rsidRDefault="00EC2756" w:rsidP="00531B05">
      <w:pPr>
        <w:pStyle w:val="Descripcin"/>
        <w:spacing w:line="240" w:lineRule="auto"/>
        <w:rPr>
          <w:rFonts w:ascii="Humanst521 BT" w:hAnsi="Humanst521 BT"/>
        </w:rPr>
      </w:pPr>
      <w:r w:rsidRPr="008A00DF">
        <w:rPr>
          <w:noProof/>
          <w:shd w:val="clear" w:color="auto" w:fill="C5E0B3" w:themeFill="accent6" w:themeFillTint="66"/>
        </w:rPr>
        <w:drawing>
          <wp:inline distT="0" distB="0" distL="0" distR="0" wp14:anchorId="5905FA23" wp14:editId="7B3E3895">
            <wp:extent cx="5238750" cy="2428875"/>
            <wp:effectExtent l="0" t="0" r="0" b="9525"/>
            <wp:docPr id="21" name="Gráfico 2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05AF7DD" w14:textId="77777777" w:rsidR="00AC4427" w:rsidRPr="007F0FA7" w:rsidRDefault="00AC4427" w:rsidP="00093B44">
      <w:pPr>
        <w:rPr>
          <w:rFonts w:ascii="Humanst521 BT" w:hAnsi="Humanst521 BT"/>
        </w:rPr>
      </w:pPr>
      <w:r w:rsidRPr="007F0FA7">
        <w:rPr>
          <w:rFonts w:ascii="Humanst521 BT" w:hAnsi="Humanst521 BT"/>
        </w:rPr>
        <w:t>Fuente: UISALUD</w:t>
      </w:r>
    </w:p>
    <w:p w14:paraId="74338A34" w14:textId="77777777" w:rsidR="00863463" w:rsidRDefault="00863463" w:rsidP="00093B44">
      <w:pPr>
        <w:rPr>
          <w:rFonts w:ascii="Humanst521 BT" w:hAnsi="Humanst521 BT"/>
        </w:rPr>
      </w:pPr>
    </w:p>
    <w:p w14:paraId="54F67E82" w14:textId="006DB607" w:rsidR="00863463" w:rsidRDefault="00707A0B" w:rsidP="00863463">
      <w:pPr>
        <w:widowControl/>
        <w:autoSpaceDE/>
        <w:autoSpaceDN/>
        <w:jc w:val="both"/>
        <w:textAlignment w:val="baseline"/>
        <w:rPr>
          <w:rFonts w:ascii="Humanst521 BT" w:hAnsi="Humanst521 BT"/>
        </w:rPr>
      </w:pPr>
      <w:r w:rsidRPr="008A1DBF">
        <w:rPr>
          <w:rFonts w:ascii="Humanst521 BT" w:hAnsi="Humanst521 BT"/>
        </w:rPr>
        <w:t xml:space="preserve">La prevalencia de patologías de alto costo en UISALUD muestra una clara concentración en la Enfermedad Renal Crónica (ERC) y sus factores asociados (hipertensión y diabetes), con 200 casos por 1.000 afiliados, constituyéndose en el principal determinante de carga de enfermedad. Este comportamiento es consistente con el contexto nacional reportado por la Cuenta de Alto Costo, donde estas enfermedades representan la mayor carga y costo en el sistema de salud. En conjunto, </w:t>
      </w:r>
      <w:r w:rsidR="00931EB0">
        <w:rPr>
          <w:rFonts w:ascii="Humanst521 BT" w:hAnsi="Humanst521 BT"/>
        </w:rPr>
        <w:t xml:space="preserve">las patologías reportadas en la cuenta de alto costo, </w:t>
      </w:r>
      <w:r w:rsidRPr="008A1DBF">
        <w:rPr>
          <w:rFonts w:ascii="Humanst521 BT" w:hAnsi="Humanst521 BT"/>
        </w:rPr>
        <w:t>evidencian la necesidad de fortalecer la gestión del riesgo en enfermedades crónicas no transmisibles, priorizando la detección temprana y el control de sus factores asociados.</w:t>
      </w:r>
      <w:r w:rsidR="00863463" w:rsidRPr="00863463">
        <w:rPr>
          <w:rFonts w:ascii="Humanst521 BT" w:hAnsi="Humanst521 BT"/>
        </w:rPr>
        <w:t> </w:t>
      </w:r>
    </w:p>
    <w:p w14:paraId="38EABDB2" w14:textId="77777777" w:rsidR="00931EB0" w:rsidRPr="00863463" w:rsidRDefault="00931EB0" w:rsidP="00863463">
      <w:pPr>
        <w:widowControl/>
        <w:autoSpaceDE/>
        <w:autoSpaceDN/>
        <w:jc w:val="both"/>
        <w:textAlignment w:val="baseline"/>
        <w:rPr>
          <w:rFonts w:ascii="Humanst521 BT" w:hAnsi="Humanst521 BT"/>
        </w:rPr>
      </w:pPr>
    </w:p>
    <w:p w14:paraId="0F602C27" w14:textId="1CE09AB8" w:rsidR="00863463" w:rsidRPr="00537104" w:rsidRDefault="00580EDB" w:rsidP="00863463">
      <w:pPr>
        <w:widowControl/>
        <w:autoSpaceDE/>
        <w:autoSpaceDN/>
        <w:jc w:val="both"/>
        <w:textAlignment w:val="baseline"/>
        <w:rPr>
          <w:rFonts w:ascii="Humanst521 BT" w:hAnsi="Humanst521 BT"/>
        </w:rPr>
      </w:pPr>
      <w:bookmarkStart w:id="120" w:name="_Toc231286272"/>
      <w:r w:rsidRPr="000712D6">
        <w:rPr>
          <w:rFonts w:ascii="Humanst521 BT" w:hAnsi="Humanst521 BT" w:cstheme="minorBidi"/>
        </w:rPr>
        <w:t xml:space="preserve">Tabla </w:t>
      </w:r>
      <w:r w:rsidRPr="000712D6">
        <w:rPr>
          <w:rFonts w:ascii="Humanst521 BT" w:hAnsi="Humanst521 BT" w:cstheme="minorBidi"/>
        </w:rPr>
        <w:fldChar w:fldCharType="begin"/>
      </w:r>
      <w:r w:rsidRPr="000712D6">
        <w:rPr>
          <w:rFonts w:ascii="Humanst521 BT" w:hAnsi="Humanst521 BT" w:cstheme="minorBidi"/>
        </w:rPr>
        <w:instrText xml:space="preserve"> SEQ Tabla \* ARABIC </w:instrText>
      </w:r>
      <w:r w:rsidRPr="000712D6">
        <w:rPr>
          <w:rFonts w:ascii="Humanst521 BT" w:hAnsi="Humanst521 BT" w:cstheme="minorBidi"/>
        </w:rPr>
        <w:fldChar w:fldCharType="separate"/>
      </w:r>
      <w:r>
        <w:rPr>
          <w:rFonts w:ascii="Humanst521 BT" w:hAnsi="Humanst521 BT" w:cstheme="minorBidi"/>
          <w:noProof/>
        </w:rPr>
        <w:t>27</w:t>
      </w:r>
      <w:r w:rsidRPr="000712D6">
        <w:rPr>
          <w:rFonts w:ascii="Humanst521 BT" w:hAnsi="Humanst521 BT" w:cstheme="minorBidi"/>
        </w:rPr>
        <w:fldChar w:fldCharType="end"/>
      </w:r>
      <w:r w:rsidR="00863463" w:rsidRPr="00863463">
        <w:rPr>
          <w:rFonts w:ascii="Humanst521 BT" w:eastAsia="Times New Roman" w:hAnsi="Humanst521 BT" w:cs="Segoe UI"/>
          <w:lang w:val="es-CO" w:eastAsia="es-CO"/>
        </w:rPr>
        <w:t>. </w:t>
      </w:r>
      <w:r w:rsidR="00F907DE" w:rsidRPr="00537104">
        <w:rPr>
          <w:rFonts w:ascii="Humanst521 BT" w:hAnsi="Humanst521 BT"/>
        </w:rPr>
        <w:t>Prevalencia de enfermedades de alto costo según diagnóstico, UISALUD, 2025</w:t>
      </w:r>
      <w:bookmarkEnd w:id="120"/>
    </w:p>
    <w:p w14:paraId="60C7BCFD" w14:textId="77777777" w:rsidR="00537104" w:rsidRPr="00863463" w:rsidRDefault="00537104" w:rsidP="00863463">
      <w:pPr>
        <w:widowControl/>
        <w:autoSpaceDE/>
        <w:autoSpaceDN/>
        <w:jc w:val="both"/>
        <w:textAlignment w:val="baseline"/>
        <w:rPr>
          <w:rFonts w:ascii="Segoe UI" w:eastAsia="Times New Roman" w:hAnsi="Segoe UI" w:cs="Segoe UI"/>
          <w:sz w:val="18"/>
          <w:szCs w:val="18"/>
          <w:lang w:val="es-CO" w:eastAsia="es-CO"/>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5"/>
        <w:gridCol w:w="1905"/>
        <w:gridCol w:w="3360"/>
      </w:tblGrid>
      <w:tr w:rsidR="00537104" w:rsidRPr="00863463" w14:paraId="4290EE94" w14:textId="77777777" w:rsidTr="005C6F4B">
        <w:trPr>
          <w:trHeight w:val="225"/>
        </w:trPr>
        <w:tc>
          <w:tcPr>
            <w:tcW w:w="3525" w:type="dxa"/>
            <w:shd w:val="clear" w:color="auto" w:fill="C5E0B3"/>
            <w:vAlign w:val="center"/>
            <w:hideMark/>
          </w:tcPr>
          <w:p w14:paraId="778A8F5C"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b/>
                <w:bCs/>
                <w:sz w:val="20"/>
                <w:szCs w:val="20"/>
                <w:lang w:val="es-CO" w:eastAsia="es-CO"/>
              </w:rPr>
              <w:t>Prevalencia patologías de alto costo</w:t>
            </w:r>
            <w:r w:rsidRPr="00863463">
              <w:rPr>
                <w:rFonts w:ascii="Humanst521 BT" w:eastAsia="Times New Roman" w:hAnsi="Humanst521 BT" w:cs="Times New Roman"/>
                <w:sz w:val="20"/>
                <w:szCs w:val="20"/>
                <w:lang w:val="es-CO" w:eastAsia="es-CO"/>
              </w:rPr>
              <w:t> </w:t>
            </w:r>
          </w:p>
        </w:tc>
        <w:tc>
          <w:tcPr>
            <w:tcW w:w="1905" w:type="dxa"/>
            <w:shd w:val="clear" w:color="auto" w:fill="C5E0B3"/>
            <w:vAlign w:val="center"/>
            <w:hideMark/>
          </w:tcPr>
          <w:p w14:paraId="19AAA94C"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b/>
                <w:bCs/>
                <w:sz w:val="20"/>
                <w:szCs w:val="20"/>
                <w:lang w:val="es-CO" w:eastAsia="es-CO"/>
              </w:rPr>
              <w:t>N° de casos</w:t>
            </w:r>
            <w:r w:rsidRPr="00863463">
              <w:rPr>
                <w:rFonts w:ascii="Humanst521 BT" w:eastAsia="Times New Roman" w:hAnsi="Humanst521 BT" w:cs="Times New Roman"/>
                <w:sz w:val="20"/>
                <w:szCs w:val="20"/>
                <w:lang w:val="es-CO" w:eastAsia="es-CO"/>
              </w:rPr>
              <w:t> </w:t>
            </w:r>
          </w:p>
        </w:tc>
        <w:tc>
          <w:tcPr>
            <w:tcW w:w="3360" w:type="dxa"/>
            <w:shd w:val="clear" w:color="auto" w:fill="C5E0B3"/>
            <w:vAlign w:val="center"/>
            <w:hideMark/>
          </w:tcPr>
          <w:p w14:paraId="432D793D"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b/>
                <w:bCs/>
                <w:sz w:val="20"/>
                <w:szCs w:val="20"/>
                <w:lang w:val="es-CO" w:eastAsia="es-CO"/>
              </w:rPr>
              <w:t>Prevalencia x 1000 afiliados</w:t>
            </w:r>
            <w:r w:rsidRPr="00863463">
              <w:rPr>
                <w:rFonts w:ascii="Humanst521 BT" w:eastAsia="Times New Roman" w:hAnsi="Humanst521 BT" w:cs="Times New Roman"/>
                <w:sz w:val="20"/>
                <w:szCs w:val="20"/>
                <w:lang w:val="es-CO" w:eastAsia="es-CO"/>
              </w:rPr>
              <w:t> </w:t>
            </w:r>
          </w:p>
        </w:tc>
      </w:tr>
      <w:tr w:rsidR="00537104" w:rsidRPr="00863463" w14:paraId="235E0F01" w14:textId="77777777" w:rsidTr="005C6F4B">
        <w:trPr>
          <w:trHeight w:val="255"/>
        </w:trPr>
        <w:tc>
          <w:tcPr>
            <w:tcW w:w="3525" w:type="dxa"/>
            <w:shd w:val="clear" w:color="auto" w:fill="auto"/>
            <w:vAlign w:val="center"/>
            <w:hideMark/>
          </w:tcPr>
          <w:p w14:paraId="4D1D804D" w14:textId="77777777" w:rsidR="00863463" w:rsidRPr="00863463" w:rsidRDefault="00863463" w:rsidP="00863463">
            <w:pPr>
              <w:widowControl/>
              <w:autoSpaceDE/>
              <w:autoSpaceDN/>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Cáncer </w:t>
            </w:r>
          </w:p>
        </w:tc>
        <w:tc>
          <w:tcPr>
            <w:tcW w:w="1905" w:type="dxa"/>
            <w:shd w:val="clear" w:color="auto" w:fill="auto"/>
            <w:vAlign w:val="center"/>
            <w:hideMark/>
          </w:tcPr>
          <w:p w14:paraId="7FCFF052"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151 </w:t>
            </w:r>
          </w:p>
        </w:tc>
        <w:tc>
          <w:tcPr>
            <w:tcW w:w="3360" w:type="dxa"/>
            <w:shd w:val="clear" w:color="auto" w:fill="auto"/>
            <w:vAlign w:val="center"/>
            <w:hideMark/>
          </w:tcPr>
          <w:p w14:paraId="67437EA3"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54,71 </w:t>
            </w:r>
          </w:p>
        </w:tc>
      </w:tr>
      <w:tr w:rsidR="00537104" w:rsidRPr="00863463" w14:paraId="7C7378B8" w14:textId="77777777" w:rsidTr="005C6F4B">
        <w:trPr>
          <w:trHeight w:val="240"/>
        </w:trPr>
        <w:tc>
          <w:tcPr>
            <w:tcW w:w="3525" w:type="dxa"/>
            <w:shd w:val="clear" w:color="auto" w:fill="F2F2F2"/>
            <w:vAlign w:val="center"/>
            <w:hideMark/>
          </w:tcPr>
          <w:p w14:paraId="6A726065" w14:textId="77777777" w:rsidR="00863463" w:rsidRPr="00863463" w:rsidRDefault="00863463" w:rsidP="00863463">
            <w:pPr>
              <w:widowControl/>
              <w:autoSpaceDE/>
              <w:autoSpaceDN/>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Artritis </w:t>
            </w:r>
          </w:p>
        </w:tc>
        <w:tc>
          <w:tcPr>
            <w:tcW w:w="1905" w:type="dxa"/>
            <w:shd w:val="clear" w:color="auto" w:fill="F2F2F2"/>
            <w:vAlign w:val="center"/>
            <w:hideMark/>
          </w:tcPr>
          <w:p w14:paraId="40E8E406"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15 </w:t>
            </w:r>
          </w:p>
        </w:tc>
        <w:tc>
          <w:tcPr>
            <w:tcW w:w="3360" w:type="dxa"/>
            <w:shd w:val="clear" w:color="auto" w:fill="F2F2F2"/>
            <w:vAlign w:val="center"/>
            <w:hideMark/>
          </w:tcPr>
          <w:p w14:paraId="41809225"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5,43 </w:t>
            </w:r>
          </w:p>
        </w:tc>
      </w:tr>
      <w:tr w:rsidR="00537104" w:rsidRPr="00863463" w14:paraId="3C8500EB" w14:textId="77777777" w:rsidTr="005C6F4B">
        <w:trPr>
          <w:trHeight w:val="405"/>
        </w:trPr>
        <w:tc>
          <w:tcPr>
            <w:tcW w:w="3525" w:type="dxa"/>
            <w:shd w:val="clear" w:color="auto" w:fill="auto"/>
            <w:vAlign w:val="center"/>
            <w:hideMark/>
          </w:tcPr>
          <w:p w14:paraId="74EB1E88" w14:textId="77777777" w:rsidR="00863463" w:rsidRPr="00863463" w:rsidRDefault="00863463" w:rsidP="00863463">
            <w:pPr>
              <w:widowControl/>
              <w:autoSpaceDE/>
              <w:autoSpaceDN/>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ERC - HT - DM </w:t>
            </w:r>
          </w:p>
        </w:tc>
        <w:tc>
          <w:tcPr>
            <w:tcW w:w="1905" w:type="dxa"/>
            <w:shd w:val="clear" w:color="auto" w:fill="auto"/>
            <w:vAlign w:val="center"/>
            <w:hideMark/>
          </w:tcPr>
          <w:p w14:paraId="7AFF32A0"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552 </w:t>
            </w:r>
          </w:p>
        </w:tc>
        <w:tc>
          <w:tcPr>
            <w:tcW w:w="3360" w:type="dxa"/>
            <w:shd w:val="clear" w:color="auto" w:fill="auto"/>
            <w:vAlign w:val="center"/>
            <w:hideMark/>
          </w:tcPr>
          <w:p w14:paraId="2B4621A2"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200,00 </w:t>
            </w:r>
          </w:p>
        </w:tc>
      </w:tr>
      <w:tr w:rsidR="00537104" w:rsidRPr="00863463" w14:paraId="4D50B582" w14:textId="77777777" w:rsidTr="005C6F4B">
        <w:trPr>
          <w:trHeight w:val="255"/>
        </w:trPr>
        <w:tc>
          <w:tcPr>
            <w:tcW w:w="3525" w:type="dxa"/>
            <w:shd w:val="clear" w:color="auto" w:fill="F2F2F2"/>
            <w:vAlign w:val="center"/>
            <w:hideMark/>
          </w:tcPr>
          <w:p w14:paraId="558112A2" w14:textId="77777777" w:rsidR="00863463" w:rsidRPr="00863463" w:rsidRDefault="00863463" w:rsidP="00863463">
            <w:pPr>
              <w:widowControl/>
              <w:autoSpaceDE/>
              <w:autoSpaceDN/>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Esclerosis Múltiple </w:t>
            </w:r>
          </w:p>
        </w:tc>
        <w:tc>
          <w:tcPr>
            <w:tcW w:w="1905" w:type="dxa"/>
            <w:shd w:val="clear" w:color="auto" w:fill="F2F2F2"/>
            <w:vAlign w:val="center"/>
            <w:hideMark/>
          </w:tcPr>
          <w:p w14:paraId="53B4B3D5"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1 </w:t>
            </w:r>
          </w:p>
        </w:tc>
        <w:tc>
          <w:tcPr>
            <w:tcW w:w="3360" w:type="dxa"/>
            <w:shd w:val="clear" w:color="auto" w:fill="F2F2F2"/>
            <w:vAlign w:val="center"/>
            <w:hideMark/>
          </w:tcPr>
          <w:p w14:paraId="5663CA32"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0,36 </w:t>
            </w:r>
          </w:p>
        </w:tc>
      </w:tr>
      <w:tr w:rsidR="00537104" w:rsidRPr="00863463" w14:paraId="05001661" w14:textId="77777777" w:rsidTr="005C6F4B">
        <w:trPr>
          <w:trHeight w:val="255"/>
        </w:trPr>
        <w:tc>
          <w:tcPr>
            <w:tcW w:w="3525" w:type="dxa"/>
            <w:shd w:val="clear" w:color="auto" w:fill="auto"/>
            <w:vAlign w:val="center"/>
            <w:hideMark/>
          </w:tcPr>
          <w:p w14:paraId="2C5011CC" w14:textId="77777777" w:rsidR="00863463" w:rsidRPr="00863463" w:rsidRDefault="00863463" w:rsidP="00863463">
            <w:pPr>
              <w:widowControl/>
              <w:autoSpaceDE/>
              <w:autoSpaceDN/>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Gaucher </w:t>
            </w:r>
          </w:p>
        </w:tc>
        <w:tc>
          <w:tcPr>
            <w:tcW w:w="1905" w:type="dxa"/>
            <w:shd w:val="clear" w:color="auto" w:fill="auto"/>
            <w:vAlign w:val="center"/>
            <w:hideMark/>
          </w:tcPr>
          <w:p w14:paraId="16C78339"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0 </w:t>
            </w:r>
          </w:p>
        </w:tc>
        <w:tc>
          <w:tcPr>
            <w:tcW w:w="3360" w:type="dxa"/>
            <w:shd w:val="clear" w:color="auto" w:fill="auto"/>
            <w:vAlign w:val="center"/>
            <w:hideMark/>
          </w:tcPr>
          <w:p w14:paraId="7F01D973"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0,00 </w:t>
            </w:r>
          </w:p>
        </w:tc>
      </w:tr>
      <w:tr w:rsidR="00537104" w:rsidRPr="00863463" w14:paraId="41A5CB21" w14:textId="77777777" w:rsidTr="005C6F4B">
        <w:trPr>
          <w:trHeight w:val="255"/>
        </w:trPr>
        <w:tc>
          <w:tcPr>
            <w:tcW w:w="3525" w:type="dxa"/>
            <w:shd w:val="clear" w:color="auto" w:fill="F2F2F2"/>
            <w:vAlign w:val="center"/>
            <w:hideMark/>
          </w:tcPr>
          <w:p w14:paraId="6F67359E" w14:textId="77777777" w:rsidR="00863463" w:rsidRPr="00863463" w:rsidRDefault="00863463" w:rsidP="00863463">
            <w:pPr>
              <w:widowControl/>
              <w:autoSpaceDE/>
              <w:autoSpaceDN/>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Hemofilia </w:t>
            </w:r>
          </w:p>
        </w:tc>
        <w:tc>
          <w:tcPr>
            <w:tcW w:w="1905" w:type="dxa"/>
            <w:shd w:val="clear" w:color="auto" w:fill="F2F2F2"/>
            <w:vAlign w:val="center"/>
            <w:hideMark/>
          </w:tcPr>
          <w:p w14:paraId="6580D8F2"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1 </w:t>
            </w:r>
          </w:p>
        </w:tc>
        <w:tc>
          <w:tcPr>
            <w:tcW w:w="3360" w:type="dxa"/>
            <w:shd w:val="clear" w:color="auto" w:fill="F2F2F2"/>
            <w:vAlign w:val="center"/>
            <w:hideMark/>
          </w:tcPr>
          <w:p w14:paraId="1B0FA125"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0,36 </w:t>
            </w:r>
          </w:p>
        </w:tc>
      </w:tr>
      <w:tr w:rsidR="00537104" w:rsidRPr="00863463" w14:paraId="23A90E89" w14:textId="77777777" w:rsidTr="005C6F4B">
        <w:trPr>
          <w:trHeight w:val="120"/>
        </w:trPr>
        <w:tc>
          <w:tcPr>
            <w:tcW w:w="3525" w:type="dxa"/>
            <w:shd w:val="clear" w:color="auto" w:fill="auto"/>
            <w:vAlign w:val="center"/>
            <w:hideMark/>
          </w:tcPr>
          <w:p w14:paraId="106E7DCB" w14:textId="77777777" w:rsidR="00863463" w:rsidRPr="00863463" w:rsidRDefault="00863463" w:rsidP="00863463">
            <w:pPr>
              <w:widowControl/>
              <w:autoSpaceDE/>
              <w:autoSpaceDN/>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Hepatitis C </w:t>
            </w:r>
          </w:p>
        </w:tc>
        <w:tc>
          <w:tcPr>
            <w:tcW w:w="1905" w:type="dxa"/>
            <w:shd w:val="clear" w:color="auto" w:fill="auto"/>
            <w:vAlign w:val="center"/>
            <w:hideMark/>
          </w:tcPr>
          <w:p w14:paraId="79DC8F30"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0 </w:t>
            </w:r>
          </w:p>
        </w:tc>
        <w:tc>
          <w:tcPr>
            <w:tcW w:w="3360" w:type="dxa"/>
            <w:shd w:val="clear" w:color="auto" w:fill="auto"/>
            <w:vAlign w:val="center"/>
            <w:hideMark/>
          </w:tcPr>
          <w:p w14:paraId="1D6E185B"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0,00 </w:t>
            </w:r>
          </w:p>
        </w:tc>
      </w:tr>
      <w:tr w:rsidR="00537104" w:rsidRPr="00863463" w14:paraId="2FD24B8C" w14:textId="77777777" w:rsidTr="005C6F4B">
        <w:trPr>
          <w:trHeight w:val="105"/>
        </w:trPr>
        <w:tc>
          <w:tcPr>
            <w:tcW w:w="3525" w:type="dxa"/>
            <w:shd w:val="clear" w:color="auto" w:fill="F2F2F2"/>
            <w:vAlign w:val="center"/>
            <w:hideMark/>
          </w:tcPr>
          <w:p w14:paraId="279F6F71" w14:textId="77777777" w:rsidR="00863463" w:rsidRPr="00863463" w:rsidRDefault="00863463" w:rsidP="00863463">
            <w:pPr>
              <w:widowControl/>
              <w:autoSpaceDE/>
              <w:autoSpaceDN/>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VIH </w:t>
            </w:r>
          </w:p>
        </w:tc>
        <w:tc>
          <w:tcPr>
            <w:tcW w:w="1905" w:type="dxa"/>
            <w:shd w:val="clear" w:color="auto" w:fill="F2F2F2"/>
            <w:vAlign w:val="center"/>
            <w:hideMark/>
          </w:tcPr>
          <w:p w14:paraId="2A831B71"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8 </w:t>
            </w:r>
          </w:p>
        </w:tc>
        <w:tc>
          <w:tcPr>
            <w:tcW w:w="3360" w:type="dxa"/>
            <w:shd w:val="clear" w:color="auto" w:fill="F2F2F2"/>
            <w:vAlign w:val="center"/>
            <w:hideMark/>
          </w:tcPr>
          <w:p w14:paraId="02C08C48" w14:textId="77777777" w:rsidR="00863463" w:rsidRPr="00863463" w:rsidRDefault="00863463" w:rsidP="00863463">
            <w:pPr>
              <w:widowControl/>
              <w:autoSpaceDE/>
              <w:autoSpaceDN/>
              <w:jc w:val="center"/>
              <w:textAlignment w:val="baseline"/>
              <w:rPr>
                <w:rFonts w:ascii="Times New Roman" w:eastAsia="Times New Roman" w:hAnsi="Times New Roman" w:cs="Times New Roman"/>
                <w:sz w:val="24"/>
                <w:szCs w:val="24"/>
                <w:lang w:val="es-CO" w:eastAsia="es-CO"/>
              </w:rPr>
            </w:pPr>
            <w:r w:rsidRPr="00863463">
              <w:rPr>
                <w:rFonts w:ascii="Humanst521 BT" w:eastAsia="Times New Roman" w:hAnsi="Humanst521 BT" w:cs="Times New Roman"/>
                <w:sz w:val="20"/>
                <w:szCs w:val="20"/>
                <w:lang w:val="es-CO" w:eastAsia="es-CO"/>
              </w:rPr>
              <w:t>2,90 </w:t>
            </w:r>
          </w:p>
        </w:tc>
      </w:tr>
    </w:tbl>
    <w:p w14:paraId="31A905D7" w14:textId="77777777" w:rsidR="00863463" w:rsidRPr="00863463" w:rsidRDefault="00863463" w:rsidP="00863463">
      <w:pPr>
        <w:widowControl/>
        <w:autoSpaceDE/>
        <w:autoSpaceDN/>
        <w:textAlignment w:val="baseline"/>
        <w:rPr>
          <w:rFonts w:ascii="Segoe UI" w:eastAsia="Times New Roman" w:hAnsi="Segoe UI" w:cs="Segoe UI"/>
          <w:sz w:val="18"/>
          <w:szCs w:val="18"/>
          <w:lang w:val="es-CO" w:eastAsia="es-CO"/>
        </w:rPr>
      </w:pPr>
      <w:r w:rsidRPr="00863463">
        <w:rPr>
          <w:rFonts w:ascii="Humanst521 BT" w:eastAsia="Times New Roman" w:hAnsi="Humanst521 BT" w:cs="Segoe UI"/>
          <w:lang w:val="es-CO" w:eastAsia="es-CO"/>
        </w:rPr>
        <w:t>Fuente: Sistema Integrado de UISALUD </w:t>
      </w:r>
    </w:p>
    <w:p w14:paraId="3C51DAA1" w14:textId="77777777" w:rsidR="00863463" w:rsidRPr="00863463" w:rsidRDefault="00863463" w:rsidP="00863463">
      <w:pPr>
        <w:widowControl/>
        <w:autoSpaceDE/>
        <w:autoSpaceDN/>
        <w:jc w:val="both"/>
        <w:textAlignment w:val="baseline"/>
        <w:rPr>
          <w:rFonts w:ascii="Segoe UI" w:eastAsia="Times New Roman" w:hAnsi="Segoe UI" w:cs="Segoe UI"/>
          <w:sz w:val="18"/>
          <w:szCs w:val="18"/>
          <w:lang w:val="es-CO" w:eastAsia="es-CO"/>
        </w:rPr>
      </w:pPr>
      <w:r w:rsidRPr="00863463">
        <w:rPr>
          <w:rFonts w:ascii="Humanst521 BT" w:eastAsia="Times New Roman" w:hAnsi="Humanst521 BT" w:cs="Segoe UI"/>
          <w:lang w:val="es-CO" w:eastAsia="es-CO"/>
        </w:rPr>
        <w:t> </w:t>
      </w:r>
    </w:p>
    <w:p w14:paraId="030CF8A4" w14:textId="77777777" w:rsidR="00863463" w:rsidRPr="007F0FA7" w:rsidRDefault="00863463" w:rsidP="00093B44">
      <w:pPr>
        <w:rPr>
          <w:rFonts w:ascii="Humanst521 BT" w:hAnsi="Humanst521 BT"/>
        </w:rPr>
      </w:pPr>
    </w:p>
    <w:p w14:paraId="6062BCD7" w14:textId="77BDBE61" w:rsidR="00852C53" w:rsidRPr="00C8589C" w:rsidRDefault="00EE129D" w:rsidP="00CF2550">
      <w:pPr>
        <w:pStyle w:val="Descripcin"/>
        <w:spacing w:line="240" w:lineRule="auto"/>
        <w:outlineLvl w:val="3"/>
        <w:rPr>
          <w:rFonts w:ascii="Humanst521 BT" w:eastAsia="Verdana" w:hAnsi="Humanst521 BT" w:cs="Verdana"/>
          <w:sz w:val="22"/>
          <w:szCs w:val="22"/>
          <w:lang w:val="es-ES"/>
        </w:rPr>
      </w:pPr>
      <w:bookmarkStart w:id="121" w:name="_Toc126052053"/>
      <w:bookmarkStart w:id="122" w:name="_Toc161297448"/>
      <w:bookmarkStart w:id="123" w:name="_Toc231286804"/>
      <w:r w:rsidRPr="00C8589C">
        <w:rPr>
          <w:rFonts w:ascii="Humanst521 BT" w:eastAsia="Verdana" w:hAnsi="Humanst521 BT" w:cs="Verdana"/>
          <w:sz w:val="22"/>
          <w:szCs w:val="22"/>
          <w:lang w:val="es-ES"/>
        </w:rPr>
        <w:t>5.2.1.</w:t>
      </w:r>
      <w:r w:rsidR="00C61CA6" w:rsidRPr="00C8589C">
        <w:rPr>
          <w:rFonts w:ascii="Humanst521 BT" w:eastAsia="Verdana" w:hAnsi="Humanst521 BT" w:cs="Verdana"/>
          <w:sz w:val="22"/>
          <w:szCs w:val="22"/>
          <w:lang w:val="es-ES"/>
        </w:rPr>
        <w:t>5. Patologías</w:t>
      </w:r>
      <w:r w:rsidR="00852C53" w:rsidRPr="00C8589C">
        <w:rPr>
          <w:rFonts w:ascii="Humanst521 BT" w:eastAsia="Verdana" w:hAnsi="Humanst521 BT" w:cs="Verdana"/>
          <w:sz w:val="22"/>
          <w:szCs w:val="22"/>
          <w:lang w:val="es-ES"/>
        </w:rPr>
        <w:t xml:space="preserve"> y eventos de alto consumo</w:t>
      </w:r>
      <w:bookmarkEnd w:id="121"/>
      <w:bookmarkEnd w:id="122"/>
      <w:bookmarkEnd w:id="123"/>
    </w:p>
    <w:p w14:paraId="1E21152A" w14:textId="77777777" w:rsidR="00CB6709" w:rsidRPr="004F3F82" w:rsidRDefault="00CB6709" w:rsidP="00CB6709">
      <w:pPr>
        <w:widowControl/>
        <w:autoSpaceDE/>
        <w:autoSpaceDN/>
        <w:spacing w:before="100" w:beforeAutospacing="1" w:after="100" w:afterAutospacing="1"/>
        <w:jc w:val="both"/>
        <w:rPr>
          <w:rFonts w:ascii="Humanst521 BT" w:hAnsi="Humanst521 BT"/>
        </w:rPr>
      </w:pPr>
      <w:r w:rsidRPr="004F3F82">
        <w:rPr>
          <w:rFonts w:ascii="Humanst521 BT" w:hAnsi="Humanst521 BT"/>
        </w:rPr>
        <w:t>El análisis del gasto en salud para la vigencia 2026 evidencia una alta concentración del riesgo financiero, donde el 4,5% de la población afiliada consume el 52,2% del gasto total en servicios médico-asistenciales y medicamentos. Este comportamiento, consistente con distribuciones tipo Pareto, refleja que un grupo reducido de afiliados con condiciones de alta complejidad clínica determina de manera significativa la sostenibilidad del sistema. La población analizada presenta una edad promedio de 71 años, lo que confirma un perfil epidemiológico caracterizado por envejecimiento, multimorbilidad y mayor demanda de tecnologías en salud.</w:t>
      </w:r>
    </w:p>
    <w:p w14:paraId="7635B95B" w14:textId="77777777" w:rsidR="00CB6709" w:rsidRPr="004F3F82" w:rsidRDefault="00CB6709" w:rsidP="00CB6709">
      <w:pPr>
        <w:widowControl/>
        <w:autoSpaceDE/>
        <w:autoSpaceDN/>
        <w:spacing w:before="100" w:beforeAutospacing="1" w:after="100" w:afterAutospacing="1"/>
        <w:jc w:val="both"/>
        <w:rPr>
          <w:rFonts w:ascii="Humanst521 BT" w:hAnsi="Humanst521 BT"/>
        </w:rPr>
      </w:pPr>
      <w:r w:rsidRPr="004F3F82">
        <w:rPr>
          <w:rFonts w:ascii="Humanst521 BT" w:hAnsi="Humanst521 BT"/>
        </w:rPr>
        <w:t>Desde el punto de vista de la estructura del gasto, las neoplasias se consolidan como el principal determinante, concentrando la mayor proporción del costo total, seguidas por los trastornos mentales, las enfermedades del sistema nervioso y las patologías cardiovasculares. En conjunto, estos grupos diagnósticos representan la mayor carga económica, con costos promedio por paciente elevados, lo que sugiere un aumento en la complejidad terapéutica, la cronicidad y la dependencia funcional. Adicionalmente, se observa la emergencia de condiciones de salud mental y neurológicas como nuevos determinantes del gasto, lo cual indica una transición del perfil epidemiológico hacia enfermedades de larga duración y alto impacto funcional.</w:t>
      </w:r>
    </w:p>
    <w:p w14:paraId="0614D4BE" w14:textId="77777777" w:rsidR="00CB6709" w:rsidRPr="005B6DFF" w:rsidRDefault="00CB6709" w:rsidP="00CB6709">
      <w:pPr>
        <w:widowControl/>
        <w:autoSpaceDE/>
        <w:autoSpaceDN/>
        <w:spacing w:before="100" w:beforeAutospacing="1" w:after="100" w:afterAutospacing="1"/>
        <w:rPr>
          <w:rFonts w:ascii="Humanst521 BT" w:hAnsi="Humanst521 BT"/>
        </w:rPr>
      </w:pPr>
      <w:r w:rsidRPr="004F3F82">
        <w:rPr>
          <w:rFonts w:ascii="Humanst521 BT" w:hAnsi="Humanst521 BT"/>
        </w:rPr>
        <w:t xml:space="preserve">En este contexto, el comportamiento del gasto no está determinado por el volumen de pacientes, sino por el incremento en el costo individual y la severidad de los casos, lo que plantea retos importantes para la gestión del riesgo. Estos hallazgos orientan la necesidad de fortalecer estrategias focalizadas en la gestión </w:t>
      </w:r>
      <w:r w:rsidRPr="004F3F82">
        <w:rPr>
          <w:rFonts w:ascii="Humanst521 BT" w:hAnsi="Humanst521 BT"/>
        </w:rPr>
        <w:lastRenderedPageBreak/>
        <w:t>integral de pacientes de alto costo, especialmente en oncología, salud mental y enfermedades neurológicas, así como la implementación de modelos de seguimiento individualizado y auditoría clínica, con el fin de optimizar los desenlaces en salud y contribuir a la sostenibilidad financiera del sistema.</w:t>
      </w:r>
    </w:p>
    <w:p w14:paraId="68323A16" w14:textId="77777777" w:rsidR="00CB6709" w:rsidRPr="004F3F82" w:rsidRDefault="00CB6709" w:rsidP="00CB6709">
      <w:pPr>
        <w:widowControl/>
        <w:autoSpaceDE/>
        <w:autoSpaceDN/>
        <w:spacing w:before="100" w:beforeAutospacing="1" w:after="100" w:afterAutospacing="1"/>
        <w:rPr>
          <w:rFonts w:ascii="Humanst521 BT" w:hAnsi="Humanst521 BT"/>
        </w:rPr>
      </w:pPr>
      <w:r w:rsidRPr="005B6DFF">
        <w:rPr>
          <w:rFonts w:ascii="Humanst521 BT" w:hAnsi="Humanst521 BT"/>
        </w:rPr>
        <w:t>Para complementar el análisis del comportamiento del gasto en salud, se presenta la distribución según ciclo vital, con el fin de identificar la concentración del costo en los diferentes grupos etarios y su relación con la carga de enfermedad y la complejidad en la atención.</w:t>
      </w:r>
    </w:p>
    <w:p w14:paraId="77EBAA7F" w14:textId="77777777" w:rsidR="002F629D" w:rsidRPr="007F0FA7" w:rsidRDefault="002F629D" w:rsidP="00093B44">
      <w:pPr>
        <w:rPr>
          <w:rFonts w:ascii="Humanst521 BT" w:hAnsi="Humanst521 BT"/>
        </w:rPr>
      </w:pPr>
    </w:p>
    <w:p w14:paraId="2FF0E3E0" w14:textId="28F355E9" w:rsidR="009C4AF5" w:rsidRPr="007F0FA7" w:rsidRDefault="009C4AF5" w:rsidP="00093B44">
      <w:pPr>
        <w:jc w:val="both"/>
        <w:rPr>
          <w:rFonts w:ascii="Humanst521 BT" w:hAnsi="Humanst521 BT"/>
        </w:rPr>
      </w:pPr>
    </w:p>
    <w:p w14:paraId="4762C8E3" w14:textId="4882ABFC" w:rsidR="009C4AF5" w:rsidRPr="007F0FA7" w:rsidRDefault="009C4AF5" w:rsidP="00093B44">
      <w:pPr>
        <w:jc w:val="both"/>
        <w:rPr>
          <w:rFonts w:ascii="Humanst521 BT" w:hAnsi="Humanst521 BT"/>
        </w:rPr>
      </w:pPr>
      <w:bookmarkStart w:id="124" w:name="_Toc175305993"/>
      <w:bookmarkStart w:id="125" w:name="_Toc175752784"/>
      <w:bookmarkStart w:id="126" w:name="_Toc231286273"/>
      <w:r w:rsidRPr="007F0FA7">
        <w:rPr>
          <w:rFonts w:ascii="Humanst521 BT" w:hAnsi="Humanst521 BT"/>
        </w:rPr>
        <w:t xml:space="preserve">Tabla </w:t>
      </w:r>
      <w:r w:rsidRPr="007F0FA7">
        <w:rPr>
          <w:rFonts w:ascii="Humanst521 BT" w:hAnsi="Humanst521 BT"/>
        </w:rPr>
        <w:fldChar w:fldCharType="begin"/>
      </w:r>
      <w:r w:rsidRPr="007F0FA7">
        <w:rPr>
          <w:rFonts w:ascii="Humanst521 BT" w:hAnsi="Humanst521 BT"/>
        </w:rPr>
        <w:instrText xml:space="preserve"> SEQ Tabla \* ARABIC </w:instrText>
      </w:r>
      <w:r w:rsidRPr="007F0FA7">
        <w:rPr>
          <w:rFonts w:ascii="Humanst521 BT" w:hAnsi="Humanst521 BT"/>
        </w:rPr>
        <w:fldChar w:fldCharType="separate"/>
      </w:r>
      <w:r w:rsidR="00580EDB">
        <w:rPr>
          <w:rFonts w:ascii="Humanst521 BT" w:hAnsi="Humanst521 BT"/>
          <w:noProof/>
        </w:rPr>
        <w:t>28</w:t>
      </w:r>
      <w:r w:rsidRPr="007F0FA7">
        <w:rPr>
          <w:rFonts w:ascii="Humanst521 BT" w:hAnsi="Humanst521 BT"/>
        </w:rPr>
        <w:fldChar w:fldCharType="end"/>
      </w:r>
      <w:r w:rsidRPr="007F0FA7">
        <w:rPr>
          <w:rFonts w:ascii="Humanst521 BT" w:hAnsi="Humanst521 BT"/>
        </w:rPr>
        <w:t>. Distribución del gasto total por diagnóstico UISALUD 202</w:t>
      </w:r>
      <w:r w:rsidR="0097091B">
        <w:rPr>
          <w:rFonts w:ascii="Humanst521 BT" w:hAnsi="Humanst521 BT"/>
        </w:rPr>
        <w:t>5</w:t>
      </w:r>
      <w:bookmarkEnd w:id="124"/>
      <w:bookmarkEnd w:id="125"/>
      <w:bookmarkEnd w:id="126"/>
      <w:r w:rsidRPr="007F0FA7">
        <w:rPr>
          <w:rFonts w:ascii="Humanst521 BT" w:hAnsi="Humanst521 BT"/>
        </w:rPr>
        <w:t xml:space="preserve"> </w:t>
      </w:r>
    </w:p>
    <w:p w14:paraId="33C1955E" w14:textId="77777777" w:rsidR="009C4AF5" w:rsidRPr="007F0FA7" w:rsidRDefault="009C4AF5" w:rsidP="00093B44">
      <w:pPr>
        <w:jc w:val="both"/>
        <w:rPr>
          <w:rFonts w:ascii="Humanst521 BT" w:eastAsia="Calibri" w:hAnsi="Humanst521 BT" w:cs="Calibri"/>
        </w:rPr>
      </w:pPr>
    </w:p>
    <w:tbl>
      <w:tblPr>
        <w:tblW w:w="5000" w:type="pct"/>
        <w:tblCellMar>
          <w:left w:w="70" w:type="dxa"/>
          <w:right w:w="70" w:type="dxa"/>
        </w:tblCellMar>
        <w:tblLook w:val="04A0" w:firstRow="1" w:lastRow="0" w:firstColumn="1" w:lastColumn="0" w:noHBand="0" w:noVBand="1"/>
      </w:tblPr>
      <w:tblGrid>
        <w:gridCol w:w="4293"/>
        <w:gridCol w:w="818"/>
        <w:gridCol w:w="686"/>
        <w:gridCol w:w="941"/>
        <w:gridCol w:w="872"/>
        <w:gridCol w:w="989"/>
        <w:gridCol w:w="941"/>
      </w:tblGrid>
      <w:tr w:rsidR="00F10E8E" w:rsidRPr="00F10E8E" w14:paraId="6B362A5C" w14:textId="77777777" w:rsidTr="00F10E8E">
        <w:trPr>
          <w:trHeight w:val="975"/>
        </w:trPr>
        <w:tc>
          <w:tcPr>
            <w:tcW w:w="2507" w:type="pc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470A73AF" w14:textId="0BB6A46B" w:rsidR="00F10E8E" w:rsidRPr="00F10E8E" w:rsidRDefault="00F10E8E" w:rsidP="00F10E8E">
            <w:pPr>
              <w:widowControl/>
              <w:autoSpaceDE/>
              <w:autoSpaceDN/>
              <w:jc w:val="center"/>
              <w:rPr>
                <w:rFonts w:ascii="Humanst521 BT" w:eastAsia="Times New Roman" w:hAnsi="Humanst521 BT" w:cs="Arial"/>
                <w:b/>
                <w:bCs/>
                <w:color w:val="000000"/>
                <w:sz w:val="20"/>
                <w:szCs w:val="20"/>
                <w:lang w:val="es-CO" w:eastAsia="es-CO"/>
              </w:rPr>
            </w:pPr>
            <w:bookmarkStart w:id="127" w:name="RANGE!F4"/>
            <w:r w:rsidRPr="00F10E8E">
              <w:rPr>
                <w:rFonts w:ascii="Humanst521 BT" w:eastAsia="Times New Roman" w:hAnsi="Humanst521 BT" w:cs="Arial"/>
                <w:b/>
                <w:bCs/>
                <w:color w:val="000000"/>
                <w:sz w:val="20"/>
                <w:szCs w:val="20"/>
                <w:lang w:val="es-CO" w:eastAsia="es-CO"/>
              </w:rPr>
              <w:t> </w:t>
            </w:r>
            <w:bookmarkEnd w:id="127"/>
            <w:proofErr w:type="spellStart"/>
            <w:r w:rsidR="00920A89">
              <w:rPr>
                <w:rFonts w:ascii="Humanst521 BT" w:eastAsia="Times New Roman" w:hAnsi="Humanst521 BT" w:cs="Arial"/>
                <w:b/>
                <w:bCs/>
                <w:color w:val="000000"/>
                <w:sz w:val="20"/>
                <w:szCs w:val="20"/>
                <w:lang w:val="es-CO" w:eastAsia="es-CO"/>
              </w:rPr>
              <w:t>Diagnosticos</w:t>
            </w:r>
            <w:proofErr w:type="spellEnd"/>
            <w:r w:rsidR="00920A89">
              <w:rPr>
                <w:rFonts w:ascii="Humanst521 BT" w:eastAsia="Times New Roman" w:hAnsi="Humanst521 BT" w:cs="Arial"/>
                <w:b/>
                <w:bCs/>
                <w:color w:val="000000"/>
                <w:sz w:val="20"/>
                <w:szCs w:val="20"/>
                <w:lang w:val="es-CO" w:eastAsia="es-CO"/>
              </w:rPr>
              <w:t xml:space="preserve"> agrupados por capítulo</w:t>
            </w:r>
          </w:p>
        </w:tc>
        <w:tc>
          <w:tcPr>
            <w:tcW w:w="456" w:type="pct"/>
            <w:tcBorders>
              <w:top w:val="single" w:sz="8" w:space="0" w:color="67B93E"/>
              <w:left w:val="nil"/>
              <w:bottom w:val="single" w:sz="8" w:space="0" w:color="67B93E"/>
              <w:right w:val="single" w:sz="8" w:space="0" w:color="67B93E"/>
            </w:tcBorders>
            <w:shd w:val="clear" w:color="000000" w:fill="C5E0B3"/>
            <w:vAlign w:val="center"/>
            <w:hideMark/>
          </w:tcPr>
          <w:p w14:paraId="7704E546" w14:textId="77777777" w:rsidR="00F10E8E" w:rsidRPr="00F10E8E" w:rsidRDefault="00F10E8E" w:rsidP="00F10E8E">
            <w:pPr>
              <w:widowControl/>
              <w:autoSpaceDE/>
              <w:autoSpaceDN/>
              <w:jc w:val="center"/>
              <w:rPr>
                <w:rFonts w:ascii="Humanst521 BT" w:eastAsia="Times New Roman" w:hAnsi="Humanst521 BT" w:cs="Arial"/>
                <w:b/>
                <w:bCs/>
                <w:color w:val="000000"/>
                <w:sz w:val="20"/>
                <w:szCs w:val="20"/>
                <w:lang w:val="es-CO" w:eastAsia="es-CO"/>
              </w:rPr>
            </w:pPr>
            <w:r w:rsidRPr="00F10E8E">
              <w:rPr>
                <w:rFonts w:ascii="Humanst521 BT" w:eastAsia="Times New Roman" w:hAnsi="Humanst521 BT" w:cs="Arial"/>
                <w:b/>
                <w:bCs/>
                <w:color w:val="000000"/>
                <w:sz w:val="20"/>
                <w:szCs w:val="20"/>
                <w:lang w:eastAsia="es-CO"/>
              </w:rPr>
              <w:t xml:space="preserve">N° Afiliados </w:t>
            </w:r>
          </w:p>
        </w:tc>
        <w:tc>
          <w:tcPr>
            <w:tcW w:w="324" w:type="pct"/>
            <w:tcBorders>
              <w:top w:val="single" w:sz="8" w:space="0" w:color="67B93E"/>
              <w:left w:val="nil"/>
              <w:bottom w:val="single" w:sz="8" w:space="0" w:color="67B93E"/>
              <w:right w:val="single" w:sz="8" w:space="0" w:color="67B93E"/>
            </w:tcBorders>
            <w:shd w:val="clear" w:color="000000" w:fill="C5E0B3"/>
            <w:vAlign w:val="center"/>
            <w:hideMark/>
          </w:tcPr>
          <w:p w14:paraId="11DCB36E" w14:textId="77777777" w:rsidR="00F10E8E" w:rsidRPr="00F10E8E" w:rsidRDefault="00F10E8E" w:rsidP="00F10E8E">
            <w:pPr>
              <w:widowControl/>
              <w:autoSpaceDE/>
              <w:autoSpaceDN/>
              <w:jc w:val="center"/>
              <w:rPr>
                <w:rFonts w:ascii="Humanst521 BT" w:eastAsia="Times New Roman" w:hAnsi="Humanst521 BT" w:cs="Arial"/>
                <w:b/>
                <w:bCs/>
                <w:color w:val="000000"/>
                <w:sz w:val="20"/>
                <w:szCs w:val="20"/>
                <w:lang w:val="es-CO" w:eastAsia="es-CO"/>
              </w:rPr>
            </w:pPr>
            <w:r w:rsidRPr="00F10E8E">
              <w:rPr>
                <w:rFonts w:ascii="Humanst521 BT" w:eastAsia="Times New Roman" w:hAnsi="Humanst521 BT" w:cs="Arial"/>
                <w:b/>
                <w:bCs/>
                <w:color w:val="000000"/>
                <w:sz w:val="20"/>
                <w:szCs w:val="20"/>
                <w:lang w:eastAsia="es-CO"/>
              </w:rPr>
              <w:t xml:space="preserve">% Part. </w:t>
            </w:r>
          </w:p>
        </w:tc>
        <w:tc>
          <w:tcPr>
            <w:tcW w:w="403" w:type="pct"/>
            <w:tcBorders>
              <w:top w:val="single" w:sz="8" w:space="0" w:color="67B93E"/>
              <w:left w:val="nil"/>
              <w:bottom w:val="single" w:sz="8" w:space="0" w:color="67B93E"/>
              <w:right w:val="single" w:sz="8" w:space="0" w:color="67B93E"/>
            </w:tcBorders>
            <w:shd w:val="clear" w:color="000000" w:fill="C5E0B3"/>
            <w:vAlign w:val="center"/>
            <w:hideMark/>
          </w:tcPr>
          <w:p w14:paraId="5ADC4652" w14:textId="77777777" w:rsidR="00F10E8E" w:rsidRPr="00F10E8E" w:rsidRDefault="00F10E8E" w:rsidP="00F10E8E">
            <w:pPr>
              <w:widowControl/>
              <w:autoSpaceDE/>
              <w:autoSpaceDN/>
              <w:jc w:val="center"/>
              <w:rPr>
                <w:rFonts w:ascii="Humanst521 BT" w:eastAsia="Times New Roman" w:hAnsi="Humanst521 BT" w:cs="Arial"/>
                <w:b/>
                <w:bCs/>
                <w:color w:val="000000"/>
                <w:sz w:val="20"/>
                <w:szCs w:val="20"/>
                <w:lang w:val="es-CO" w:eastAsia="es-CO"/>
              </w:rPr>
            </w:pPr>
            <w:r w:rsidRPr="00F10E8E">
              <w:rPr>
                <w:rFonts w:ascii="Humanst521 BT" w:eastAsia="Times New Roman" w:hAnsi="Humanst521 BT" w:cs="Arial"/>
                <w:b/>
                <w:bCs/>
                <w:color w:val="000000"/>
                <w:sz w:val="20"/>
                <w:szCs w:val="20"/>
                <w:lang w:eastAsia="es-CO"/>
              </w:rPr>
              <w:t>Promedio de Edad</w:t>
            </w:r>
          </w:p>
        </w:tc>
        <w:tc>
          <w:tcPr>
            <w:tcW w:w="535" w:type="pct"/>
            <w:tcBorders>
              <w:top w:val="single" w:sz="8" w:space="0" w:color="67B93E"/>
              <w:left w:val="nil"/>
              <w:bottom w:val="single" w:sz="8" w:space="0" w:color="67B93E"/>
              <w:right w:val="single" w:sz="8" w:space="0" w:color="67B93E"/>
            </w:tcBorders>
            <w:shd w:val="clear" w:color="000000" w:fill="C5E0B3"/>
            <w:vAlign w:val="center"/>
            <w:hideMark/>
          </w:tcPr>
          <w:p w14:paraId="4F829CF1" w14:textId="77777777" w:rsidR="00F10E8E" w:rsidRPr="00F10E8E" w:rsidRDefault="00F10E8E" w:rsidP="00F10E8E">
            <w:pPr>
              <w:widowControl/>
              <w:autoSpaceDE/>
              <w:autoSpaceDN/>
              <w:jc w:val="center"/>
              <w:rPr>
                <w:rFonts w:ascii="Humanst521 BT" w:eastAsia="Times New Roman" w:hAnsi="Humanst521 BT" w:cs="Arial"/>
                <w:b/>
                <w:bCs/>
                <w:color w:val="000000"/>
                <w:sz w:val="20"/>
                <w:szCs w:val="20"/>
                <w:lang w:val="es-CO" w:eastAsia="es-CO"/>
              </w:rPr>
            </w:pPr>
            <w:r w:rsidRPr="00F10E8E">
              <w:rPr>
                <w:rFonts w:ascii="Humanst521 BT" w:eastAsia="Times New Roman" w:hAnsi="Humanst521 BT" w:cs="Arial"/>
                <w:b/>
                <w:bCs/>
                <w:color w:val="000000"/>
                <w:sz w:val="20"/>
                <w:szCs w:val="20"/>
                <w:lang w:eastAsia="es-CO"/>
              </w:rPr>
              <w:t xml:space="preserve">Costo (Millones $) </w:t>
            </w:r>
          </w:p>
        </w:tc>
        <w:tc>
          <w:tcPr>
            <w:tcW w:w="403" w:type="pct"/>
            <w:tcBorders>
              <w:top w:val="single" w:sz="8" w:space="0" w:color="67B93E"/>
              <w:left w:val="nil"/>
              <w:bottom w:val="single" w:sz="8" w:space="0" w:color="67B93E"/>
              <w:right w:val="single" w:sz="8" w:space="0" w:color="67B93E"/>
            </w:tcBorders>
            <w:shd w:val="clear" w:color="000000" w:fill="C5E0B3"/>
            <w:vAlign w:val="center"/>
            <w:hideMark/>
          </w:tcPr>
          <w:p w14:paraId="60CBABA1" w14:textId="77777777" w:rsidR="00F10E8E" w:rsidRPr="00F10E8E" w:rsidRDefault="00F10E8E" w:rsidP="00F10E8E">
            <w:pPr>
              <w:widowControl/>
              <w:autoSpaceDE/>
              <w:autoSpaceDN/>
              <w:jc w:val="center"/>
              <w:rPr>
                <w:rFonts w:ascii="Humanst521 BT" w:eastAsia="Times New Roman" w:hAnsi="Humanst521 BT" w:cs="Arial"/>
                <w:b/>
                <w:bCs/>
                <w:color w:val="000000"/>
                <w:sz w:val="20"/>
                <w:szCs w:val="20"/>
                <w:lang w:val="es-CO" w:eastAsia="es-CO"/>
              </w:rPr>
            </w:pPr>
            <w:r w:rsidRPr="00F10E8E">
              <w:rPr>
                <w:rFonts w:ascii="Humanst521 BT" w:eastAsia="Times New Roman" w:hAnsi="Humanst521 BT" w:cs="Arial"/>
                <w:b/>
                <w:bCs/>
                <w:color w:val="000000"/>
                <w:sz w:val="20"/>
                <w:szCs w:val="20"/>
                <w:lang w:eastAsia="es-CO"/>
              </w:rPr>
              <w:t xml:space="preserve">% Del Costo Total </w:t>
            </w:r>
          </w:p>
        </w:tc>
        <w:tc>
          <w:tcPr>
            <w:tcW w:w="372" w:type="pct"/>
            <w:tcBorders>
              <w:top w:val="single" w:sz="8" w:space="0" w:color="67B93E"/>
              <w:left w:val="nil"/>
              <w:bottom w:val="single" w:sz="8" w:space="0" w:color="67B93E"/>
              <w:right w:val="single" w:sz="8" w:space="0" w:color="67B93E"/>
            </w:tcBorders>
            <w:shd w:val="clear" w:color="000000" w:fill="C5E0B3"/>
            <w:vAlign w:val="center"/>
            <w:hideMark/>
          </w:tcPr>
          <w:p w14:paraId="008436C7" w14:textId="77777777" w:rsidR="00F10E8E" w:rsidRPr="00F10E8E" w:rsidRDefault="00F10E8E" w:rsidP="00F10E8E">
            <w:pPr>
              <w:widowControl/>
              <w:autoSpaceDE/>
              <w:autoSpaceDN/>
              <w:jc w:val="center"/>
              <w:rPr>
                <w:rFonts w:ascii="Humanst521 BT" w:eastAsia="Times New Roman" w:hAnsi="Humanst521 BT" w:cs="Arial"/>
                <w:b/>
                <w:bCs/>
                <w:color w:val="000000"/>
                <w:sz w:val="20"/>
                <w:szCs w:val="20"/>
                <w:lang w:val="es-CO" w:eastAsia="es-CO"/>
              </w:rPr>
            </w:pPr>
            <w:r w:rsidRPr="00F10E8E">
              <w:rPr>
                <w:rFonts w:ascii="Humanst521 BT" w:eastAsia="Times New Roman" w:hAnsi="Humanst521 BT" w:cs="Arial"/>
                <w:b/>
                <w:bCs/>
                <w:color w:val="000000"/>
                <w:sz w:val="20"/>
                <w:szCs w:val="20"/>
                <w:lang w:eastAsia="es-CO"/>
              </w:rPr>
              <w:t xml:space="preserve">Promedio por </w:t>
            </w:r>
            <w:proofErr w:type="gramStart"/>
            <w:r w:rsidRPr="00F10E8E">
              <w:rPr>
                <w:rFonts w:ascii="Humanst521 BT" w:eastAsia="Times New Roman" w:hAnsi="Humanst521 BT" w:cs="Arial"/>
                <w:b/>
                <w:bCs/>
                <w:color w:val="000000"/>
                <w:sz w:val="20"/>
                <w:szCs w:val="20"/>
                <w:lang w:eastAsia="es-CO"/>
              </w:rPr>
              <w:t>paciente  (</w:t>
            </w:r>
            <w:proofErr w:type="gramEnd"/>
            <w:r w:rsidRPr="00F10E8E">
              <w:rPr>
                <w:rFonts w:ascii="Humanst521 BT" w:eastAsia="Times New Roman" w:hAnsi="Humanst521 BT" w:cs="Arial"/>
                <w:b/>
                <w:bCs/>
                <w:color w:val="000000"/>
                <w:sz w:val="20"/>
                <w:szCs w:val="20"/>
                <w:lang w:eastAsia="es-CO"/>
              </w:rPr>
              <w:t xml:space="preserve">Millones $) </w:t>
            </w:r>
          </w:p>
        </w:tc>
      </w:tr>
      <w:tr w:rsidR="00F10E8E" w:rsidRPr="00F10E8E" w14:paraId="4B6EC00D"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FFFFF"/>
            <w:vAlign w:val="center"/>
            <w:hideMark/>
          </w:tcPr>
          <w:p w14:paraId="180402DD"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Tumores [neoplasias] (C00-D48)</w:t>
            </w:r>
          </w:p>
        </w:tc>
        <w:tc>
          <w:tcPr>
            <w:tcW w:w="456" w:type="pct"/>
            <w:tcBorders>
              <w:top w:val="nil"/>
              <w:left w:val="nil"/>
              <w:bottom w:val="single" w:sz="8" w:space="0" w:color="67B93E"/>
              <w:right w:val="single" w:sz="8" w:space="0" w:color="67B93E"/>
            </w:tcBorders>
            <w:shd w:val="clear" w:color="000000" w:fill="FFFFFF"/>
            <w:vAlign w:val="center"/>
            <w:hideMark/>
          </w:tcPr>
          <w:p w14:paraId="6CEE8577"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47</w:t>
            </w:r>
          </w:p>
        </w:tc>
        <w:tc>
          <w:tcPr>
            <w:tcW w:w="324" w:type="pct"/>
            <w:tcBorders>
              <w:top w:val="nil"/>
              <w:left w:val="nil"/>
              <w:bottom w:val="single" w:sz="8" w:space="0" w:color="67B93E"/>
              <w:right w:val="single" w:sz="8" w:space="0" w:color="67B93E"/>
            </w:tcBorders>
            <w:shd w:val="clear" w:color="000000" w:fill="FFFFFF"/>
            <w:vAlign w:val="center"/>
            <w:hideMark/>
          </w:tcPr>
          <w:p w14:paraId="1583146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34,1%</w:t>
            </w:r>
          </w:p>
        </w:tc>
        <w:tc>
          <w:tcPr>
            <w:tcW w:w="403" w:type="pct"/>
            <w:tcBorders>
              <w:top w:val="nil"/>
              <w:left w:val="nil"/>
              <w:bottom w:val="single" w:sz="8" w:space="0" w:color="67B93E"/>
              <w:right w:val="single" w:sz="8" w:space="0" w:color="67B93E"/>
            </w:tcBorders>
            <w:shd w:val="clear" w:color="000000" w:fill="FFFFFF"/>
            <w:vAlign w:val="center"/>
            <w:hideMark/>
          </w:tcPr>
          <w:p w14:paraId="60B18150"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73</w:t>
            </w:r>
          </w:p>
        </w:tc>
        <w:tc>
          <w:tcPr>
            <w:tcW w:w="535" w:type="pct"/>
            <w:tcBorders>
              <w:top w:val="nil"/>
              <w:left w:val="nil"/>
              <w:bottom w:val="single" w:sz="8" w:space="0" w:color="67B93E"/>
              <w:right w:val="single" w:sz="8" w:space="0" w:color="67B93E"/>
            </w:tcBorders>
            <w:shd w:val="clear" w:color="000000" w:fill="FFFFFF"/>
            <w:vAlign w:val="center"/>
            <w:hideMark/>
          </w:tcPr>
          <w:p w14:paraId="14BABD1F"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$ 4.948,3</w:t>
            </w:r>
          </w:p>
        </w:tc>
        <w:tc>
          <w:tcPr>
            <w:tcW w:w="403" w:type="pct"/>
            <w:tcBorders>
              <w:top w:val="nil"/>
              <w:left w:val="nil"/>
              <w:bottom w:val="single" w:sz="8" w:space="0" w:color="67B93E"/>
              <w:right w:val="single" w:sz="8" w:space="0" w:color="67B93E"/>
            </w:tcBorders>
            <w:shd w:val="clear" w:color="000000" w:fill="FFFFFF"/>
            <w:vAlign w:val="center"/>
            <w:hideMark/>
          </w:tcPr>
          <w:p w14:paraId="5AF606AE"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16280,9%</w:t>
            </w:r>
          </w:p>
        </w:tc>
        <w:tc>
          <w:tcPr>
            <w:tcW w:w="372" w:type="pct"/>
            <w:tcBorders>
              <w:top w:val="nil"/>
              <w:left w:val="nil"/>
              <w:bottom w:val="single" w:sz="8" w:space="0" w:color="67B93E"/>
              <w:right w:val="single" w:sz="8" w:space="0" w:color="67B93E"/>
            </w:tcBorders>
            <w:shd w:val="clear" w:color="000000" w:fill="FFFFFF"/>
            <w:vAlign w:val="center"/>
            <w:hideMark/>
          </w:tcPr>
          <w:p w14:paraId="2B6B38CC"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$ 105,3</w:t>
            </w:r>
          </w:p>
        </w:tc>
      </w:tr>
      <w:tr w:rsidR="00F10E8E" w:rsidRPr="00F10E8E" w14:paraId="360B9DBE"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2F2F2"/>
            <w:vAlign w:val="center"/>
            <w:hideMark/>
          </w:tcPr>
          <w:p w14:paraId="72CA99AC"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Enfermedades del sistema circulatorio (I00-I99)</w:t>
            </w:r>
          </w:p>
        </w:tc>
        <w:tc>
          <w:tcPr>
            <w:tcW w:w="456" w:type="pct"/>
            <w:tcBorders>
              <w:top w:val="nil"/>
              <w:left w:val="nil"/>
              <w:bottom w:val="single" w:sz="8" w:space="0" w:color="67B93E"/>
              <w:right w:val="single" w:sz="8" w:space="0" w:color="67B93E"/>
            </w:tcBorders>
            <w:shd w:val="clear" w:color="000000" w:fill="FFFFFF"/>
            <w:vAlign w:val="center"/>
            <w:hideMark/>
          </w:tcPr>
          <w:p w14:paraId="61764B5A"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21</w:t>
            </w:r>
          </w:p>
        </w:tc>
        <w:tc>
          <w:tcPr>
            <w:tcW w:w="324" w:type="pct"/>
            <w:tcBorders>
              <w:top w:val="nil"/>
              <w:left w:val="nil"/>
              <w:bottom w:val="single" w:sz="8" w:space="0" w:color="67B93E"/>
              <w:right w:val="single" w:sz="8" w:space="0" w:color="67B93E"/>
            </w:tcBorders>
            <w:shd w:val="clear" w:color="000000" w:fill="FFFFFF"/>
            <w:vAlign w:val="center"/>
            <w:hideMark/>
          </w:tcPr>
          <w:p w14:paraId="12359CE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15,2%</w:t>
            </w:r>
          </w:p>
        </w:tc>
        <w:tc>
          <w:tcPr>
            <w:tcW w:w="403" w:type="pct"/>
            <w:tcBorders>
              <w:top w:val="nil"/>
              <w:left w:val="nil"/>
              <w:bottom w:val="single" w:sz="8" w:space="0" w:color="67B93E"/>
              <w:right w:val="single" w:sz="8" w:space="0" w:color="67B93E"/>
            </w:tcBorders>
            <w:shd w:val="clear" w:color="000000" w:fill="F2F2F2"/>
            <w:vAlign w:val="center"/>
            <w:hideMark/>
          </w:tcPr>
          <w:p w14:paraId="2DD02DC5"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74</w:t>
            </w:r>
          </w:p>
        </w:tc>
        <w:tc>
          <w:tcPr>
            <w:tcW w:w="535" w:type="pct"/>
            <w:tcBorders>
              <w:top w:val="nil"/>
              <w:left w:val="nil"/>
              <w:bottom w:val="single" w:sz="8" w:space="0" w:color="67B93E"/>
              <w:right w:val="single" w:sz="8" w:space="0" w:color="67B93E"/>
            </w:tcBorders>
            <w:shd w:val="clear" w:color="000000" w:fill="F2F2F2"/>
            <w:vAlign w:val="center"/>
            <w:hideMark/>
          </w:tcPr>
          <w:p w14:paraId="2678A3BA"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$ 1.047,0</w:t>
            </w:r>
          </w:p>
        </w:tc>
        <w:tc>
          <w:tcPr>
            <w:tcW w:w="403" w:type="pct"/>
            <w:tcBorders>
              <w:top w:val="nil"/>
              <w:left w:val="nil"/>
              <w:bottom w:val="single" w:sz="8" w:space="0" w:color="67B93E"/>
              <w:right w:val="single" w:sz="8" w:space="0" w:color="67B93E"/>
            </w:tcBorders>
            <w:shd w:val="clear" w:color="000000" w:fill="F2F2F2"/>
            <w:vAlign w:val="center"/>
            <w:hideMark/>
          </w:tcPr>
          <w:p w14:paraId="7D2DE325"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3444,9%</w:t>
            </w:r>
          </w:p>
        </w:tc>
        <w:tc>
          <w:tcPr>
            <w:tcW w:w="372" w:type="pct"/>
            <w:tcBorders>
              <w:top w:val="nil"/>
              <w:left w:val="nil"/>
              <w:bottom w:val="single" w:sz="8" w:space="0" w:color="67B93E"/>
              <w:right w:val="single" w:sz="8" w:space="0" w:color="67B93E"/>
            </w:tcBorders>
            <w:shd w:val="clear" w:color="000000" w:fill="FFFFFF"/>
            <w:vAlign w:val="center"/>
            <w:hideMark/>
          </w:tcPr>
          <w:p w14:paraId="646FF4B5"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$ 49,9</w:t>
            </w:r>
          </w:p>
        </w:tc>
      </w:tr>
      <w:tr w:rsidR="00F10E8E" w:rsidRPr="00F10E8E" w14:paraId="21BA2BF5"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FFFFF"/>
            <w:vAlign w:val="center"/>
            <w:hideMark/>
          </w:tcPr>
          <w:p w14:paraId="76AF61A1"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Trastornos mentales y del comportamiento (F00-F99)</w:t>
            </w:r>
          </w:p>
        </w:tc>
        <w:tc>
          <w:tcPr>
            <w:tcW w:w="456" w:type="pct"/>
            <w:tcBorders>
              <w:top w:val="nil"/>
              <w:left w:val="nil"/>
              <w:bottom w:val="single" w:sz="8" w:space="0" w:color="67B93E"/>
              <w:right w:val="single" w:sz="8" w:space="0" w:color="67B93E"/>
            </w:tcBorders>
            <w:shd w:val="clear" w:color="000000" w:fill="FFFFFF"/>
            <w:vAlign w:val="center"/>
            <w:hideMark/>
          </w:tcPr>
          <w:p w14:paraId="41415500"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12</w:t>
            </w:r>
          </w:p>
        </w:tc>
        <w:tc>
          <w:tcPr>
            <w:tcW w:w="324" w:type="pct"/>
            <w:tcBorders>
              <w:top w:val="nil"/>
              <w:left w:val="nil"/>
              <w:bottom w:val="single" w:sz="8" w:space="0" w:color="67B93E"/>
              <w:right w:val="single" w:sz="8" w:space="0" w:color="67B93E"/>
            </w:tcBorders>
            <w:shd w:val="clear" w:color="000000" w:fill="FFFFFF"/>
            <w:vAlign w:val="center"/>
            <w:hideMark/>
          </w:tcPr>
          <w:p w14:paraId="0266B00E"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8,7%</w:t>
            </w:r>
          </w:p>
        </w:tc>
        <w:tc>
          <w:tcPr>
            <w:tcW w:w="403" w:type="pct"/>
            <w:tcBorders>
              <w:top w:val="nil"/>
              <w:left w:val="nil"/>
              <w:bottom w:val="single" w:sz="8" w:space="0" w:color="67B93E"/>
              <w:right w:val="single" w:sz="8" w:space="0" w:color="67B93E"/>
            </w:tcBorders>
            <w:shd w:val="clear" w:color="000000" w:fill="FFFFFF"/>
            <w:vAlign w:val="center"/>
            <w:hideMark/>
          </w:tcPr>
          <w:p w14:paraId="387CAE67"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73</w:t>
            </w:r>
          </w:p>
        </w:tc>
        <w:tc>
          <w:tcPr>
            <w:tcW w:w="535" w:type="pct"/>
            <w:tcBorders>
              <w:top w:val="nil"/>
              <w:left w:val="nil"/>
              <w:bottom w:val="single" w:sz="8" w:space="0" w:color="67B93E"/>
              <w:right w:val="single" w:sz="8" w:space="0" w:color="67B93E"/>
            </w:tcBorders>
            <w:shd w:val="clear" w:color="000000" w:fill="FFFFFF"/>
            <w:vAlign w:val="center"/>
            <w:hideMark/>
          </w:tcPr>
          <w:p w14:paraId="223B6A6E"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$ 954,4</w:t>
            </w:r>
          </w:p>
        </w:tc>
        <w:tc>
          <w:tcPr>
            <w:tcW w:w="403" w:type="pct"/>
            <w:tcBorders>
              <w:top w:val="nil"/>
              <w:left w:val="nil"/>
              <w:bottom w:val="single" w:sz="8" w:space="0" w:color="67B93E"/>
              <w:right w:val="single" w:sz="8" w:space="0" w:color="67B93E"/>
            </w:tcBorders>
            <w:shd w:val="clear" w:color="000000" w:fill="FFFFFF"/>
            <w:vAlign w:val="center"/>
            <w:hideMark/>
          </w:tcPr>
          <w:p w14:paraId="5C6ED39A"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3140,2%</w:t>
            </w:r>
          </w:p>
        </w:tc>
        <w:tc>
          <w:tcPr>
            <w:tcW w:w="372" w:type="pct"/>
            <w:tcBorders>
              <w:top w:val="nil"/>
              <w:left w:val="nil"/>
              <w:bottom w:val="single" w:sz="8" w:space="0" w:color="67B93E"/>
              <w:right w:val="single" w:sz="8" w:space="0" w:color="67B93E"/>
            </w:tcBorders>
            <w:shd w:val="clear" w:color="000000" w:fill="FFFFFF"/>
            <w:vAlign w:val="center"/>
            <w:hideMark/>
          </w:tcPr>
          <w:p w14:paraId="22B8AC64"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$ 79,5</w:t>
            </w:r>
          </w:p>
        </w:tc>
      </w:tr>
      <w:tr w:rsidR="00F10E8E" w:rsidRPr="00F10E8E" w14:paraId="5ED42F7B"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2F2F2"/>
            <w:vAlign w:val="center"/>
            <w:hideMark/>
          </w:tcPr>
          <w:p w14:paraId="7E350F3F"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Enfermedades del sistema nervioso (G00-G99)</w:t>
            </w:r>
          </w:p>
        </w:tc>
        <w:tc>
          <w:tcPr>
            <w:tcW w:w="456" w:type="pct"/>
            <w:tcBorders>
              <w:top w:val="nil"/>
              <w:left w:val="nil"/>
              <w:bottom w:val="single" w:sz="8" w:space="0" w:color="67B93E"/>
              <w:right w:val="single" w:sz="8" w:space="0" w:color="67B93E"/>
            </w:tcBorders>
            <w:shd w:val="clear" w:color="000000" w:fill="FFFFFF"/>
            <w:vAlign w:val="center"/>
            <w:hideMark/>
          </w:tcPr>
          <w:p w14:paraId="5496DB65"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9</w:t>
            </w:r>
          </w:p>
        </w:tc>
        <w:tc>
          <w:tcPr>
            <w:tcW w:w="324" w:type="pct"/>
            <w:tcBorders>
              <w:top w:val="nil"/>
              <w:left w:val="nil"/>
              <w:bottom w:val="single" w:sz="8" w:space="0" w:color="67B93E"/>
              <w:right w:val="single" w:sz="8" w:space="0" w:color="67B93E"/>
            </w:tcBorders>
            <w:shd w:val="clear" w:color="000000" w:fill="FFFFFF"/>
            <w:vAlign w:val="center"/>
            <w:hideMark/>
          </w:tcPr>
          <w:p w14:paraId="3A6BA71B"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6,5%</w:t>
            </w:r>
          </w:p>
        </w:tc>
        <w:tc>
          <w:tcPr>
            <w:tcW w:w="403" w:type="pct"/>
            <w:tcBorders>
              <w:top w:val="nil"/>
              <w:left w:val="nil"/>
              <w:bottom w:val="single" w:sz="8" w:space="0" w:color="67B93E"/>
              <w:right w:val="single" w:sz="8" w:space="0" w:color="67B93E"/>
            </w:tcBorders>
            <w:shd w:val="clear" w:color="000000" w:fill="F2F2F2"/>
            <w:vAlign w:val="center"/>
            <w:hideMark/>
          </w:tcPr>
          <w:p w14:paraId="4EF6827C"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70</w:t>
            </w:r>
          </w:p>
        </w:tc>
        <w:tc>
          <w:tcPr>
            <w:tcW w:w="535" w:type="pct"/>
            <w:tcBorders>
              <w:top w:val="nil"/>
              <w:left w:val="nil"/>
              <w:bottom w:val="single" w:sz="8" w:space="0" w:color="67B93E"/>
              <w:right w:val="single" w:sz="8" w:space="0" w:color="67B93E"/>
            </w:tcBorders>
            <w:shd w:val="clear" w:color="000000" w:fill="F2F2F2"/>
            <w:vAlign w:val="center"/>
            <w:hideMark/>
          </w:tcPr>
          <w:p w14:paraId="61F8BA6B"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$ 798,9</w:t>
            </w:r>
          </w:p>
        </w:tc>
        <w:tc>
          <w:tcPr>
            <w:tcW w:w="403" w:type="pct"/>
            <w:tcBorders>
              <w:top w:val="nil"/>
              <w:left w:val="nil"/>
              <w:bottom w:val="single" w:sz="8" w:space="0" w:color="67B93E"/>
              <w:right w:val="single" w:sz="8" w:space="0" w:color="67B93E"/>
            </w:tcBorders>
            <w:shd w:val="clear" w:color="000000" w:fill="F2F2F2"/>
            <w:vAlign w:val="center"/>
            <w:hideMark/>
          </w:tcPr>
          <w:p w14:paraId="1E147FE0"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2628,5%</w:t>
            </w:r>
          </w:p>
        </w:tc>
        <w:tc>
          <w:tcPr>
            <w:tcW w:w="372" w:type="pct"/>
            <w:tcBorders>
              <w:top w:val="nil"/>
              <w:left w:val="nil"/>
              <w:bottom w:val="single" w:sz="8" w:space="0" w:color="67B93E"/>
              <w:right w:val="single" w:sz="8" w:space="0" w:color="67B93E"/>
            </w:tcBorders>
            <w:shd w:val="clear" w:color="000000" w:fill="FFFFFF"/>
            <w:vAlign w:val="center"/>
            <w:hideMark/>
          </w:tcPr>
          <w:p w14:paraId="137A8886"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$ 88,8</w:t>
            </w:r>
          </w:p>
        </w:tc>
      </w:tr>
      <w:tr w:rsidR="00F10E8E" w:rsidRPr="00F10E8E" w14:paraId="54C2B966"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FFFFF"/>
            <w:vAlign w:val="center"/>
            <w:hideMark/>
          </w:tcPr>
          <w:p w14:paraId="0D2E615F"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Traumatismos, envenenamiento y algunas otras consecuencias de causas externas (S00-T98)</w:t>
            </w:r>
          </w:p>
        </w:tc>
        <w:tc>
          <w:tcPr>
            <w:tcW w:w="456" w:type="pct"/>
            <w:tcBorders>
              <w:top w:val="nil"/>
              <w:left w:val="nil"/>
              <w:bottom w:val="single" w:sz="8" w:space="0" w:color="67B93E"/>
              <w:right w:val="single" w:sz="8" w:space="0" w:color="67B93E"/>
            </w:tcBorders>
            <w:shd w:val="clear" w:color="000000" w:fill="FFFFFF"/>
            <w:vAlign w:val="center"/>
            <w:hideMark/>
          </w:tcPr>
          <w:p w14:paraId="475A2B44"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12</w:t>
            </w:r>
          </w:p>
        </w:tc>
        <w:tc>
          <w:tcPr>
            <w:tcW w:w="324" w:type="pct"/>
            <w:tcBorders>
              <w:top w:val="nil"/>
              <w:left w:val="nil"/>
              <w:bottom w:val="single" w:sz="8" w:space="0" w:color="67B93E"/>
              <w:right w:val="single" w:sz="8" w:space="0" w:color="67B93E"/>
            </w:tcBorders>
            <w:shd w:val="clear" w:color="000000" w:fill="FFFFFF"/>
            <w:vAlign w:val="center"/>
            <w:hideMark/>
          </w:tcPr>
          <w:p w14:paraId="693A9A8E"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8,7%</w:t>
            </w:r>
          </w:p>
        </w:tc>
        <w:tc>
          <w:tcPr>
            <w:tcW w:w="403" w:type="pct"/>
            <w:tcBorders>
              <w:top w:val="nil"/>
              <w:left w:val="nil"/>
              <w:bottom w:val="single" w:sz="8" w:space="0" w:color="67B93E"/>
              <w:right w:val="single" w:sz="8" w:space="0" w:color="67B93E"/>
            </w:tcBorders>
            <w:shd w:val="clear" w:color="000000" w:fill="FFFFFF"/>
            <w:vAlign w:val="center"/>
            <w:hideMark/>
          </w:tcPr>
          <w:p w14:paraId="08482509"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72</w:t>
            </w:r>
          </w:p>
        </w:tc>
        <w:tc>
          <w:tcPr>
            <w:tcW w:w="535" w:type="pct"/>
            <w:tcBorders>
              <w:top w:val="nil"/>
              <w:left w:val="nil"/>
              <w:bottom w:val="single" w:sz="8" w:space="0" w:color="67B93E"/>
              <w:right w:val="single" w:sz="8" w:space="0" w:color="67B93E"/>
            </w:tcBorders>
            <w:shd w:val="clear" w:color="000000" w:fill="FFFFFF"/>
            <w:vAlign w:val="center"/>
            <w:hideMark/>
          </w:tcPr>
          <w:p w14:paraId="52C18FE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$ 558,6</w:t>
            </w:r>
          </w:p>
        </w:tc>
        <w:tc>
          <w:tcPr>
            <w:tcW w:w="403" w:type="pct"/>
            <w:tcBorders>
              <w:top w:val="nil"/>
              <w:left w:val="nil"/>
              <w:bottom w:val="single" w:sz="8" w:space="0" w:color="67B93E"/>
              <w:right w:val="single" w:sz="8" w:space="0" w:color="67B93E"/>
            </w:tcBorders>
            <w:shd w:val="clear" w:color="000000" w:fill="FFFFFF"/>
            <w:vAlign w:val="center"/>
            <w:hideMark/>
          </w:tcPr>
          <w:p w14:paraId="66B97AC2"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1838,0%</w:t>
            </w:r>
          </w:p>
        </w:tc>
        <w:tc>
          <w:tcPr>
            <w:tcW w:w="372" w:type="pct"/>
            <w:tcBorders>
              <w:top w:val="nil"/>
              <w:left w:val="nil"/>
              <w:bottom w:val="single" w:sz="8" w:space="0" w:color="67B93E"/>
              <w:right w:val="single" w:sz="8" w:space="0" w:color="67B93E"/>
            </w:tcBorders>
            <w:shd w:val="clear" w:color="000000" w:fill="FFFFFF"/>
            <w:vAlign w:val="center"/>
            <w:hideMark/>
          </w:tcPr>
          <w:p w14:paraId="74A76460"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$ 46,6</w:t>
            </w:r>
          </w:p>
        </w:tc>
      </w:tr>
      <w:tr w:rsidR="00F10E8E" w:rsidRPr="00F10E8E" w14:paraId="28ECCCF4"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2F2F2"/>
            <w:vAlign w:val="center"/>
            <w:hideMark/>
          </w:tcPr>
          <w:p w14:paraId="4D4F6814"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Enfermedades del sistema genitourinario (N00-N99)</w:t>
            </w:r>
          </w:p>
        </w:tc>
        <w:tc>
          <w:tcPr>
            <w:tcW w:w="456" w:type="pct"/>
            <w:tcBorders>
              <w:top w:val="nil"/>
              <w:left w:val="nil"/>
              <w:bottom w:val="single" w:sz="8" w:space="0" w:color="67B93E"/>
              <w:right w:val="single" w:sz="8" w:space="0" w:color="67B93E"/>
            </w:tcBorders>
            <w:shd w:val="clear" w:color="000000" w:fill="FFFFFF"/>
            <w:vAlign w:val="center"/>
            <w:hideMark/>
          </w:tcPr>
          <w:p w14:paraId="7A58A1ED"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7</w:t>
            </w:r>
          </w:p>
        </w:tc>
        <w:tc>
          <w:tcPr>
            <w:tcW w:w="324" w:type="pct"/>
            <w:tcBorders>
              <w:top w:val="nil"/>
              <w:left w:val="nil"/>
              <w:bottom w:val="single" w:sz="8" w:space="0" w:color="67B93E"/>
              <w:right w:val="single" w:sz="8" w:space="0" w:color="67B93E"/>
            </w:tcBorders>
            <w:shd w:val="clear" w:color="000000" w:fill="FFFFFF"/>
            <w:vAlign w:val="center"/>
            <w:hideMark/>
          </w:tcPr>
          <w:p w14:paraId="3548F90F"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5,1%</w:t>
            </w:r>
          </w:p>
        </w:tc>
        <w:tc>
          <w:tcPr>
            <w:tcW w:w="403" w:type="pct"/>
            <w:tcBorders>
              <w:top w:val="nil"/>
              <w:left w:val="nil"/>
              <w:bottom w:val="single" w:sz="8" w:space="0" w:color="67B93E"/>
              <w:right w:val="single" w:sz="8" w:space="0" w:color="67B93E"/>
            </w:tcBorders>
            <w:shd w:val="clear" w:color="000000" w:fill="F2F2F2"/>
            <w:vAlign w:val="center"/>
            <w:hideMark/>
          </w:tcPr>
          <w:p w14:paraId="4B8786F2"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75</w:t>
            </w:r>
          </w:p>
        </w:tc>
        <w:tc>
          <w:tcPr>
            <w:tcW w:w="535" w:type="pct"/>
            <w:tcBorders>
              <w:top w:val="nil"/>
              <w:left w:val="nil"/>
              <w:bottom w:val="single" w:sz="8" w:space="0" w:color="67B93E"/>
              <w:right w:val="single" w:sz="8" w:space="0" w:color="67B93E"/>
            </w:tcBorders>
            <w:shd w:val="clear" w:color="000000" w:fill="F2F2F2"/>
            <w:vAlign w:val="center"/>
            <w:hideMark/>
          </w:tcPr>
          <w:p w14:paraId="2950CB3B"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$ 459,9</w:t>
            </w:r>
          </w:p>
        </w:tc>
        <w:tc>
          <w:tcPr>
            <w:tcW w:w="403" w:type="pct"/>
            <w:tcBorders>
              <w:top w:val="nil"/>
              <w:left w:val="nil"/>
              <w:bottom w:val="single" w:sz="8" w:space="0" w:color="67B93E"/>
              <w:right w:val="single" w:sz="8" w:space="0" w:color="67B93E"/>
            </w:tcBorders>
            <w:shd w:val="clear" w:color="000000" w:fill="F2F2F2"/>
            <w:vAlign w:val="center"/>
            <w:hideMark/>
          </w:tcPr>
          <w:p w14:paraId="1B915DB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1513,1%</w:t>
            </w:r>
          </w:p>
        </w:tc>
        <w:tc>
          <w:tcPr>
            <w:tcW w:w="372" w:type="pct"/>
            <w:tcBorders>
              <w:top w:val="nil"/>
              <w:left w:val="nil"/>
              <w:bottom w:val="single" w:sz="8" w:space="0" w:color="67B93E"/>
              <w:right w:val="single" w:sz="8" w:space="0" w:color="67B93E"/>
            </w:tcBorders>
            <w:shd w:val="clear" w:color="000000" w:fill="FFFFFF"/>
            <w:vAlign w:val="center"/>
            <w:hideMark/>
          </w:tcPr>
          <w:p w14:paraId="32C41F2D"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$ 65,7</w:t>
            </w:r>
          </w:p>
        </w:tc>
      </w:tr>
      <w:tr w:rsidR="00F10E8E" w:rsidRPr="00F10E8E" w14:paraId="7FF03EC2"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FFFFF"/>
            <w:vAlign w:val="center"/>
            <w:hideMark/>
          </w:tcPr>
          <w:p w14:paraId="1F7F6AAF"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Enfermedades del sistema osteomuscular y del tejido conjuntivo (M00-M99)</w:t>
            </w:r>
          </w:p>
        </w:tc>
        <w:tc>
          <w:tcPr>
            <w:tcW w:w="456" w:type="pct"/>
            <w:tcBorders>
              <w:top w:val="nil"/>
              <w:left w:val="nil"/>
              <w:bottom w:val="single" w:sz="8" w:space="0" w:color="67B93E"/>
              <w:right w:val="single" w:sz="8" w:space="0" w:color="67B93E"/>
            </w:tcBorders>
            <w:shd w:val="clear" w:color="000000" w:fill="FFFFFF"/>
            <w:vAlign w:val="center"/>
            <w:hideMark/>
          </w:tcPr>
          <w:p w14:paraId="762C7E55"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9</w:t>
            </w:r>
          </w:p>
        </w:tc>
        <w:tc>
          <w:tcPr>
            <w:tcW w:w="324" w:type="pct"/>
            <w:tcBorders>
              <w:top w:val="nil"/>
              <w:left w:val="nil"/>
              <w:bottom w:val="single" w:sz="8" w:space="0" w:color="67B93E"/>
              <w:right w:val="single" w:sz="8" w:space="0" w:color="67B93E"/>
            </w:tcBorders>
            <w:shd w:val="clear" w:color="000000" w:fill="FFFFFF"/>
            <w:vAlign w:val="center"/>
            <w:hideMark/>
          </w:tcPr>
          <w:p w14:paraId="23F77D04"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6,5%</w:t>
            </w:r>
          </w:p>
        </w:tc>
        <w:tc>
          <w:tcPr>
            <w:tcW w:w="403" w:type="pct"/>
            <w:tcBorders>
              <w:top w:val="nil"/>
              <w:left w:val="nil"/>
              <w:bottom w:val="single" w:sz="8" w:space="0" w:color="67B93E"/>
              <w:right w:val="single" w:sz="8" w:space="0" w:color="67B93E"/>
            </w:tcBorders>
            <w:shd w:val="clear" w:color="000000" w:fill="FFFFFF"/>
            <w:vAlign w:val="center"/>
            <w:hideMark/>
          </w:tcPr>
          <w:p w14:paraId="6883B8ED"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65</w:t>
            </w:r>
          </w:p>
        </w:tc>
        <w:tc>
          <w:tcPr>
            <w:tcW w:w="535" w:type="pct"/>
            <w:tcBorders>
              <w:top w:val="nil"/>
              <w:left w:val="nil"/>
              <w:bottom w:val="single" w:sz="8" w:space="0" w:color="67B93E"/>
              <w:right w:val="single" w:sz="8" w:space="0" w:color="67B93E"/>
            </w:tcBorders>
            <w:shd w:val="clear" w:color="000000" w:fill="FFFFFF"/>
            <w:vAlign w:val="center"/>
            <w:hideMark/>
          </w:tcPr>
          <w:p w14:paraId="205A37F6"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$ 440,7</w:t>
            </w:r>
          </w:p>
        </w:tc>
        <w:tc>
          <w:tcPr>
            <w:tcW w:w="403" w:type="pct"/>
            <w:tcBorders>
              <w:top w:val="nil"/>
              <w:left w:val="nil"/>
              <w:bottom w:val="single" w:sz="8" w:space="0" w:color="67B93E"/>
              <w:right w:val="single" w:sz="8" w:space="0" w:color="67B93E"/>
            </w:tcBorders>
            <w:shd w:val="clear" w:color="000000" w:fill="FFFFFF"/>
            <w:vAlign w:val="center"/>
            <w:hideMark/>
          </w:tcPr>
          <w:p w14:paraId="4021A65E"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1450,0%</w:t>
            </w:r>
          </w:p>
        </w:tc>
        <w:tc>
          <w:tcPr>
            <w:tcW w:w="372" w:type="pct"/>
            <w:tcBorders>
              <w:top w:val="nil"/>
              <w:left w:val="nil"/>
              <w:bottom w:val="single" w:sz="8" w:space="0" w:color="67B93E"/>
              <w:right w:val="single" w:sz="8" w:space="0" w:color="67B93E"/>
            </w:tcBorders>
            <w:shd w:val="clear" w:color="000000" w:fill="FFFFFF"/>
            <w:vAlign w:val="center"/>
            <w:hideMark/>
          </w:tcPr>
          <w:p w14:paraId="65F8415B"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$ 49,0</w:t>
            </w:r>
          </w:p>
        </w:tc>
      </w:tr>
      <w:tr w:rsidR="00F10E8E" w:rsidRPr="00F10E8E" w14:paraId="1D8E42EA"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2F2F2"/>
            <w:vAlign w:val="center"/>
            <w:hideMark/>
          </w:tcPr>
          <w:p w14:paraId="3EA49E99"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Enfermedades del sistema respiratorio (J00-J99)</w:t>
            </w:r>
          </w:p>
        </w:tc>
        <w:tc>
          <w:tcPr>
            <w:tcW w:w="456" w:type="pct"/>
            <w:tcBorders>
              <w:top w:val="nil"/>
              <w:left w:val="nil"/>
              <w:bottom w:val="single" w:sz="8" w:space="0" w:color="67B93E"/>
              <w:right w:val="single" w:sz="8" w:space="0" w:color="67B93E"/>
            </w:tcBorders>
            <w:shd w:val="clear" w:color="000000" w:fill="FFFFFF"/>
            <w:vAlign w:val="center"/>
            <w:hideMark/>
          </w:tcPr>
          <w:p w14:paraId="4C6532D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4</w:t>
            </w:r>
          </w:p>
        </w:tc>
        <w:tc>
          <w:tcPr>
            <w:tcW w:w="324" w:type="pct"/>
            <w:tcBorders>
              <w:top w:val="nil"/>
              <w:left w:val="nil"/>
              <w:bottom w:val="single" w:sz="8" w:space="0" w:color="67B93E"/>
              <w:right w:val="single" w:sz="8" w:space="0" w:color="67B93E"/>
            </w:tcBorders>
            <w:shd w:val="clear" w:color="000000" w:fill="FFFFFF"/>
            <w:vAlign w:val="center"/>
            <w:hideMark/>
          </w:tcPr>
          <w:p w14:paraId="615B5098"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2,9%</w:t>
            </w:r>
          </w:p>
        </w:tc>
        <w:tc>
          <w:tcPr>
            <w:tcW w:w="403" w:type="pct"/>
            <w:tcBorders>
              <w:top w:val="nil"/>
              <w:left w:val="nil"/>
              <w:bottom w:val="single" w:sz="8" w:space="0" w:color="67B93E"/>
              <w:right w:val="single" w:sz="8" w:space="0" w:color="67B93E"/>
            </w:tcBorders>
            <w:shd w:val="clear" w:color="000000" w:fill="F2F2F2"/>
            <w:vAlign w:val="center"/>
            <w:hideMark/>
          </w:tcPr>
          <w:p w14:paraId="072FBACD"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79</w:t>
            </w:r>
          </w:p>
        </w:tc>
        <w:tc>
          <w:tcPr>
            <w:tcW w:w="535" w:type="pct"/>
            <w:tcBorders>
              <w:top w:val="nil"/>
              <w:left w:val="nil"/>
              <w:bottom w:val="single" w:sz="8" w:space="0" w:color="67B93E"/>
              <w:right w:val="single" w:sz="8" w:space="0" w:color="67B93E"/>
            </w:tcBorders>
            <w:shd w:val="clear" w:color="000000" w:fill="F2F2F2"/>
            <w:vAlign w:val="center"/>
            <w:hideMark/>
          </w:tcPr>
          <w:p w14:paraId="4D1E0D4F"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$ 298,3</w:t>
            </w:r>
          </w:p>
        </w:tc>
        <w:tc>
          <w:tcPr>
            <w:tcW w:w="403" w:type="pct"/>
            <w:tcBorders>
              <w:top w:val="nil"/>
              <w:left w:val="nil"/>
              <w:bottom w:val="single" w:sz="8" w:space="0" w:color="67B93E"/>
              <w:right w:val="single" w:sz="8" w:space="0" w:color="67B93E"/>
            </w:tcBorders>
            <w:shd w:val="clear" w:color="000000" w:fill="F2F2F2"/>
            <w:vAlign w:val="center"/>
            <w:hideMark/>
          </w:tcPr>
          <w:p w14:paraId="14F16A7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981,6%</w:t>
            </w:r>
          </w:p>
        </w:tc>
        <w:tc>
          <w:tcPr>
            <w:tcW w:w="372" w:type="pct"/>
            <w:tcBorders>
              <w:top w:val="nil"/>
              <w:left w:val="nil"/>
              <w:bottom w:val="single" w:sz="8" w:space="0" w:color="67B93E"/>
              <w:right w:val="single" w:sz="8" w:space="0" w:color="67B93E"/>
            </w:tcBorders>
            <w:shd w:val="clear" w:color="000000" w:fill="FFFFFF"/>
            <w:vAlign w:val="center"/>
            <w:hideMark/>
          </w:tcPr>
          <w:p w14:paraId="0C8D2342"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$ 74,6</w:t>
            </w:r>
          </w:p>
        </w:tc>
      </w:tr>
      <w:tr w:rsidR="00F10E8E" w:rsidRPr="00F10E8E" w14:paraId="77DA6B4E"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FFFFF"/>
            <w:vAlign w:val="center"/>
            <w:hideMark/>
          </w:tcPr>
          <w:p w14:paraId="75A9DDBA"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Ciertas enfermedades infecciosas y parasitarias (A00-B99)</w:t>
            </w:r>
          </w:p>
        </w:tc>
        <w:tc>
          <w:tcPr>
            <w:tcW w:w="456" w:type="pct"/>
            <w:tcBorders>
              <w:top w:val="nil"/>
              <w:left w:val="nil"/>
              <w:bottom w:val="single" w:sz="8" w:space="0" w:color="67B93E"/>
              <w:right w:val="single" w:sz="8" w:space="0" w:color="67B93E"/>
            </w:tcBorders>
            <w:shd w:val="clear" w:color="000000" w:fill="FFFFFF"/>
            <w:vAlign w:val="center"/>
            <w:hideMark/>
          </w:tcPr>
          <w:p w14:paraId="10AC16CB"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6</w:t>
            </w:r>
          </w:p>
        </w:tc>
        <w:tc>
          <w:tcPr>
            <w:tcW w:w="324" w:type="pct"/>
            <w:tcBorders>
              <w:top w:val="nil"/>
              <w:left w:val="nil"/>
              <w:bottom w:val="single" w:sz="8" w:space="0" w:color="67B93E"/>
              <w:right w:val="single" w:sz="8" w:space="0" w:color="67B93E"/>
            </w:tcBorders>
            <w:shd w:val="clear" w:color="000000" w:fill="FFFFFF"/>
            <w:vAlign w:val="center"/>
            <w:hideMark/>
          </w:tcPr>
          <w:p w14:paraId="34F324B7"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4,3%</w:t>
            </w:r>
          </w:p>
        </w:tc>
        <w:tc>
          <w:tcPr>
            <w:tcW w:w="403" w:type="pct"/>
            <w:tcBorders>
              <w:top w:val="nil"/>
              <w:left w:val="nil"/>
              <w:bottom w:val="single" w:sz="8" w:space="0" w:color="67B93E"/>
              <w:right w:val="single" w:sz="8" w:space="0" w:color="67B93E"/>
            </w:tcBorders>
            <w:shd w:val="clear" w:color="000000" w:fill="FFFFFF"/>
            <w:vAlign w:val="center"/>
            <w:hideMark/>
          </w:tcPr>
          <w:p w14:paraId="6ED45872"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59</w:t>
            </w:r>
          </w:p>
        </w:tc>
        <w:tc>
          <w:tcPr>
            <w:tcW w:w="535" w:type="pct"/>
            <w:tcBorders>
              <w:top w:val="nil"/>
              <w:left w:val="nil"/>
              <w:bottom w:val="single" w:sz="8" w:space="0" w:color="67B93E"/>
              <w:right w:val="single" w:sz="8" w:space="0" w:color="67B93E"/>
            </w:tcBorders>
            <w:shd w:val="clear" w:color="000000" w:fill="FFFFFF"/>
            <w:vAlign w:val="center"/>
            <w:hideMark/>
          </w:tcPr>
          <w:p w14:paraId="6351F0B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$ 277,2</w:t>
            </w:r>
          </w:p>
        </w:tc>
        <w:tc>
          <w:tcPr>
            <w:tcW w:w="403" w:type="pct"/>
            <w:tcBorders>
              <w:top w:val="nil"/>
              <w:left w:val="nil"/>
              <w:bottom w:val="single" w:sz="8" w:space="0" w:color="67B93E"/>
              <w:right w:val="single" w:sz="8" w:space="0" w:color="67B93E"/>
            </w:tcBorders>
            <w:shd w:val="clear" w:color="000000" w:fill="FFFFFF"/>
            <w:vAlign w:val="center"/>
            <w:hideMark/>
          </w:tcPr>
          <w:p w14:paraId="598BAA10"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912,2%</w:t>
            </w:r>
          </w:p>
        </w:tc>
        <w:tc>
          <w:tcPr>
            <w:tcW w:w="372" w:type="pct"/>
            <w:tcBorders>
              <w:top w:val="nil"/>
              <w:left w:val="nil"/>
              <w:bottom w:val="single" w:sz="8" w:space="0" w:color="67B93E"/>
              <w:right w:val="single" w:sz="8" w:space="0" w:color="67B93E"/>
            </w:tcBorders>
            <w:shd w:val="clear" w:color="000000" w:fill="FFFFFF"/>
            <w:vAlign w:val="center"/>
            <w:hideMark/>
          </w:tcPr>
          <w:p w14:paraId="5E081A00"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$ 46,2</w:t>
            </w:r>
          </w:p>
        </w:tc>
      </w:tr>
      <w:tr w:rsidR="00F10E8E" w:rsidRPr="00F10E8E" w14:paraId="53A3622F"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2F2F2"/>
            <w:vAlign w:val="center"/>
            <w:hideMark/>
          </w:tcPr>
          <w:p w14:paraId="11539277"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Enfermedades del sistema digestivo (K00-K93)</w:t>
            </w:r>
          </w:p>
        </w:tc>
        <w:tc>
          <w:tcPr>
            <w:tcW w:w="456" w:type="pct"/>
            <w:tcBorders>
              <w:top w:val="nil"/>
              <w:left w:val="nil"/>
              <w:bottom w:val="single" w:sz="8" w:space="0" w:color="67B93E"/>
              <w:right w:val="single" w:sz="8" w:space="0" w:color="67B93E"/>
            </w:tcBorders>
            <w:shd w:val="clear" w:color="000000" w:fill="FFFFFF"/>
            <w:vAlign w:val="center"/>
            <w:hideMark/>
          </w:tcPr>
          <w:p w14:paraId="4E268DE9"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5</w:t>
            </w:r>
          </w:p>
        </w:tc>
        <w:tc>
          <w:tcPr>
            <w:tcW w:w="324" w:type="pct"/>
            <w:tcBorders>
              <w:top w:val="nil"/>
              <w:left w:val="nil"/>
              <w:bottom w:val="single" w:sz="8" w:space="0" w:color="67B93E"/>
              <w:right w:val="single" w:sz="8" w:space="0" w:color="67B93E"/>
            </w:tcBorders>
            <w:shd w:val="clear" w:color="000000" w:fill="FFFFFF"/>
            <w:vAlign w:val="center"/>
            <w:hideMark/>
          </w:tcPr>
          <w:p w14:paraId="381F03B4"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3,6%</w:t>
            </w:r>
          </w:p>
        </w:tc>
        <w:tc>
          <w:tcPr>
            <w:tcW w:w="403" w:type="pct"/>
            <w:tcBorders>
              <w:top w:val="nil"/>
              <w:left w:val="nil"/>
              <w:bottom w:val="single" w:sz="8" w:space="0" w:color="67B93E"/>
              <w:right w:val="single" w:sz="8" w:space="0" w:color="67B93E"/>
            </w:tcBorders>
            <w:shd w:val="clear" w:color="000000" w:fill="F2F2F2"/>
            <w:vAlign w:val="center"/>
            <w:hideMark/>
          </w:tcPr>
          <w:p w14:paraId="18DDE4FD"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65</w:t>
            </w:r>
          </w:p>
        </w:tc>
        <w:tc>
          <w:tcPr>
            <w:tcW w:w="535" w:type="pct"/>
            <w:tcBorders>
              <w:top w:val="nil"/>
              <w:left w:val="nil"/>
              <w:bottom w:val="single" w:sz="8" w:space="0" w:color="67B93E"/>
              <w:right w:val="single" w:sz="8" w:space="0" w:color="67B93E"/>
            </w:tcBorders>
            <w:shd w:val="clear" w:color="000000" w:fill="F2F2F2"/>
            <w:vAlign w:val="center"/>
            <w:hideMark/>
          </w:tcPr>
          <w:p w14:paraId="13A67429"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$ 269,4</w:t>
            </w:r>
          </w:p>
        </w:tc>
        <w:tc>
          <w:tcPr>
            <w:tcW w:w="403" w:type="pct"/>
            <w:tcBorders>
              <w:top w:val="nil"/>
              <w:left w:val="nil"/>
              <w:bottom w:val="single" w:sz="8" w:space="0" w:color="67B93E"/>
              <w:right w:val="single" w:sz="8" w:space="0" w:color="67B93E"/>
            </w:tcBorders>
            <w:shd w:val="clear" w:color="000000" w:fill="F2F2F2"/>
            <w:vAlign w:val="center"/>
            <w:hideMark/>
          </w:tcPr>
          <w:p w14:paraId="73C30FD9"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886,5%</w:t>
            </w:r>
          </w:p>
        </w:tc>
        <w:tc>
          <w:tcPr>
            <w:tcW w:w="372" w:type="pct"/>
            <w:tcBorders>
              <w:top w:val="nil"/>
              <w:left w:val="nil"/>
              <w:bottom w:val="single" w:sz="8" w:space="0" w:color="67B93E"/>
              <w:right w:val="single" w:sz="8" w:space="0" w:color="67B93E"/>
            </w:tcBorders>
            <w:shd w:val="clear" w:color="000000" w:fill="FFFFFF"/>
            <w:vAlign w:val="center"/>
            <w:hideMark/>
          </w:tcPr>
          <w:p w14:paraId="1D43F890"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$ 53,9</w:t>
            </w:r>
          </w:p>
        </w:tc>
      </w:tr>
      <w:tr w:rsidR="00F10E8E" w:rsidRPr="00F10E8E" w14:paraId="32BF7C33"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FFFFF"/>
            <w:vAlign w:val="center"/>
            <w:hideMark/>
          </w:tcPr>
          <w:p w14:paraId="3DFA95EB"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 xml:space="preserve">Enf. de la piel y del tejido </w:t>
            </w:r>
            <w:proofErr w:type="spellStart"/>
            <w:r w:rsidRPr="00F10E8E">
              <w:rPr>
                <w:rFonts w:ascii="Humanst521 BT" w:eastAsia="Times New Roman" w:hAnsi="Humanst521 BT" w:cs="Arial"/>
                <w:color w:val="000000"/>
                <w:sz w:val="20"/>
                <w:szCs w:val="20"/>
                <w:lang w:eastAsia="es-CO"/>
              </w:rPr>
              <w:t>subcutaneo</w:t>
            </w:r>
            <w:proofErr w:type="spellEnd"/>
            <w:r w:rsidRPr="00F10E8E">
              <w:rPr>
                <w:rFonts w:ascii="Humanst521 BT" w:eastAsia="Times New Roman" w:hAnsi="Humanst521 BT" w:cs="Arial"/>
                <w:color w:val="000000"/>
                <w:sz w:val="20"/>
                <w:szCs w:val="20"/>
                <w:lang w:eastAsia="es-CO"/>
              </w:rPr>
              <w:t xml:space="preserve"> (L00-L99)</w:t>
            </w:r>
          </w:p>
        </w:tc>
        <w:tc>
          <w:tcPr>
            <w:tcW w:w="456" w:type="pct"/>
            <w:tcBorders>
              <w:top w:val="nil"/>
              <w:left w:val="nil"/>
              <w:bottom w:val="single" w:sz="8" w:space="0" w:color="67B93E"/>
              <w:right w:val="single" w:sz="8" w:space="0" w:color="67B93E"/>
            </w:tcBorders>
            <w:shd w:val="clear" w:color="000000" w:fill="FFFFFF"/>
            <w:vAlign w:val="center"/>
            <w:hideMark/>
          </w:tcPr>
          <w:p w14:paraId="515620FA"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2</w:t>
            </w:r>
          </w:p>
        </w:tc>
        <w:tc>
          <w:tcPr>
            <w:tcW w:w="324" w:type="pct"/>
            <w:tcBorders>
              <w:top w:val="nil"/>
              <w:left w:val="nil"/>
              <w:bottom w:val="single" w:sz="8" w:space="0" w:color="67B93E"/>
              <w:right w:val="single" w:sz="8" w:space="0" w:color="67B93E"/>
            </w:tcBorders>
            <w:shd w:val="clear" w:color="000000" w:fill="FFFFFF"/>
            <w:vAlign w:val="center"/>
            <w:hideMark/>
          </w:tcPr>
          <w:p w14:paraId="703BF108"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eastAsia="es-CO"/>
              </w:rPr>
              <w:t>1,4%</w:t>
            </w:r>
          </w:p>
        </w:tc>
        <w:tc>
          <w:tcPr>
            <w:tcW w:w="403" w:type="pct"/>
            <w:tcBorders>
              <w:top w:val="nil"/>
              <w:left w:val="nil"/>
              <w:bottom w:val="single" w:sz="8" w:space="0" w:color="67B93E"/>
              <w:right w:val="single" w:sz="8" w:space="0" w:color="67B93E"/>
            </w:tcBorders>
            <w:shd w:val="clear" w:color="000000" w:fill="FFFFFF"/>
            <w:vAlign w:val="center"/>
            <w:hideMark/>
          </w:tcPr>
          <w:p w14:paraId="469AB46B"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65</w:t>
            </w:r>
          </w:p>
        </w:tc>
        <w:tc>
          <w:tcPr>
            <w:tcW w:w="535" w:type="pct"/>
            <w:tcBorders>
              <w:top w:val="nil"/>
              <w:left w:val="nil"/>
              <w:bottom w:val="single" w:sz="8" w:space="0" w:color="67B93E"/>
              <w:right w:val="single" w:sz="8" w:space="0" w:color="67B93E"/>
            </w:tcBorders>
            <w:shd w:val="clear" w:color="000000" w:fill="FFFFFF"/>
            <w:vAlign w:val="center"/>
            <w:hideMark/>
          </w:tcPr>
          <w:p w14:paraId="38085818"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$ 75,0</w:t>
            </w:r>
          </w:p>
        </w:tc>
        <w:tc>
          <w:tcPr>
            <w:tcW w:w="403" w:type="pct"/>
            <w:tcBorders>
              <w:top w:val="nil"/>
              <w:left w:val="nil"/>
              <w:bottom w:val="single" w:sz="8" w:space="0" w:color="67B93E"/>
              <w:right w:val="single" w:sz="8" w:space="0" w:color="67B93E"/>
            </w:tcBorders>
            <w:shd w:val="clear" w:color="000000" w:fill="FFFFFF"/>
            <w:vAlign w:val="center"/>
            <w:hideMark/>
          </w:tcPr>
          <w:p w14:paraId="332867C9"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246,7%</w:t>
            </w:r>
          </w:p>
        </w:tc>
        <w:tc>
          <w:tcPr>
            <w:tcW w:w="372" w:type="pct"/>
            <w:tcBorders>
              <w:top w:val="nil"/>
              <w:left w:val="nil"/>
              <w:bottom w:val="single" w:sz="8" w:space="0" w:color="67B93E"/>
              <w:right w:val="single" w:sz="8" w:space="0" w:color="67B93E"/>
            </w:tcBorders>
            <w:shd w:val="clear" w:color="000000" w:fill="FFFFFF"/>
            <w:vAlign w:val="center"/>
            <w:hideMark/>
          </w:tcPr>
          <w:p w14:paraId="30226668"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$ 37,5</w:t>
            </w:r>
          </w:p>
        </w:tc>
      </w:tr>
      <w:tr w:rsidR="00F10E8E" w:rsidRPr="00F10E8E" w14:paraId="19A56514"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2F2F2"/>
            <w:vAlign w:val="center"/>
            <w:hideMark/>
          </w:tcPr>
          <w:p w14:paraId="770C70E3"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Ciertas afecciones originadas en el periodo perinatal (P00-P96)</w:t>
            </w:r>
          </w:p>
        </w:tc>
        <w:tc>
          <w:tcPr>
            <w:tcW w:w="456" w:type="pct"/>
            <w:tcBorders>
              <w:top w:val="nil"/>
              <w:left w:val="nil"/>
              <w:bottom w:val="single" w:sz="8" w:space="0" w:color="67B93E"/>
              <w:right w:val="single" w:sz="8" w:space="0" w:color="67B93E"/>
            </w:tcBorders>
            <w:shd w:val="clear" w:color="000000" w:fill="FFFFFF"/>
            <w:vAlign w:val="center"/>
            <w:hideMark/>
          </w:tcPr>
          <w:p w14:paraId="3353B5CB"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w:t>
            </w:r>
          </w:p>
        </w:tc>
        <w:tc>
          <w:tcPr>
            <w:tcW w:w="324" w:type="pct"/>
            <w:tcBorders>
              <w:top w:val="nil"/>
              <w:left w:val="nil"/>
              <w:bottom w:val="single" w:sz="8" w:space="0" w:color="67B93E"/>
              <w:right w:val="single" w:sz="8" w:space="0" w:color="67B93E"/>
            </w:tcBorders>
            <w:shd w:val="clear" w:color="000000" w:fill="FFFFFF"/>
            <w:vAlign w:val="center"/>
            <w:hideMark/>
          </w:tcPr>
          <w:p w14:paraId="2D71F40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0,7%</w:t>
            </w:r>
          </w:p>
        </w:tc>
        <w:tc>
          <w:tcPr>
            <w:tcW w:w="403" w:type="pct"/>
            <w:tcBorders>
              <w:top w:val="nil"/>
              <w:left w:val="nil"/>
              <w:bottom w:val="single" w:sz="8" w:space="0" w:color="67B93E"/>
              <w:right w:val="single" w:sz="8" w:space="0" w:color="67B93E"/>
            </w:tcBorders>
            <w:shd w:val="clear" w:color="000000" w:fill="F2F2F2"/>
            <w:vAlign w:val="center"/>
            <w:hideMark/>
          </w:tcPr>
          <w:p w14:paraId="07AA9A3E"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0</w:t>
            </w:r>
          </w:p>
        </w:tc>
        <w:tc>
          <w:tcPr>
            <w:tcW w:w="535" w:type="pct"/>
            <w:tcBorders>
              <w:top w:val="nil"/>
              <w:left w:val="nil"/>
              <w:bottom w:val="single" w:sz="8" w:space="0" w:color="67B93E"/>
              <w:right w:val="single" w:sz="8" w:space="0" w:color="67B93E"/>
            </w:tcBorders>
            <w:shd w:val="clear" w:color="000000" w:fill="FFFFFF"/>
            <w:vAlign w:val="center"/>
            <w:hideMark/>
          </w:tcPr>
          <w:p w14:paraId="36EBE1C4"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$ 50,8</w:t>
            </w:r>
          </w:p>
        </w:tc>
        <w:tc>
          <w:tcPr>
            <w:tcW w:w="403" w:type="pct"/>
            <w:tcBorders>
              <w:top w:val="nil"/>
              <w:left w:val="nil"/>
              <w:bottom w:val="single" w:sz="8" w:space="0" w:color="67B93E"/>
              <w:right w:val="single" w:sz="8" w:space="0" w:color="67B93E"/>
            </w:tcBorders>
            <w:shd w:val="clear" w:color="000000" w:fill="F2F2F2"/>
            <w:vAlign w:val="center"/>
            <w:hideMark/>
          </w:tcPr>
          <w:p w14:paraId="1240DA3F"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167,0%</w:t>
            </w:r>
          </w:p>
        </w:tc>
        <w:tc>
          <w:tcPr>
            <w:tcW w:w="372" w:type="pct"/>
            <w:tcBorders>
              <w:top w:val="nil"/>
              <w:left w:val="nil"/>
              <w:bottom w:val="single" w:sz="8" w:space="0" w:color="67B93E"/>
              <w:right w:val="single" w:sz="8" w:space="0" w:color="67B93E"/>
            </w:tcBorders>
            <w:shd w:val="clear" w:color="000000" w:fill="FFFFFF"/>
            <w:vAlign w:val="center"/>
            <w:hideMark/>
          </w:tcPr>
          <w:p w14:paraId="5D0165A5"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$ 50,8</w:t>
            </w:r>
          </w:p>
        </w:tc>
      </w:tr>
      <w:tr w:rsidR="00F10E8E" w:rsidRPr="00F10E8E" w14:paraId="153912F7"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FFFFF"/>
            <w:vAlign w:val="center"/>
            <w:hideMark/>
          </w:tcPr>
          <w:p w14:paraId="79236696"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xml:space="preserve">Enfermedades de la sangre y de los </w:t>
            </w:r>
            <w:proofErr w:type="spellStart"/>
            <w:r w:rsidRPr="00F10E8E">
              <w:rPr>
                <w:rFonts w:ascii="Humanst521 BT" w:eastAsia="Times New Roman" w:hAnsi="Humanst521 BT" w:cs="Arial"/>
                <w:color w:val="000000"/>
                <w:sz w:val="20"/>
                <w:szCs w:val="20"/>
                <w:lang w:val="es-CO" w:eastAsia="es-CO"/>
              </w:rPr>
              <w:t>organos</w:t>
            </w:r>
            <w:proofErr w:type="spellEnd"/>
            <w:r w:rsidRPr="00F10E8E">
              <w:rPr>
                <w:rFonts w:ascii="Humanst521 BT" w:eastAsia="Times New Roman" w:hAnsi="Humanst521 BT" w:cs="Arial"/>
                <w:color w:val="000000"/>
                <w:sz w:val="20"/>
                <w:szCs w:val="20"/>
                <w:lang w:val="es-CO" w:eastAsia="es-CO"/>
              </w:rPr>
              <w:t xml:space="preserve"> </w:t>
            </w:r>
            <w:proofErr w:type="spellStart"/>
            <w:r w:rsidRPr="00F10E8E">
              <w:rPr>
                <w:rFonts w:ascii="Humanst521 BT" w:eastAsia="Times New Roman" w:hAnsi="Humanst521 BT" w:cs="Arial"/>
                <w:color w:val="000000"/>
                <w:sz w:val="20"/>
                <w:szCs w:val="20"/>
                <w:lang w:val="es-CO" w:eastAsia="es-CO"/>
              </w:rPr>
              <w:t>hematopoyeticos</w:t>
            </w:r>
            <w:proofErr w:type="spellEnd"/>
            <w:r w:rsidRPr="00F10E8E">
              <w:rPr>
                <w:rFonts w:ascii="Humanst521 BT" w:eastAsia="Times New Roman" w:hAnsi="Humanst521 BT" w:cs="Arial"/>
                <w:color w:val="000000"/>
                <w:sz w:val="20"/>
                <w:szCs w:val="20"/>
                <w:lang w:val="es-CO" w:eastAsia="es-CO"/>
              </w:rPr>
              <w:t>, y ciertos trastornos que afectan el mecanismo de la inmunidad (D50-D89)</w:t>
            </w:r>
          </w:p>
        </w:tc>
        <w:tc>
          <w:tcPr>
            <w:tcW w:w="456" w:type="pct"/>
            <w:tcBorders>
              <w:top w:val="nil"/>
              <w:left w:val="nil"/>
              <w:bottom w:val="single" w:sz="8" w:space="0" w:color="67B93E"/>
              <w:right w:val="single" w:sz="8" w:space="0" w:color="67B93E"/>
            </w:tcBorders>
            <w:shd w:val="clear" w:color="000000" w:fill="FFFFFF"/>
            <w:vAlign w:val="center"/>
            <w:hideMark/>
          </w:tcPr>
          <w:p w14:paraId="5E237CC8"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w:t>
            </w:r>
          </w:p>
        </w:tc>
        <w:tc>
          <w:tcPr>
            <w:tcW w:w="324" w:type="pct"/>
            <w:tcBorders>
              <w:top w:val="nil"/>
              <w:left w:val="nil"/>
              <w:bottom w:val="single" w:sz="8" w:space="0" w:color="67B93E"/>
              <w:right w:val="single" w:sz="8" w:space="0" w:color="67B93E"/>
            </w:tcBorders>
            <w:shd w:val="clear" w:color="000000" w:fill="FFFFFF"/>
            <w:vAlign w:val="center"/>
            <w:hideMark/>
          </w:tcPr>
          <w:p w14:paraId="1276DAE7"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0,7%</w:t>
            </w:r>
          </w:p>
        </w:tc>
        <w:tc>
          <w:tcPr>
            <w:tcW w:w="403" w:type="pct"/>
            <w:tcBorders>
              <w:top w:val="nil"/>
              <w:left w:val="nil"/>
              <w:bottom w:val="single" w:sz="8" w:space="0" w:color="67B93E"/>
              <w:right w:val="single" w:sz="8" w:space="0" w:color="67B93E"/>
            </w:tcBorders>
            <w:shd w:val="clear" w:color="000000" w:fill="FFFFFF"/>
            <w:vAlign w:val="center"/>
            <w:hideMark/>
          </w:tcPr>
          <w:p w14:paraId="74B88603"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74</w:t>
            </w:r>
          </w:p>
        </w:tc>
        <w:tc>
          <w:tcPr>
            <w:tcW w:w="535" w:type="pct"/>
            <w:tcBorders>
              <w:top w:val="nil"/>
              <w:left w:val="nil"/>
              <w:bottom w:val="single" w:sz="8" w:space="0" w:color="67B93E"/>
              <w:right w:val="single" w:sz="8" w:space="0" w:color="67B93E"/>
            </w:tcBorders>
            <w:shd w:val="clear" w:color="000000" w:fill="F2F2F2"/>
            <w:vAlign w:val="center"/>
            <w:hideMark/>
          </w:tcPr>
          <w:p w14:paraId="65FA26D6"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$ 39,4</w:t>
            </w:r>
          </w:p>
        </w:tc>
        <w:tc>
          <w:tcPr>
            <w:tcW w:w="403" w:type="pct"/>
            <w:tcBorders>
              <w:top w:val="nil"/>
              <w:left w:val="nil"/>
              <w:bottom w:val="single" w:sz="8" w:space="0" w:color="67B93E"/>
              <w:right w:val="single" w:sz="8" w:space="0" w:color="67B93E"/>
            </w:tcBorders>
            <w:shd w:val="clear" w:color="000000" w:fill="FFFFFF"/>
            <w:vAlign w:val="center"/>
            <w:hideMark/>
          </w:tcPr>
          <w:p w14:paraId="48B0C26C"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129,5%</w:t>
            </w:r>
          </w:p>
        </w:tc>
        <w:tc>
          <w:tcPr>
            <w:tcW w:w="372" w:type="pct"/>
            <w:tcBorders>
              <w:top w:val="nil"/>
              <w:left w:val="nil"/>
              <w:bottom w:val="single" w:sz="8" w:space="0" w:color="67B93E"/>
              <w:right w:val="single" w:sz="8" w:space="0" w:color="67B93E"/>
            </w:tcBorders>
            <w:shd w:val="clear" w:color="000000" w:fill="FFFFFF"/>
            <w:vAlign w:val="center"/>
            <w:hideMark/>
          </w:tcPr>
          <w:p w14:paraId="401F8B8A"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$ 39,4</w:t>
            </w:r>
          </w:p>
        </w:tc>
      </w:tr>
      <w:tr w:rsidR="00F10E8E" w:rsidRPr="00F10E8E" w14:paraId="326ADEAD"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2F2F2"/>
            <w:vAlign w:val="center"/>
            <w:hideMark/>
          </w:tcPr>
          <w:p w14:paraId="49993B70"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Enfermedades del ojo y sus anexos (H00-H59)</w:t>
            </w:r>
          </w:p>
        </w:tc>
        <w:tc>
          <w:tcPr>
            <w:tcW w:w="456" w:type="pct"/>
            <w:tcBorders>
              <w:top w:val="nil"/>
              <w:left w:val="nil"/>
              <w:bottom w:val="single" w:sz="8" w:space="0" w:color="67B93E"/>
              <w:right w:val="single" w:sz="8" w:space="0" w:color="67B93E"/>
            </w:tcBorders>
            <w:shd w:val="clear" w:color="000000" w:fill="FFFFFF"/>
            <w:vAlign w:val="center"/>
            <w:hideMark/>
          </w:tcPr>
          <w:p w14:paraId="168A09E3"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w:t>
            </w:r>
          </w:p>
        </w:tc>
        <w:tc>
          <w:tcPr>
            <w:tcW w:w="324" w:type="pct"/>
            <w:tcBorders>
              <w:top w:val="nil"/>
              <w:left w:val="nil"/>
              <w:bottom w:val="single" w:sz="8" w:space="0" w:color="67B93E"/>
              <w:right w:val="single" w:sz="8" w:space="0" w:color="67B93E"/>
            </w:tcBorders>
            <w:shd w:val="clear" w:color="000000" w:fill="FFFFFF"/>
            <w:vAlign w:val="center"/>
            <w:hideMark/>
          </w:tcPr>
          <w:p w14:paraId="48AA06E8"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0,7%</w:t>
            </w:r>
          </w:p>
        </w:tc>
        <w:tc>
          <w:tcPr>
            <w:tcW w:w="403" w:type="pct"/>
            <w:tcBorders>
              <w:top w:val="nil"/>
              <w:left w:val="nil"/>
              <w:bottom w:val="single" w:sz="8" w:space="0" w:color="67B93E"/>
              <w:right w:val="single" w:sz="8" w:space="0" w:color="67B93E"/>
            </w:tcBorders>
            <w:shd w:val="clear" w:color="000000" w:fill="F2F2F2"/>
            <w:vAlign w:val="center"/>
            <w:hideMark/>
          </w:tcPr>
          <w:p w14:paraId="3DD7CA06"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59</w:t>
            </w:r>
          </w:p>
        </w:tc>
        <w:tc>
          <w:tcPr>
            <w:tcW w:w="535" w:type="pct"/>
            <w:tcBorders>
              <w:top w:val="nil"/>
              <w:left w:val="nil"/>
              <w:bottom w:val="single" w:sz="8" w:space="0" w:color="67B93E"/>
              <w:right w:val="single" w:sz="8" w:space="0" w:color="67B93E"/>
            </w:tcBorders>
            <w:shd w:val="clear" w:color="000000" w:fill="FFFFFF"/>
            <w:vAlign w:val="center"/>
            <w:hideMark/>
          </w:tcPr>
          <w:p w14:paraId="1A6E168F"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$ 37,8</w:t>
            </w:r>
          </w:p>
        </w:tc>
        <w:tc>
          <w:tcPr>
            <w:tcW w:w="403" w:type="pct"/>
            <w:tcBorders>
              <w:top w:val="nil"/>
              <w:left w:val="nil"/>
              <w:bottom w:val="single" w:sz="8" w:space="0" w:color="67B93E"/>
              <w:right w:val="single" w:sz="8" w:space="0" w:color="67B93E"/>
            </w:tcBorders>
            <w:shd w:val="clear" w:color="000000" w:fill="F2F2F2"/>
            <w:vAlign w:val="center"/>
            <w:hideMark/>
          </w:tcPr>
          <w:p w14:paraId="0C641F47"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124,2%</w:t>
            </w:r>
          </w:p>
        </w:tc>
        <w:tc>
          <w:tcPr>
            <w:tcW w:w="372" w:type="pct"/>
            <w:tcBorders>
              <w:top w:val="nil"/>
              <w:left w:val="nil"/>
              <w:bottom w:val="single" w:sz="8" w:space="0" w:color="67B93E"/>
              <w:right w:val="single" w:sz="8" w:space="0" w:color="67B93E"/>
            </w:tcBorders>
            <w:shd w:val="clear" w:color="000000" w:fill="FFFFFF"/>
            <w:vAlign w:val="center"/>
            <w:hideMark/>
          </w:tcPr>
          <w:p w14:paraId="7810AA86"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$ 37,8</w:t>
            </w:r>
          </w:p>
        </w:tc>
      </w:tr>
      <w:tr w:rsidR="00F10E8E" w:rsidRPr="00F10E8E" w14:paraId="7A300A7E"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FFFFFF"/>
            <w:vAlign w:val="center"/>
            <w:hideMark/>
          </w:tcPr>
          <w:p w14:paraId="48ED6066" w14:textId="77777777" w:rsidR="00F10E8E" w:rsidRPr="00F10E8E" w:rsidRDefault="00F10E8E" w:rsidP="00F10E8E">
            <w:pPr>
              <w:widowControl/>
              <w:autoSpaceDE/>
              <w:autoSpaceDN/>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xml:space="preserve">Malformaciones </w:t>
            </w:r>
            <w:proofErr w:type="spellStart"/>
            <w:r w:rsidRPr="00F10E8E">
              <w:rPr>
                <w:rFonts w:ascii="Humanst521 BT" w:eastAsia="Times New Roman" w:hAnsi="Humanst521 BT" w:cs="Arial"/>
                <w:color w:val="000000"/>
                <w:sz w:val="20"/>
                <w:szCs w:val="20"/>
                <w:lang w:val="es-CO" w:eastAsia="es-CO"/>
              </w:rPr>
              <w:t>congenitas</w:t>
            </w:r>
            <w:proofErr w:type="spellEnd"/>
            <w:r w:rsidRPr="00F10E8E">
              <w:rPr>
                <w:rFonts w:ascii="Humanst521 BT" w:eastAsia="Times New Roman" w:hAnsi="Humanst521 BT" w:cs="Arial"/>
                <w:color w:val="000000"/>
                <w:sz w:val="20"/>
                <w:szCs w:val="20"/>
                <w:lang w:val="es-CO" w:eastAsia="es-CO"/>
              </w:rPr>
              <w:t xml:space="preserve">, deformidades y </w:t>
            </w:r>
            <w:proofErr w:type="spellStart"/>
            <w:r w:rsidRPr="00F10E8E">
              <w:rPr>
                <w:rFonts w:ascii="Humanst521 BT" w:eastAsia="Times New Roman" w:hAnsi="Humanst521 BT" w:cs="Arial"/>
                <w:color w:val="000000"/>
                <w:sz w:val="20"/>
                <w:szCs w:val="20"/>
                <w:lang w:val="es-CO" w:eastAsia="es-CO"/>
              </w:rPr>
              <w:t>anomalias</w:t>
            </w:r>
            <w:proofErr w:type="spellEnd"/>
            <w:r w:rsidRPr="00F10E8E">
              <w:rPr>
                <w:rFonts w:ascii="Humanst521 BT" w:eastAsia="Times New Roman" w:hAnsi="Humanst521 BT" w:cs="Arial"/>
                <w:color w:val="000000"/>
                <w:sz w:val="20"/>
                <w:szCs w:val="20"/>
                <w:lang w:val="es-CO" w:eastAsia="es-CO"/>
              </w:rPr>
              <w:t xml:space="preserve"> </w:t>
            </w:r>
            <w:proofErr w:type="spellStart"/>
            <w:r w:rsidRPr="00F10E8E">
              <w:rPr>
                <w:rFonts w:ascii="Humanst521 BT" w:eastAsia="Times New Roman" w:hAnsi="Humanst521 BT" w:cs="Arial"/>
                <w:color w:val="000000"/>
                <w:sz w:val="20"/>
                <w:szCs w:val="20"/>
                <w:lang w:val="es-CO" w:eastAsia="es-CO"/>
              </w:rPr>
              <w:t>cromosomicas</w:t>
            </w:r>
            <w:proofErr w:type="spellEnd"/>
            <w:r w:rsidRPr="00F10E8E">
              <w:rPr>
                <w:rFonts w:ascii="Humanst521 BT" w:eastAsia="Times New Roman" w:hAnsi="Humanst521 BT" w:cs="Arial"/>
                <w:color w:val="000000"/>
                <w:sz w:val="20"/>
                <w:szCs w:val="20"/>
                <w:lang w:val="es-CO" w:eastAsia="es-CO"/>
              </w:rPr>
              <w:t xml:space="preserve"> (Q00-Q99)</w:t>
            </w:r>
          </w:p>
        </w:tc>
        <w:tc>
          <w:tcPr>
            <w:tcW w:w="456" w:type="pct"/>
            <w:tcBorders>
              <w:top w:val="nil"/>
              <w:left w:val="nil"/>
              <w:bottom w:val="single" w:sz="8" w:space="0" w:color="67B93E"/>
              <w:right w:val="single" w:sz="8" w:space="0" w:color="67B93E"/>
            </w:tcBorders>
            <w:shd w:val="clear" w:color="000000" w:fill="FFFFFF"/>
            <w:vAlign w:val="center"/>
            <w:hideMark/>
          </w:tcPr>
          <w:p w14:paraId="559802D1"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w:t>
            </w:r>
          </w:p>
        </w:tc>
        <w:tc>
          <w:tcPr>
            <w:tcW w:w="324" w:type="pct"/>
            <w:tcBorders>
              <w:top w:val="nil"/>
              <w:left w:val="nil"/>
              <w:bottom w:val="single" w:sz="8" w:space="0" w:color="67B93E"/>
              <w:right w:val="single" w:sz="8" w:space="0" w:color="67B93E"/>
            </w:tcBorders>
            <w:shd w:val="clear" w:color="000000" w:fill="FFFFFF"/>
            <w:vAlign w:val="center"/>
            <w:hideMark/>
          </w:tcPr>
          <w:p w14:paraId="43B0FCFE"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0,7%</w:t>
            </w:r>
          </w:p>
        </w:tc>
        <w:tc>
          <w:tcPr>
            <w:tcW w:w="403" w:type="pct"/>
            <w:tcBorders>
              <w:top w:val="nil"/>
              <w:left w:val="nil"/>
              <w:bottom w:val="single" w:sz="8" w:space="0" w:color="67B93E"/>
              <w:right w:val="single" w:sz="8" w:space="0" w:color="67B93E"/>
            </w:tcBorders>
            <w:shd w:val="clear" w:color="000000" w:fill="FFFFFF"/>
            <w:vAlign w:val="center"/>
            <w:hideMark/>
          </w:tcPr>
          <w:p w14:paraId="77E679C8"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51</w:t>
            </w:r>
          </w:p>
        </w:tc>
        <w:tc>
          <w:tcPr>
            <w:tcW w:w="535" w:type="pct"/>
            <w:tcBorders>
              <w:top w:val="nil"/>
              <w:left w:val="nil"/>
              <w:bottom w:val="single" w:sz="8" w:space="0" w:color="67B93E"/>
              <w:right w:val="single" w:sz="8" w:space="0" w:color="67B93E"/>
            </w:tcBorders>
            <w:shd w:val="clear" w:color="000000" w:fill="F2F2F2"/>
            <w:vAlign w:val="center"/>
            <w:hideMark/>
          </w:tcPr>
          <w:p w14:paraId="5FDAE1DE"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$ 30,4</w:t>
            </w:r>
          </w:p>
        </w:tc>
        <w:tc>
          <w:tcPr>
            <w:tcW w:w="403" w:type="pct"/>
            <w:tcBorders>
              <w:top w:val="nil"/>
              <w:left w:val="nil"/>
              <w:bottom w:val="single" w:sz="8" w:space="0" w:color="67B93E"/>
              <w:right w:val="single" w:sz="8" w:space="0" w:color="67B93E"/>
            </w:tcBorders>
            <w:shd w:val="clear" w:color="000000" w:fill="FFFFFF"/>
            <w:vAlign w:val="center"/>
            <w:hideMark/>
          </w:tcPr>
          <w:p w14:paraId="6B17F75C"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100,0%</w:t>
            </w:r>
          </w:p>
        </w:tc>
        <w:tc>
          <w:tcPr>
            <w:tcW w:w="372" w:type="pct"/>
            <w:tcBorders>
              <w:top w:val="nil"/>
              <w:left w:val="nil"/>
              <w:bottom w:val="single" w:sz="8" w:space="0" w:color="67B93E"/>
              <w:right w:val="single" w:sz="8" w:space="0" w:color="67B93E"/>
            </w:tcBorders>
            <w:shd w:val="clear" w:color="000000" w:fill="FFFFFF"/>
            <w:vAlign w:val="center"/>
            <w:hideMark/>
          </w:tcPr>
          <w:p w14:paraId="11796BFA" w14:textId="77777777" w:rsidR="00F10E8E" w:rsidRPr="00F10E8E" w:rsidRDefault="00F10E8E" w:rsidP="00F10E8E">
            <w:pPr>
              <w:widowControl/>
              <w:autoSpaceDE/>
              <w:autoSpaceDN/>
              <w:jc w:val="center"/>
              <w:rPr>
                <w:rFonts w:ascii="Humanst521 BT" w:eastAsia="Times New Roman" w:hAnsi="Humanst521 BT" w:cs="Arial"/>
                <w:color w:val="000000"/>
                <w:sz w:val="20"/>
                <w:szCs w:val="20"/>
                <w:lang w:val="es-CO" w:eastAsia="es-CO"/>
              </w:rPr>
            </w:pPr>
            <w:r w:rsidRPr="00F10E8E">
              <w:rPr>
                <w:rFonts w:ascii="Humanst521 BT" w:eastAsia="Times New Roman" w:hAnsi="Humanst521 BT" w:cs="Arial"/>
                <w:color w:val="000000"/>
                <w:sz w:val="20"/>
                <w:szCs w:val="20"/>
                <w:lang w:val="es-CO" w:eastAsia="es-CO"/>
              </w:rPr>
              <w:t>$ 30,4</w:t>
            </w:r>
          </w:p>
        </w:tc>
      </w:tr>
      <w:tr w:rsidR="00F10E8E" w:rsidRPr="00F10E8E" w14:paraId="397F7A2B" w14:textId="77777777" w:rsidTr="00F10E8E">
        <w:trPr>
          <w:trHeight w:val="315"/>
        </w:trPr>
        <w:tc>
          <w:tcPr>
            <w:tcW w:w="2507" w:type="pct"/>
            <w:tcBorders>
              <w:top w:val="nil"/>
              <w:left w:val="single" w:sz="8" w:space="0" w:color="67B93E"/>
              <w:bottom w:val="single" w:sz="8" w:space="0" w:color="67B93E"/>
              <w:right w:val="single" w:sz="8" w:space="0" w:color="67B93E"/>
            </w:tcBorders>
            <w:shd w:val="clear" w:color="000000" w:fill="C5E0B3"/>
            <w:vAlign w:val="center"/>
            <w:hideMark/>
          </w:tcPr>
          <w:p w14:paraId="200F7837" w14:textId="77777777" w:rsidR="00F10E8E" w:rsidRPr="00F10E8E" w:rsidRDefault="00F10E8E" w:rsidP="00F10E8E">
            <w:pPr>
              <w:widowControl/>
              <w:autoSpaceDE/>
              <w:autoSpaceDN/>
              <w:rPr>
                <w:rFonts w:ascii="Humanst521 BT" w:eastAsia="Times New Roman" w:hAnsi="Humanst521 BT" w:cs="Arial"/>
                <w:b/>
                <w:bCs/>
                <w:color w:val="000000"/>
                <w:sz w:val="20"/>
                <w:szCs w:val="20"/>
                <w:lang w:val="es-CO" w:eastAsia="es-CO"/>
              </w:rPr>
            </w:pPr>
            <w:r w:rsidRPr="00F10E8E">
              <w:rPr>
                <w:rFonts w:ascii="Humanst521 BT" w:eastAsia="Times New Roman" w:hAnsi="Humanst521 BT" w:cs="Arial"/>
                <w:b/>
                <w:bCs/>
                <w:color w:val="000000"/>
                <w:sz w:val="20"/>
                <w:szCs w:val="20"/>
                <w:lang w:val="es-CO" w:eastAsia="es-CO"/>
              </w:rPr>
              <w:t>El 5% de la población consume el 52,19% (Facturado Medicamentos y Médico Asistencial)</w:t>
            </w:r>
          </w:p>
        </w:tc>
        <w:tc>
          <w:tcPr>
            <w:tcW w:w="456" w:type="pct"/>
            <w:tcBorders>
              <w:top w:val="nil"/>
              <w:left w:val="nil"/>
              <w:bottom w:val="single" w:sz="8" w:space="0" w:color="67B93E"/>
              <w:right w:val="single" w:sz="8" w:space="0" w:color="67B93E"/>
            </w:tcBorders>
            <w:shd w:val="clear" w:color="000000" w:fill="C5E0B3"/>
            <w:vAlign w:val="center"/>
            <w:hideMark/>
          </w:tcPr>
          <w:p w14:paraId="0C8393F3" w14:textId="77777777" w:rsidR="00F10E8E" w:rsidRPr="00F10E8E" w:rsidRDefault="00F10E8E" w:rsidP="00F10E8E">
            <w:pPr>
              <w:widowControl/>
              <w:autoSpaceDE/>
              <w:autoSpaceDN/>
              <w:jc w:val="center"/>
              <w:rPr>
                <w:rFonts w:ascii="Humanst521 BT" w:eastAsia="Times New Roman" w:hAnsi="Humanst521 BT" w:cs="Arial"/>
                <w:b/>
                <w:bCs/>
                <w:color w:val="000000"/>
                <w:sz w:val="18"/>
                <w:szCs w:val="18"/>
                <w:lang w:val="es-CO" w:eastAsia="es-CO"/>
              </w:rPr>
            </w:pPr>
            <w:r w:rsidRPr="00F10E8E">
              <w:rPr>
                <w:rFonts w:ascii="Humanst521 BT" w:eastAsia="Times New Roman" w:hAnsi="Humanst521 BT" w:cs="Arial"/>
                <w:b/>
                <w:bCs/>
                <w:color w:val="000000"/>
                <w:sz w:val="18"/>
                <w:szCs w:val="18"/>
                <w:lang w:val="es-CO" w:eastAsia="es-CO"/>
              </w:rPr>
              <w:t>138</w:t>
            </w:r>
          </w:p>
        </w:tc>
        <w:tc>
          <w:tcPr>
            <w:tcW w:w="324" w:type="pct"/>
            <w:tcBorders>
              <w:top w:val="nil"/>
              <w:left w:val="nil"/>
              <w:bottom w:val="single" w:sz="8" w:space="0" w:color="67B93E"/>
              <w:right w:val="single" w:sz="8" w:space="0" w:color="67B93E"/>
            </w:tcBorders>
            <w:shd w:val="clear" w:color="000000" w:fill="C5E0B3"/>
            <w:vAlign w:val="center"/>
            <w:hideMark/>
          </w:tcPr>
          <w:p w14:paraId="2ECF8D12" w14:textId="77777777" w:rsidR="00F10E8E" w:rsidRPr="00F10E8E" w:rsidRDefault="00F10E8E" w:rsidP="00F10E8E">
            <w:pPr>
              <w:widowControl/>
              <w:autoSpaceDE/>
              <w:autoSpaceDN/>
              <w:jc w:val="center"/>
              <w:rPr>
                <w:rFonts w:ascii="Humanst521 BT" w:eastAsia="Times New Roman" w:hAnsi="Humanst521 BT" w:cs="Arial"/>
                <w:b/>
                <w:bCs/>
                <w:color w:val="000000"/>
                <w:sz w:val="18"/>
                <w:szCs w:val="18"/>
                <w:lang w:val="es-CO" w:eastAsia="es-CO"/>
              </w:rPr>
            </w:pPr>
            <w:r w:rsidRPr="00F10E8E">
              <w:rPr>
                <w:rFonts w:ascii="Humanst521 BT" w:eastAsia="Times New Roman" w:hAnsi="Humanst521 BT" w:cs="Arial"/>
                <w:b/>
                <w:bCs/>
                <w:color w:val="000000"/>
                <w:sz w:val="18"/>
                <w:szCs w:val="18"/>
                <w:lang w:val="es-CO" w:eastAsia="es-CO"/>
              </w:rPr>
              <w:t>100%</w:t>
            </w:r>
          </w:p>
        </w:tc>
        <w:tc>
          <w:tcPr>
            <w:tcW w:w="403" w:type="pct"/>
            <w:tcBorders>
              <w:top w:val="nil"/>
              <w:left w:val="nil"/>
              <w:bottom w:val="single" w:sz="8" w:space="0" w:color="67B93E"/>
              <w:right w:val="single" w:sz="8" w:space="0" w:color="67B93E"/>
            </w:tcBorders>
            <w:shd w:val="clear" w:color="000000" w:fill="C5E0B3"/>
            <w:vAlign w:val="center"/>
            <w:hideMark/>
          </w:tcPr>
          <w:p w14:paraId="6B63C36D" w14:textId="77777777" w:rsidR="00F10E8E" w:rsidRPr="00F10E8E" w:rsidRDefault="00F10E8E" w:rsidP="00F10E8E">
            <w:pPr>
              <w:widowControl/>
              <w:autoSpaceDE/>
              <w:autoSpaceDN/>
              <w:jc w:val="center"/>
              <w:rPr>
                <w:rFonts w:ascii="Humanst521 BT" w:eastAsia="Times New Roman" w:hAnsi="Humanst521 BT" w:cs="Arial"/>
                <w:b/>
                <w:bCs/>
                <w:color w:val="000000"/>
                <w:sz w:val="20"/>
                <w:szCs w:val="20"/>
                <w:lang w:val="es-CO" w:eastAsia="es-CO"/>
              </w:rPr>
            </w:pPr>
            <w:r w:rsidRPr="00F10E8E">
              <w:rPr>
                <w:rFonts w:ascii="Humanst521 BT" w:eastAsia="Times New Roman" w:hAnsi="Humanst521 BT" w:cs="Arial"/>
                <w:b/>
                <w:bCs/>
                <w:color w:val="000000"/>
                <w:sz w:val="20"/>
                <w:szCs w:val="20"/>
                <w:lang w:val="es-CO" w:eastAsia="es-CO"/>
              </w:rPr>
              <w:t>71</w:t>
            </w:r>
          </w:p>
        </w:tc>
        <w:tc>
          <w:tcPr>
            <w:tcW w:w="535" w:type="pct"/>
            <w:tcBorders>
              <w:top w:val="nil"/>
              <w:left w:val="nil"/>
              <w:bottom w:val="single" w:sz="8" w:space="0" w:color="67B93E"/>
              <w:right w:val="single" w:sz="8" w:space="0" w:color="67B93E"/>
            </w:tcBorders>
            <w:shd w:val="clear" w:color="000000" w:fill="C5E0B3"/>
            <w:vAlign w:val="center"/>
            <w:hideMark/>
          </w:tcPr>
          <w:p w14:paraId="6D4D2F45" w14:textId="77777777" w:rsidR="00F10E8E" w:rsidRPr="00F10E8E" w:rsidRDefault="00F10E8E" w:rsidP="00F10E8E">
            <w:pPr>
              <w:widowControl/>
              <w:autoSpaceDE/>
              <w:autoSpaceDN/>
              <w:jc w:val="center"/>
              <w:rPr>
                <w:rFonts w:ascii="Humanst521 BT" w:eastAsia="Times New Roman" w:hAnsi="Humanst521 BT" w:cs="Arial"/>
                <w:b/>
                <w:bCs/>
                <w:color w:val="000000"/>
                <w:sz w:val="18"/>
                <w:szCs w:val="18"/>
                <w:lang w:val="es-CO" w:eastAsia="es-CO"/>
              </w:rPr>
            </w:pPr>
            <w:r w:rsidRPr="00F10E8E">
              <w:rPr>
                <w:rFonts w:ascii="Humanst521 BT" w:eastAsia="Times New Roman" w:hAnsi="Humanst521 BT" w:cs="Arial"/>
                <w:b/>
                <w:bCs/>
                <w:color w:val="000000"/>
                <w:sz w:val="18"/>
                <w:szCs w:val="18"/>
                <w:lang w:val="es-CO" w:eastAsia="es-CO"/>
              </w:rPr>
              <w:t>$ 10.286,0</w:t>
            </w:r>
          </w:p>
        </w:tc>
        <w:tc>
          <w:tcPr>
            <w:tcW w:w="403" w:type="pct"/>
            <w:tcBorders>
              <w:top w:val="nil"/>
              <w:left w:val="nil"/>
              <w:bottom w:val="single" w:sz="8" w:space="0" w:color="67B93E"/>
              <w:right w:val="single" w:sz="8" w:space="0" w:color="67B93E"/>
            </w:tcBorders>
            <w:shd w:val="clear" w:color="000000" w:fill="C5E0B3"/>
            <w:vAlign w:val="center"/>
            <w:hideMark/>
          </w:tcPr>
          <w:p w14:paraId="451B61E0" w14:textId="77777777" w:rsidR="00F10E8E" w:rsidRPr="00F10E8E" w:rsidRDefault="00F10E8E" w:rsidP="00F10E8E">
            <w:pPr>
              <w:widowControl/>
              <w:autoSpaceDE/>
              <w:autoSpaceDN/>
              <w:jc w:val="center"/>
              <w:rPr>
                <w:rFonts w:ascii="Humanst521 BT" w:eastAsia="Times New Roman" w:hAnsi="Humanst521 BT" w:cs="Arial"/>
                <w:b/>
                <w:bCs/>
                <w:color w:val="000000"/>
                <w:sz w:val="18"/>
                <w:szCs w:val="18"/>
                <w:lang w:val="es-CO" w:eastAsia="es-CO"/>
              </w:rPr>
            </w:pPr>
            <w:r w:rsidRPr="00F10E8E">
              <w:rPr>
                <w:rFonts w:ascii="Humanst521 BT" w:eastAsia="Times New Roman" w:hAnsi="Humanst521 BT" w:cs="Arial"/>
                <w:b/>
                <w:bCs/>
                <w:color w:val="000000"/>
                <w:sz w:val="18"/>
                <w:szCs w:val="18"/>
                <w:lang w:val="es-CO" w:eastAsia="es-CO"/>
              </w:rPr>
              <w:t>17562%</w:t>
            </w:r>
          </w:p>
        </w:tc>
        <w:tc>
          <w:tcPr>
            <w:tcW w:w="372" w:type="pct"/>
            <w:tcBorders>
              <w:top w:val="nil"/>
              <w:left w:val="nil"/>
              <w:bottom w:val="single" w:sz="8" w:space="0" w:color="67B93E"/>
              <w:right w:val="single" w:sz="8" w:space="0" w:color="67B93E"/>
            </w:tcBorders>
            <w:shd w:val="clear" w:color="000000" w:fill="C5E0B3"/>
            <w:vAlign w:val="center"/>
            <w:hideMark/>
          </w:tcPr>
          <w:p w14:paraId="4686B94C" w14:textId="77777777" w:rsidR="00F10E8E" w:rsidRPr="00F10E8E" w:rsidRDefault="00F10E8E" w:rsidP="00F10E8E">
            <w:pPr>
              <w:widowControl/>
              <w:autoSpaceDE/>
              <w:autoSpaceDN/>
              <w:jc w:val="center"/>
              <w:rPr>
                <w:rFonts w:ascii="Humanst521 BT" w:eastAsia="Times New Roman" w:hAnsi="Humanst521 BT" w:cs="Arial"/>
                <w:b/>
                <w:bCs/>
                <w:color w:val="000000"/>
                <w:sz w:val="18"/>
                <w:szCs w:val="18"/>
                <w:lang w:val="es-CO" w:eastAsia="es-CO"/>
              </w:rPr>
            </w:pPr>
            <w:r w:rsidRPr="00F10E8E">
              <w:rPr>
                <w:rFonts w:ascii="Humanst521 BT" w:eastAsia="Times New Roman" w:hAnsi="Humanst521 BT" w:cs="Arial"/>
                <w:b/>
                <w:bCs/>
                <w:color w:val="000000"/>
                <w:sz w:val="18"/>
                <w:szCs w:val="18"/>
                <w:lang w:val="es-CO" w:eastAsia="es-CO"/>
              </w:rPr>
              <w:t>$ 74,5</w:t>
            </w:r>
          </w:p>
        </w:tc>
      </w:tr>
    </w:tbl>
    <w:p w14:paraId="5D18F0F1" w14:textId="1CD6648D" w:rsidR="009C4AF5" w:rsidRPr="007F0FA7" w:rsidRDefault="009C4AF5" w:rsidP="00093B44">
      <w:pPr>
        <w:jc w:val="both"/>
        <w:rPr>
          <w:rFonts w:ascii="Humanst521 BT" w:hAnsi="Humanst521 BT"/>
        </w:rPr>
      </w:pPr>
      <w:r w:rsidRPr="007F0FA7">
        <w:rPr>
          <w:rFonts w:ascii="Humanst521 BT" w:hAnsi="Humanst521 BT"/>
        </w:rPr>
        <w:lastRenderedPageBreak/>
        <w:t>Fuente: Sistema de Información UISALUD, 202</w:t>
      </w:r>
      <w:r w:rsidR="00920A89">
        <w:rPr>
          <w:rFonts w:ascii="Humanst521 BT" w:hAnsi="Humanst521 BT"/>
        </w:rPr>
        <w:t>5</w:t>
      </w:r>
      <w:r w:rsidRPr="007F0FA7">
        <w:rPr>
          <w:rFonts w:ascii="Humanst521 BT" w:hAnsi="Humanst521 BT"/>
        </w:rPr>
        <w:t xml:space="preserve"> </w:t>
      </w:r>
    </w:p>
    <w:p w14:paraId="7FD2C499" w14:textId="35322C02" w:rsidR="00E367DF" w:rsidRPr="004F3F82" w:rsidRDefault="00E367DF" w:rsidP="004F3F82">
      <w:pPr>
        <w:widowControl/>
        <w:autoSpaceDE/>
        <w:autoSpaceDN/>
        <w:spacing w:before="100" w:beforeAutospacing="1" w:after="100" w:afterAutospacing="1"/>
        <w:rPr>
          <w:rFonts w:ascii="Humanst521 BT" w:hAnsi="Humanst521 BT"/>
        </w:rPr>
      </w:pPr>
      <w:bookmarkStart w:id="128" w:name="_Toc175752785"/>
      <w:r w:rsidRPr="005B6DFF">
        <w:rPr>
          <w:rFonts w:ascii="Humanst521 BT" w:hAnsi="Humanst521 BT"/>
        </w:rPr>
        <w:t>Para complementar el análisis del comportamiento del gasto en salud, se presenta la distribución según ciclo vital, con el fin de identificar la concentración del costo en los diferentes grupos etarios y su relación con la carga de enfermedad y la complejidad en la atención.</w:t>
      </w:r>
    </w:p>
    <w:p w14:paraId="0955CC17" w14:textId="6C73B16C" w:rsidR="009C4AF5" w:rsidRDefault="009C4AF5" w:rsidP="00093B44">
      <w:pPr>
        <w:jc w:val="both"/>
        <w:rPr>
          <w:rFonts w:ascii="Humanst521 BT" w:hAnsi="Humanst521 BT"/>
        </w:rPr>
      </w:pPr>
      <w:bookmarkStart w:id="129" w:name="_Toc231286274"/>
      <w:r w:rsidRPr="007F0FA7">
        <w:rPr>
          <w:rFonts w:ascii="Humanst521 BT" w:hAnsi="Humanst521 BT"/>
        </w:rPr>
        <w:t xml:space="preserve">Tabla </w:t>
      </w:r>
      <w:r w:rsidRPr="007F0FA7">
        <w:rPr>
          <w:rFonts w:ascii="Humanst521 BT" w:hAnsi="Humanst521 BT"/>
        </w:rPr>
        <w:fldChar w:fldCharType="begin"/>
      </w:r>
      <w:r w:rsidRPr="007F0FA7">
        <w:rPr>
          <w:rFonts w:ascii="Humanst521 BT" w:hAnsi="Humanst521 BT"/>
        </w:rPr>
        <w:instrText xml:space="preserve"> SEQ Tabla \* ARABIC </w:instrText>
      </w:r>
      <w:r w:rsidRPr="007F0FA7">
        <w:rPr>
          <w:rFonts w:ascii="Humanst521 BT" w:hAnsi="Humanst521 BT"/>
        </w:rPr>
        <w:fldChar w:fldCharType="separate"/>
      </w:r>
      <w:r w:rsidR="00580EDB">
        <w:rPr>
          <w:rFonts w:ascii="Humanst521 BT" w:hAnsi="Humanst521 BT"/>
          <w:noProof/>
        </w:rPr>
        <w:t>29</w:t>
      </w:r>
      <w:r w:rsidRPr="007F0FA7">
        <w:rPr>
          <w:rFonts w:ascii="Humanst521 BT" w:hAnsi="Humanst521 BT"/>
        </w:rPr>
        <w:fldChar w:fldCharType="end"/>
      </w:r>
      <w:r w:rsidRPr="007F0FA7">
        <w:rPr>
          <w:rFonts w:ascii="Humanst521 BT" w:hAnsi="Humanst521 BT"/>
        </w:rPr>
        <w:t>. Distribución del gasto total por diagnóstico UISALUD 202</w:t>
      </w:r>
      <w:bookmarkEnd w:id="128"/>
      <w:r w:rsidR="00A36EB3">
        <w:rPr>
          <w:rFonts w:ascii="Humanst521 BT" w:hAnsi="Humanst521 BT"/>
        </w:rPr>
        <w:t>5</w:t>
      </w:r>
      <w:bookmarkEnd w:id="129"/>
    </w:p>
    <w:p w14:paraId="457431D2" w14:textId="77777777" w:rsidR="00A36EB3" w:rsidRDefault="00A36EB3" w:rsidP="00093B44">
      <w:pPr>
        <w:jc w:val="both"/>
        <w:rPr>
          <w:rFonts w:ascii="Humanst521 BT" w:hAnsi="Humanst521 BT"/>
        </w:rPr>
      </w:pPr>
    </w:p>
    <w:p w14:paraId="6E741E83" w14:textId="77777777" w:rsidR="00A36EB3" w:rsidRDefault="00A36EB3" w:rsidP="00093B44">
      <w:pPr>
        <w:jc w:val="both"/>
        <w:rPr>
          <w:rFonts w:ascii="Humanst521 BT" w:hAnsi="Humanst521 BT"/>
        </w:rPr>
      </w:pPr>
    </w:p>
    <w:tbl>
      <w:tblPr>
        <w:tblW w:w="9800" w:type="dxa"/>
        <w:tblCellMar>
          <w:left w:w="70" w:type="dxa"/>
          <w:right w:w="70" w:type="dxa"/>
        </w:tblCellMar>
        <w:tblLook w:val="04A0" w:firstRow="1" w:lastRow="0" w:firstColumn="1" w:lastColumn="0" w:noHBand="0" w:noVBand="1"/>
      </w:tblPr>
      <w:tblGrid>
        <w:gridCol w:w="3220"/>
        <w:gridCol w:w="1160"/>
        <w:gridCol w:w="820"/>
        <w:gridCol w:w="1020"/>
        <w:gridCol w:w="1360"/>
        <w:gridCol w:w="1020"/>
        <w:gridCol w:w="1200"/>
      </w:tblGrid>
      <w:tr w:rsidR="00A36EB3" w:rsidRPr="00A36EB3" w14:paraId="34A5133B" w14:textId="77777777" w:rsidTr="00A36EB3">
        <w:trPr>
          <w:trHeight w:val="975"/>
        </w:trPr>
        <w:tc>
          <w:tcPr>
            <w:tcW w:w="3220" w:type="dxa"/>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5F516995" w14:textId="77777777" w:rsidR="00A36EB3" w:rsidRPr="00A36EB3" w:rsidRDefault="00A36EB3" w:rsidP="00A36EB3">
            <w:pPr>
              <w:widowControl/>
              <w:autoSpaceDE/>
              <w:autoSpaceDN/>
              <w:jc w:val="center"/>
              <w:rPr>
                <w:rFonts w:ascii="Humanst521 BT" w:eastAsia="Times New Roman" w:hAnsi="Humanst521 BT" w:cs="Arial"/>
                <w:b/>
                <w:bCs/>
                <w:color w:val="000000"/>
                <w:sz w:val="20"/>
                <w:szCs w:val="20"/>
                <w:lang w:val="es-CO" w:eastAsia="es-CO"/>
              </w:rPr>
            </w:pPr>
            <w:r w:rsidRPr="00A36EB3">
              <w:rPr>
                <w:rFonts w:ascii="Humanst521 BT" w:eastAsia="Times New Roman" w:hAnsi="Humanst521 BT" w:cs="Arial"/>
                <w:b/>
                <w:bCs/>
                <w:color w:val="000000"/>
                <w:sz w:val="20"/>
                <w:szCs w:val="20"/>
                <w:lang w:val="es-CO" w:eastAsia="es-CO"/>
              </w:rPr>
              <w:t>CICLO VITAL</w:t>
            </w:r>
          </w:p>
        </w:tc>
        <w:tc>
          <w:tcPr>
            <w:tcW w:w="1160" w:type="dxa"/>
            <w:tcBorders>
              <w:top w:val="single" w:sz="8" w:space="0" w:color="67B93E"/>
              <w:left w:val="nil"/>
              <w:bottom w:val="single" w:sz="8" w:space="0" w:color="67B93E"/>
              <w:right w:val="single" w:sz="8" w:space="0" w:color="67B93E"/>
            </w:tcBorders>
            <w:shd w:val="clear" w:color="000000" w:fill="C5E0B3"/>
            <w:vAlign w:val="center"/>
            <w:hideMark/>
          </w:tcPr>
          <w:p w14:paraId="514C4FBF" w14:textId="77777777" w:rsidR="00A36EB3" w:rsidRPr="00A36EB3" w:rsidRDefault="00A36EB3" w:rsidP="00A36EB3">
            <w:pPr>
              <w:widowControl/>
              <w:autoSpaceDE/>
              <w:autoSpaceDN/>
              <w:jc w:val="center"/>
              <w:rPr>
                <w:rFonts w:ascii="Humanst521 BT" w:eastAsia="Times New Roman" w:hAnsi="Humanst521 BT" w:cs="Arial"/>
                <w:b/>
                <w:bCs/>
                <w:color w:val="000000"/>
                <w:sz w:val="20"/>
                <w:szCs w:val="20"/>
                <w:lang w:val="es-CO" w:eastAsia="es-CO"/>
              </w:rPr>
            </w:pPr>
            <w:r w:rsidRPr="00A36EB3">
              <w:rPr>
                <w:rFonts w:ascii="Humanst521 BT" w:eastAsia="Times New Roman" w:hAnsi="Humanst521 BT" w:cs="Arial"/>
                <w:b/>
                <w:bCs/>
                <w:color w:val="000000"/>
                <w:sz w:val="20"/>
                <w:szCs w:val="20"/>
                <w:lang w:eastAsia="es-CO"/>
              </w:rPr>
              <w:t xml:space="preserve">N° Afiliados </w:t>
            </w:r>
          </w:p>
        </w:tc>
        <w:tc>
          <w:tcPr>
            <w:tcW w:w="820" w:type="dxa"/>
            <w:tcBorders>
              <w:top w:val="single" w:sz="8" w:space="0" w:color="67B93E"/>
              <w:left w:val="nil"/>
              <w:bottom w:val="single" w:sz="8" w:space="0" w:color="67B93E"/>
              <w:right w:val="single" w:sz="8" w:space="0" w:color="67B93E"/>
            </w:tcBorders>
            <w:shd w:val="clear" w:color="000000" w:fill="C5E0B3"/>
            <w:vAlign w:val="center"/>
            <w:hideMark/>
          </w:tcPr>
          <w:p w14:paraId="779C2B53" w14:textId="77777777" w:rsidR="00A36EB3" w:rsidRPr="00A36EB3" w:rsidRDefault="00A36EB3" w:rsidP="00A36EB3">
            <w:pPr>
              <w:widowControl/>
              <w:autoSpaceDE/>
              <w:autoSpaceDN/>
              <w:jc w:val="center"/>
              <w:rPr>
                <w:rFonts w:ascii="Humanst521 BT" w:eastAsia="Times New Roman" w:hAnsi="Humanst521 BT" w:cs="Arial"/>
                <w:b/>
                <w:bCs/>
                <w:color w:val="000000"/>
                <w:sz w:val="20"/>
                <w:szCs w:val="20"/>
                <w:lang w:val="es-CO" w:eastAsia="es-CO"/>
              </w:rPr>
            </w:pPr>
            <w:r w:rsidRPr="00A36EB3">
              <w:rPr>
                <w:rFonts w:ascii="Humanst521 BT" w:eastAsia="Times New Roman" w:hAnsi="Humanst521 BT" w:cs="Arial"/>
                <w:b/>
                <w:bCs/>
                <w:color w:val="000000"/>
                <w:sz w:val="20"/>
                <w:szCs w:val="20"/>
                <w:lang w:eastAsia="es-CO"/>
              </w:rPr>
              <w:t xml:space="preserve">% Part. </w:t>
            </w:r>
          </w:p>
        </w:tc>
        <w:tc>
          <w:tcPr>
            <w:tcW w:w="1020" w:type="dxa"/>
            <w:tcBorders>
              <w:top w:val="single" w:sz="8" w:space="0" w:color="67B93E"/>
              <w:left w:val="nil"/>
              <w:bottom w:val="single" w:sz="8" w:space="0" w:color="67B93E"/>
              <w:right w:val="single" w:sz="8" w:space="0" w:color="67B93E"/>
            </w:tcBorders>
            <w:shd w:val="clear" w:color="000000" w:fill="C5E0B3"/>
            <w:vAlign w:val="center"/>
            <w:hideMark/>
          </w:tcPr>
          <w:p w14:paraId="3D37004B" w14:textId="77777777" w:rsidR="00A36EB3" w:rsidRPr="00A36EB3" w:rsidRDefault="00A36EB3" w:rsidP="00A36EB3">
            <w:pPr>
              <w:widowControl/>
              <w:autoSpaceDE/>
              <w:autoSpaceDN/>
              <w:jc w:val="center"/>
              <w:rPr>
                <w:rFonts w:ascii="Humanst521 BT" w:eastAsia="Times New Roman" w:hAnsi="Humanst521 BT" w:cs="Arial"/>
                <w:b/>
                <w:bCs/>
                <w:color w:val="000000"/>
                <w:sz w:val="20"/>
                <w:szCs w:val="20"/>
                <w:lang w:val="es-CO" w:eastAsia="es-CO"/>
              </w:rPr>
            </w:pPr>
            <w:r w:rsidRPr="00A36EB3">
              <w:rPr>
                <w:rFonts w:ascii="Humanst521 BT" w:eastAsia="Times New Roman" w:hAnsi="Humanst521 BT" w:cs="Arial"/>
                <w:b/>
                <w:bCs/>
                <w:color w:val="000000"/>
                <w:sz w:val="20"/>
                <w:szCs w:val="20"/>
                <w:lang w:eastAsia="es-CO"/>
              </w:rPr>
              <w:t>Promedio de Edad</w:t>
            </w:r>
          </w:p>
        </w:tc>
        <w:tc>
          <w:tcPr>
            <w:tcW w:w="1360" w:type="dxa"/>
            <w:tcBorders>
              <w:top w:val="single" w:sz="8" w:space="0" w:color="67B93E"/>
              <w:left w:val="nil"/>
              <w:bottom w:val="single" w:sz="8" w:space="0" w:color="67B93E"/>
              <w:right w:val="single" w:sz="8" w:space="0" w:color="67B93E"/>
            </w:tcBorders>
            <w:shd w:val="clear" w:color="000000" w:fill="C5E0B3"/>
            <w:vAlign w:val="center"/>
            <w:hideMark/>
          </w:tcPr>
          <w:p w14:paraId="021321E1" w14:textId="77777777" w:rsidR="00A36EB3" w:rsidRPr="00A36EB3" w:rsidRDefault="00A36EB3" w:rsidP="00A36EB3">
            <w:pPr>
              <w:widowControl/>
              <w:autoSpaceDE/>
              <w:autoSpaceDN/>
              <w:jc w:val="center"/>
              <w:rPr>
                <w:rFonts w:ascii="Humanst521 BT" w:eastAsia="Times New Roman" w:hAnsi="Humanst521 BT" w:cs="Arial"/>
                <w:b/>
                <w:bCs/>
                <w:color w:val="000000"/>
                <w:sz w:val="20"/>
                <w:szCs w:val="20"/>
                <w:lang w:val="es-CO" w:eastAsia="es-CO"/>
              </w:rPr>
            </w:pPr>
            <w:r w:rsidRPr="00A36EB3">
              <w:rPr>
                <w:rFonts w:ascii="Humanst521 BT" w:eastAsia="Times New Roman" w:hAnsi="Humanst521 BT" w:cs="Arial"/>
                <w:b/>
                <w:bCs/>
                <w:color w:val="000000"/>
                <w:sz w:val="20"/>
                <w:szCs w:val="20"/>
                <w:lang w:eastAsia="es-CO"/>
              </w:rPr>
              <w:t xml:space="preserve">Costo (Millones $) </w:t>
            </w:r>
          </w:p>
        </w:tc>
        <w:tc>
          <w:tcPr>
            <w:tcW w:w="1020" w:type="dxa"/>
            <w:tcBorders>
              <w:top w:val="single" w:sz="8" w:space="0" w:color="67B93E"/>
              <w:left w:val="nil"/>
              <w:bottom w:val="single" w:sz="8" w:space="0" w:color="67B93E"/>
              <w:right w:val="single" w:sz="8" w:space="0" w:color="67B93E"/>
            </w:tcBorders>
            <w:shd w:val="clear" w:color="000000" w:fill="C5E0B3"/>
            <w:vAlign w:val="center"/>
            <w:hideMark/>
          </w:tcPr>
          <w:p w14:paraId="3307660B" w14:textId="77777777" w:rsidR="00A36EB3" w:rsidRPr="00A36EB3" w:rsidRDefault="00A36EB3" w:rsidP="00A36EB3">
            <w:pPr>
              <w:widowControl/>
              <w:autoSpaceDE/>
              <w:autoSpaceDN/>
              <w:jc w:val="center"/>
              <w:rPr>
                <w:rFonts w:ascii="Humanst521 BT" w:eastAsia="Times New Roman" w:hAnsi="Humanst521 BT" w:cs="Arial"/>
                <w:b/>
                <w:bCs/>
                <w:color w:val="000000"/>
                <w:sz w:val="20"/>
                <w:szCs w:val="20"/>
                <w:lang w:val="es-CO" w:eastAsia="es-CO"/>
              </w:rPr>
            </w:pPr>
            <w:r w:rsidRPr="00A36EB3">
              <w:rPr>
                <w:rFonts w:ascii="Humanst521 BT" w:eastAsia="Times New Roman" w:hAnsi="Humanst521 BT" w:cs="Arial"/>
                <w:b/>
                <w:bCs/>
                <w:color w:val="000000"/>
                <w:sz w:val="20"/>
                <w:szCs w:val="20"/>
                <w:lang w:eastAsia="es-CO"/>
              </w:rPr>
              <w:t xml:space="preserve">% Del Costo Total </w:t>
            </w:r>
          </w:p>
        </w:tc>
        <w:tc>
          <w:tcPr>
            <w:tcW w:w="1200" w:type="dxa"/>
            <w:tcBorders>
              <w:top w:val="single" w:sz="8" w:space="0" w:color="67B93E"/>
              <w:left w:val="nil"/>
              <w:bottom w:val="single" w:sz="8" w:space="0" w:color="67B93E"/>
              <w:right w:val="single" w:sz="8" w:space="0" w:color="67B93E"/>
            </w:tcBorders>
            <w:shd w:val="clear" w:color="000000" w:fill="C5E0B3"/>
            <w:vAlign w:val="center"/>
            <w:hideMark/>
          </w:tcPr>
          <w:p w14:paraId="3DE27B68" w14:textId="77777777" w:rsidR="00A36EB3" w:rsidRPr="00A36EB3" w:rsidRDefault="00A36EB3" w:rsidP="00A36EB3">
            <w:pPr>
              <w:widowControl/>
              <w:autoSpaceDE/>
              <w:autoSpaceDN/>
              <w:jc w:val="center"/>
              <w:rPr>
                <w:rFonts w:ascii="Humanst521 BT" w:eastAsia="Times New Roman" w:hAnsi="Humanst521 BT" w:cs="Arial"/>
                <w:b/>
                <w:bCs/>
                <w:color w:val="000000"/>
                <w:sz w:val="20"/>
                <w:szCs w:val="20"/>
                <w:lang w:val="es-CO" w:eastAsia="es-CO"/>
              </w:rPr>
            </w:pPr>
            <w:r w:rsidRPr="00A36EB3">
              <w:rPr>
                <w:rFonts w:ascii="Humanst521 BT" w:eastAsia="Times New Roman" w:hAnsi="Humanst521 BT" w:cs="Arial"/>
                <w:b/>
                <w:bCs/>
                <w:color w:val="000000"/>
                <w:sz w:val="20"/>
                <w:szCs w:val="20"/>
                <w:lang w:eastAsia="es-CO"/>
              </w:rPr>
              <w:t xml:space="preserve">Promedio por </w:t>
            </w:r>
            <w:proofErr w:type="gramStart"/>
            <w:r w:rsidRPr="00A36EB3">
              <w:rPr>
                <w:rFonts w:ascii="Humanst521 BT" w:eastAsia="Times New Roman" w:hAnsi="Humanst521 BT" w:cs="Arial"/>
                <w:b/>
                <w:bCs/>
                <w:color w:val="000000"/>
                <w:sz w:val="20"/>
                <w:szCs w:val="20"/>
                <w:lang w:eastAsia="es-CO"/>
              </w:rPr>
              <w:t>paciente  (</w:t>
            </w:r>
            <w:proofErr w:type="gramEnd"/>
            <w:r w:rsidRPr="00A36EB3">
              <w:rPr>
                <w:rFonts w:ascii="Humanst521 BT" w:eastAsia="Times New Roman" w:hAnsi="Humanst521 BT" w:cs="Arial"/>
                <w:b/>
                <w:bCs/>
                <w:color w:val="000000"/>
                <w:sz w:val="20"/>
                <w:szCs w:val="20"/>
                <w:lang w:eastAsia="es-CO"/>
              </w:rPr>
              <w:t xml:space="preserve">Millones $) </w:t>
            </w:r>
          </w:p>
        </w:tc>
      </w:tr>
      <w:tr w:rsidR="00A36EB3" w:rsidRPr="00A36EB3" w14:paraId="4AD7BD27" w14:textId="77777777" w:rsidTr="00A36EB3">
        <w:trPr>
          <w:trHeight w:val="315"/>
        </w:trPr>
        <w:tc>
          <w:tcPr>
            <w:tcW w:w="3220" w:type="dxa"/>
            <w:tcBorders>
              <w:top w:val="nil"/>
              <w:left w:val="single" w:sz="8" w:space="0" w:color="67B93E"/>
              <w:bottom w:val="single" w:sz="8" w:space="0" w:color="67B93E"/>
              <w:right w:val="single" w:sz="8" w:space="0" w:color="67B93E"/>
            </w:tcBorders>
            <w:shd w:val="clear" w:color="000000" w:fill="FFFFFF"/>
            <w:vAlign w:val="center"/>
            <w:hideMark/>
          </w:tcPr>
          <w:p w14:paraId="3BDF9F17" w14:textId="77777777" w:rsidR="00A36EB3" w:rsidRPr="00A36EB3" w:rsidRDefault="00A36EB3" w:rsidP="00A36EB3">
            <w:pPr>
              <w:widowControl/>
              <w:autoSpaceDE/>
              <w:autoSpaceDN/>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VEJEZ (60 Y MÁS AÑOS)</w:t>
            </w:r>
          </w:p>
        </w:tc>
        <w:tc>
          <w:tcPr>
            <w:tcW w:w="1160" w:type="dxa"/>
            <w:tcBorders>
              <w:top w:val="nil"/>
              <w:left w:val="nil"/>
              <w:bottom w:val="single" w:sz="8" w:space="0" w:color="67B93E"/>
              <w:right w:val="single" w:sz="8" w:space="0" w:color="67B93E"/>
            </w:tcBorders>
            <w:shd w:val="clear" w:color="000000" w:fill="FFFFFF"/>
            <w:vAlign w:val="center"/>
            <w:hideMark/>
          </w:tcPr>
          <w:p w14:paraId="0CE71B56"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117</w:t>
            </w:r>
          </w:p>
        </w:tc>
        <w:tc>
          <w:tcPr>
            <w:tcW w:w="820" w:type="dxa"/>
            <w:tcBorders>
              <w:top w:val="nil"/>
              <w:left w:val="nil"/>
              <w:bottom w:val="single" w:sz="8" w:space="0" w:color="67B93E"/>
              <w:right w:val="single" w:sz="8" w:space="0" w:color="67B93E"/>
            </w:tcBorders>
            <w:shd w:val="clear" w:color="000000" w:fill="FFFFFF"/>
            <w:vAlign w:val="center"/>
            <w:hideMark/>
          </w:tcPr>
          <w:p w14:paraId="19106DE3"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84,8%</w:t>
            </w:r>
          </w:p>
        </w:tc>
        <w:tc>
          <w:tcPr>
            <w:tcW w:w="1020" w:type="dxa"/>
            <w:tcBorders>
              <w:top w:val="nil"/>
              <w:left w:val="nil"/>
              <w:bottom w:val="single" w:sz="8" w:space="0" w:color="67B93E"/>
              <w:right w:val="single" w:sz="8" w:space="0" w:color="67B93E"/>
            </w:tcBorders>
            <w:shd w:val="clear" w:color="000000" w:fill="FFFFFF"/>
            <w:vAlign w:val="center"/>
            <w:hideMark/>
          </w:tcPr>
          <w:p w14:paraId="2654676C"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77</w:t>
            </w:r>
          </w:p>
        </w:tc>
        <w:tc>
          <w:tcPr>
            <w:tcW w:w="1360" w:type="dxa"/>
            <w:tcBorders>
              <w:top w:val="nil"/>
              <w:left w:val="nil"/>
              <w:bottom w:val="single" w:sz="8" w:space="0" w:color="67B93E"/>
              <w:right w:val="single" w:sz="8" w:space="0" w:color="67B93E"/>
            </w:tcBorders>
            <w:shd w:val="clear" w:color="000000" w:fill="FFFFFF"/>
            <w:vAlign w:val="center"/>
            <w:hideMark/>
          </w:tcPr>
          <w:p w14:paraId="0F10586E"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9151,8</w:t>
            </w:r>
          </w:p>
        </w:tc>
        <w:tc>
          <w:tcPr>
            <w:tcW w:w="1020" w:type="dxa"/>
            <w:tcBorders>
              <w:top w:val="nil"/>
              <w:left w:val="nil"/>
              <w:bottom w:val="single" w:sz="8" w:space="0" w:color="67B93E"/>
              <w:right w:val="single" w:sz="8" w:space="0" w:color="67B93E"/>
            </w:tcBorders>
            <w:shd w:val="clear" w:color="000000" w:fill="FFFFFF"/>
            <w:vAlign w:val="center"/>
            <w:hideMark/>
          </w:tcPr>
          <w:p w14:paraId="011D1E4D"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89,0%</w:t>
            </w:r>
          </w:p>
        </w:tc>
        <w:tc>
          <w:tcPr>
            <w:tcW w:w="1200" w:type="dxa"/>
            <w:tcBorders>
              <w:top w:val="nil"/>
              <w:left w:val="nil"/>
              <w:bottom w:val="single" w:sz="8" w:space="0" w:color="67B93E"/>
              <w:right w:val="single" w:sz="8" w:space="0" w:color="67B93E"/>
            </w:tcBorders>
            <w:shd w:val="clear" w:color="000000" w:fill="FFFFFF"/>
            <w:vAlign w:val="center"/>
            <w:hideMark/>
          </w:tcPr>
          <w:p w14:paraId="55201523"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78,2</w:t>
            </w:r>
          </w:p>
        </w:tc>
      </w:tr>
      <w:tr w:rsidR="00A36EB3" w:rsidRPr="00A36EB3" w14:paraId="266DB643" w14:textId="77777777" w:rsidTr="00A36EB3">
        <w:trPr>
          <w:trHeight w:val="315"/>
        </w:trPr>
        <w:tc>
          <w:tcPr>
            <w:tcW w:w="3220" w:type="dxa"/>
            <w:tcBorders>
              <w:top w:val="nil"/>
              <w:left w:val="single" w:sz="8" w:space="0" w:color="67B93E"/>
              <w:bottom w:val="single" w:sz="8" w:space="0" w:color="67B93E"/>
              <w:right w:val="single" w:sz="8" w:space="0" w:color="67B93E"/>
            </w:tcBorders>
            <w:shd w:val="clear" w:color="000000" w:fill="F2F2F2"/>
            <w:vAlign w:val="center"/>
            <w:hideMark/>
          </w:tcPr>
          <w:p w14:paraId="51805383" w14:textId="77777777" w:rsidR="00A36EB3" w:rsidRPr="00A36EB3" w:rsidRDefault="00A36EB3" w:rsidP="00A36EB3">
            <w:pPr>
              <w:widowControl/>
              <w:autoSpaceDE/>
              <w:autoSpaceDN/>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ADULTO (29 A 59 AÑOS)</w:t>
            </w:r>
          </w:p>
        </w:tc>
        <w:tc>
          <w:tcPr>
            <w:tcW w:w="1160" w:type="dxa"/>
            <w:tcBorders>
              <w:top w:val="nil"/>
              <w:left w:val="nil"/>
              <w:bottom w:val="single" w:sz="8" w:space="0" w:color="67B93E"/>
              <w:right w:val="single" w:sz="8" w:space="0" w:color="67B93E"/>
            </w:tcBorders>
            <w:shd w:val="clear" w:color="000000" w:fill="F2F2F2"/>
            <w:vAlign w:val="center"/>
            <w:hideMark/>
          </w:tcPr>
          <w:p w14:paraId="4310BA55"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15</w:t>
            </w:r>
          </w:p>
        </w:tc>
        <w:tc>
          <w:tcPr>
            <w:tcW w:w="820" w:type="dxa"/>
            <w:tcBorders>
              <w:top w:val="nil"/>
              <w:left w:val="nil"/>
              <w:bottom w:val="single" w:sz="8" w:space="0" w:color="67B93E"/>
              <w:right w:val="single" w:sz="8" w:space="0" w:color="67B93E"/>
            </w:tcBorders>
            <w:shd w:val="clear" w:color="000000" w:fill="F2F2F2"/>
            <w:vAlign w:val="center"/>
            <w:hideMark/>
          </w:tcPr>
          <w:p w14:paraId="73C91E60"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10,9%</w:t>
            </w:r>
          </w:p>
        </w:tc>
        <w:tc>
          <w:tcPr>
            <w:tcW w:w="1020" w:type="dxa"/>
            <w:tcBorders>
              <w:top w:val="nil"/>
              <w:left w:val="nil"/>
              <w:bottom w:val="single" w:sz="8" w:space="0" w:color="67B93E"/>
              <w:right w:val="single" w:sz="8" w:space="0" w:color="67B93E"/>
            </w:tcBorders>
            <w:shd w:val="clear" w:color="000000" w:fill="F2F2F2"/>
            <w:vAlign w:val="center"/>
            <w:hideMark/>
          </w:tcPr>
          <w:p w14:paraId="059F3E5E"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51</w:t>
            </w:r>
          </w:p>
        </w:tc>
        <w:tc>
          <w:tcPr>
            <w:tcW w:w="1360" w:type="dxa"/>
            <w:tcBorders>
              <w:top w:val="nil"/>
              <w:left w:val="nil"/>
              <w:bottom w:val="single" w:sz="8" w:space="0" w:color="67B93E"/>
              <w:right w:val="single" w:sz="8" w:space="0" w:color="67B93E"/>
            </w:tcBorders>
            <w:shd w:val="clear" w:color="000000" w:fill="F2F2F2"/>
            <w:vAlign w:val="center"/>
            <w:hideMark/>
          </w:tcPr>
          <w:p w14:paraId="4928486E"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859,6</w:t>
            </w:r>
          </w:p>
        </w:tc>
        <w:tc>
          <w:tcPr>
            <w:tcW w:w="1020" w:type="dxa"/>
            <w:tcBorders>
              <w:top w:val="nil"/>
              <w:left w:val="nil"/>
              <w:bottom w:val="single" w:sz="8" w:space="0" w:color="67B93E"/>
              <w:right w:val="single" w:sz="8" w:space="0" w:color="67B93E"/>
            </w:tcBorders>
            <w:shd w:val="clear" w:color="000000" w:fill="FFFFFF"/>
            <w:vAlign w:val="center"/>
            <w:hideMark/>
          </w:tcPr>
          <w:p w14:paraId="296F8B37"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8,4%</w:t>
            </w:r>
          </w:p>
        </w:tc>
        <w:tc>
          <w:tcPr>
            <w:tcW w:w="1200" w:type="dxa"/>
            <w:tcBorders>
              <w:top w:val="nil"/>
              <w:left w:val="nil"/>
              <w:bottom w:val="single" w:sz="8" w:space="0" w:color="67B93E"/>
              <w:right w:val="single" w:sz="8" w:space="0" w:color="67B93E"/>
            </w:tcBorders>
            <w:shd w:val="clear" w:color="000000" w:fill="F2F2F2"/>
            <w:vAlign w:val="center"/>
            <w:hideMark/>
          </w:tcPr>
          <w:p w14:paraId="373C7BFF"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57,3</w:t>
            </w:r>
          </w:p>
        </w:tc>
      </w:tr>
      <w:tr w:rsidR="00A36EB3" w:rsidRPr="00A36EB3" w14:paraId="5566B704" w14:textId="77777777" w:rsidTr="00A36EB3">
        <w:trPr>
          <w:trHeight w:val="315"/>
        </w:trPr>
        <w:tc>
          <w:tcPr>
            <w:tcW w:w="3220" w:type="dxa"/>
            <w:tcBorders>
              <w:top w:val="nil"/>
              <w:left w:val="single" w:sz="8" w:space="0" w:color="67B93E"/>
              <w:bottom w:val="single" w:sz="8" w:space="0" w:color="67B93E"/>
              <w:right w:val="single" w:sz="8" w:space="0" w:color="67B93E"/>
            </w:tcBorders>
            <w:shd w:val="clear" w:color="000000" w:fill="FFFFFF"/>
            <w:vAlign w:val="center"/>
            <w:hideMark/>
          </w:tcPr>
          <w:p w14:paraId="59F5ECE6" w14:textId="77777777" w:rsidR="00A36EB3" w:rsidRPr="00A36EB3" w:rsidRDefault="00A36EB3" w:rsidP="00A36EB3">
            <w:pPr>
              <w:widowControl/>
              <w:autoSpaceDE/>
              <w:autoSpaceDN/>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JOVEN (18 A 28 AÑOS)</w:t>
            </w:r>
          </w:p>
        </w:tc>
        <w:tc>
          <w:tcPr>
            <w:tcW w:w="1160" w:type="dxa"/>
            <w:tcBorders>
              <w:top w:val="nil"/>
              <w:left w:val="nil"/>
              <w:bottom w:val="single" w:sz="8" w:space="0" w:color="67B93E"/>
              <w:right w:val="single" w:sz="8" w:space="0" w:color="67B93E"/>
            </w:tcBorders>
            <w:shd w:val="clear" w:color="000000" w:fill="FFFFFF"/>
            <w:vAlign w:val="center"/>
            <w:hideMark/>
          </w:tcPr>
          <w:p w14:paraId="4A8E151C"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2</w:t>
            </w:r>
          </w:p>
        </w:tc>
        <w:tc>
          <w:tcPr>
            <w:tcW w:w="820" w:type="dxa"/>
            <w:tcBorders>
              <w:top w:val="nil"/>
              <w:left w:val="nil"/>
              <w:bottom w:val="single" w:sz="8" w:space="0" w:color="67B93E"/>
              <w:right w:val="single" w:sz="8" w:space="0" w:color="67B93E"/>
            </w:tcBorders>
            <w:shd w:val="clear" w:color="000000" w:fill="FFFFFF"/>
            <w:vAlign w:val="center"/>
            <w:hideMark/>
          </w:tcPr>
          <w:p w14:paraId="47CCC00B"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1,4%</w:t>
            </w:r>
          </w:p>
        </w:tc>
        <w:tc>
          <w:tcPr>
            <w:tcW w:w="1020" w:type="dxa"/>
            <w:tcBorders>
              <w:top w:val="nil"/>
              <w:left w:val="nil"/>
              <w:bottom w:val="single" w:sz="8" w:space="0" w:color="67B93E"/>
              <w:right w:val="single" w:sz="8" w:space="0" w:color="67B93E"/>
            </w:tcBorders>
            <w:shd w:val="clear" w:color="000000" w:fill="FFFFFF"/>
            <w:vAlign w:val="center"/>
            <w:hideMark/>
          </w:tcPr>
          <w:p w14:paraId="14F03CEA"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20</w:t>
            </w:r>
          </w:p>
        </w:tc>
        <w:tc>
          <w:tcPr>
            <w:tcW w:w="1360" w:type="dxa"/>
            <w:tcBorders>
              <w:top w:val="nil"/>
              <w:left w:val="nil"/>
              <w:bottom w:val="single" w:sz="8" w:space="0" w:color="67B93E"/>
              <w:right w:val="single" w:sz="8" w:space="0" w:color="67B93E"/>
            </w:tcBorders>
            <w:shd w:val="clear" w:color="000000" w:fill="FFFFFF"/>
            <w:vAlign w:val="center"/>
            <w:hideMark/>
          </w:tcPr>
          <w:p w14:paraId="5F5DAB75"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74,5</w:t>
            </w:r>
          </w:p>
        </w:tc>
        <w:tc>
          <w:tcPr>
            <w:tcW w:w="1020" w:type="dxa"/>
            <w:tcBorders>
              <w:top w:val="nil"/>
              <w:left w:val="nil"/>
              <w:bottom w:val="single" w:sz="8" w:space="0" w:color="67B93E"/>
              <w:right w:val="single" w:sz="8" w:space="0" w:color="67B93E"/>
            </w:tcBorders>
            <w:shd w:val="clear" w:color="000000" w:fill="FFFFFF"/>
            <w:vAlign w:val="center"/>
            <w:hideMark/>
          </w:tcPr>
          <w:p w14:paraId="2787882A"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0,7%</w:t>
            </w:r>
          </w:p>
        </w:tc>
        <w:tc>
          <w:tcPr>
            <w:tcW w:w="1200" w:type="dxa"/>
            <w:tcBorders>
              <w:top w:val="nil"/>
              <w:left w:val="nil"/>
              <w:bottom w:val="single" w:sz="8" w:space="0" w:color="67B93E"/>
              <w:right w:val="single" w:sz="8" w:space="0" w:color="67B93E"/>
            </w:tcBorders>
            <w:shd w:val="clear" w:color="000000" w:fill="FFFFFF"/>
            <w:vAlign w:val="center"/>
            <w:hideMark/>
          </w:tcPr>
          <w:p w14:paraId="157F72E0"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37,3</w:t>
            </w:r>
          </w:p>
        </w:tc>
      </w:tr>
      <w:tr w:rsidR="00A36EB3" w:rsidRPr="00A36EB3" w14:paraId="567E837D" w14:textId="77777777" w:rsidTr="00A36EB3">
        <w:trPr>
          <w:trHeight w:val="315"/>
        </w:trPr>
        <w:tc>
          <w:tcPr>
            <w:tcW w:w="3220" w:type="dxa"/>
            <w:tcBorders>
              <w:top w:val="nil"/>
              <w:left w:val="single" w:sz="8" w:space="0" w:color="67B93E"/>
              <w:bottom w:val="single" w:sz="8" w:space="0" w:color="67B93E"/>
              <w:right w:val="single" w:sz="8" w:space="0" w:color="67B93E"/>
            </w:tcBorders>
            <w:shd w:val="clear" w:color="000000" w:fill="F2F2F2"/>
            <w:vAlign w:val="center"/>
            <w:hideMark/>
          </w:tcPr>
          <w:p w14:paraId="608804C5" w14:textId="77777777" w:rsidR="00A36EB3" w:rsidRPr="00A36EB3" w:rsidRDefault="00A36EB3" w:rsidP="00A36EB3">
            <w:pPr>
              <w:widowControl/>
              <w:autoSpaceDE/>
              <w:autoSpaceDN/>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ADOLESCENCIA (12 A 17 AÑOS)</w:t>
            </w:r>
          </w:p>
        </w:tc>
        <w:tc>
          <w:tcPr>
            <w:tcW w:w="1160" w:type="dxa"/>
            <w:tcBorders>
              <w:top w:val="nil"/>
              <w:left w:val="nil"/>
              <w:bottom w:val="single" w:sz="8" w:space="0" w:color="67B93E"/>
              <w:right w:val="single" w:sz="8" w:space="0" w:color="67B93E"/>
            </w:tcBorders>
            <w:shd w:val="clear" w:color="000000" w:fill="F2F2F2"/>
            <w:vAlign w:val="center"/>
            <w:hideMark/>
          </w:tcPr>
          <w:p w14:paraId="5D2BDE1E"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2</w:t>
            </w:r>
          </w:p>
        </w:tc>
        <w:tc>
          <w:tcPr>
            <w:tcW w:w="820" w:type="dxa"/>
            <w:tcBorders>
              <w:top w:val="nil"/>
              <w:left w:val="nil"/>
              <w:bottom w:val="single" w:sz="8" w:space="0" w:color="67B93E"/>
              <w:right w:val="single" w:sz="8" w:space="0" w:color="67B93E"/>
            </w:tcBorders>
            <w:shd w:val="clear" w:color="000000" w:fill="F2F2F2"/>
            <w:vAlign w:val="center"/>
            <w:hideMark/>
          </w:tcPr>
          <w:p w14:paraId="76F51BF5"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1,4%</w:t>
            </w:r>
          </w:p>
        </w:tc>
        <w:tc>
          <w:tcPr>
            <w:tcW w:w="1020" w:type="dxa"/>
            <w:tcBorders>
              <w:top w:val="nil"/>
              <w:left w:val="nil"/>
              <w:bottom w:val="single" w:sz="8" w:space="0" w:color="67B93E"/>
              <w:right w:val="single" w:sz="8" w:space="0" w:color="67B93E"/>
            </w:tcBorders>
            <w:shd w:val="clear" w:color="000000" w:fill="F2F2F2"/>
            <w:vAlign w:val="center"/>
            <w:hideMark/>
          </w:tcPr>
          <w:p w14:paraId="343E77E5"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15</w:t>
            </w:r>
          </w:p>
        </w:tc>
        <w:tc>
          <w:tcPr>
            <w:tcW w:w="1360" w:type="dxa"/>
            <w:tcBorders>
              <w:top w:val="nil"/>
              <w:left w:val="nil"/>
              <w:bottom w:val="single" w:sz="8" w:space="0" w:color="67B93E"/>
              <w:right w:val="single" w:sz="8" w:space="0" w:color="67B93E"/>
            </w:tcBorders>
            <w:shd w:val="clear" w:color="000000" w:fill="F2F2F2"/>
            <w:vAlign w:val="center"/>
            <w:hideMark/>
          </w:tcPr>
          <w:p w14:paraId="5B8A69A0"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105,3</w:t>
            </w:r>
          </w:p>
        </w:tc>
        <w:tc>
          <w:tcPr>
            <w:tcW w:w="1020" w:type="dxa"/>
            <w:tcBorders>
              <w:top w:val="nil"/>
              <w:left w:val="nil"/>
              <w:bottom w:val="single" w:sz="8" w:space="0" w:color="67B93E"/>
              <w:right w:val="single" w:sz="8" w:space="0" w:color="67B93E"/>
            </w:tcBorders>
            <w:shd w:val="clear" w:color="000000" w:fill="FFFFFF"/>
            <w:vAlign w:val="center"/>
            <w:hideMark/>
          </w:tcPr>
          <w:p w14:paraId="68030C5E"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1,0%</w:t>
            </w:r>
          </w:p>
        </w:tc>
        <w:tc>
          <w:tcPr>
            <w:tcW w:w="1200" w:type="dxa"/>
            <w:tcBorders>
              <w:top w:val="nil"/>
              <w:left w:val="nil"/>
              <w:bottom w:val="single" w:sz="8" w:space="0" w:color="67B93E"/>
              <w:right w:val="single" w:sz="8" w:space="0" w:color="67B93E"/>
            </w:tcBorders>
            <w:shd w:val="clear" w:color="000000" w:fill="F2F2F2"/>
            <w:vAlign w:val="center"/>
            <w:hideMark/>
          </w:tcPr>
          <w:p w14:paraId="57FE6BE8"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52,6</w:t>
            </w:r>
          </w:p>
        </w:tc>
      </w:tr>
      <w:tr w:rsidR="00A36EB3" w:rsidRPr="00A36EB3" w14:paraId="530F53C7" w14:textId="77777777" w:rsidTr="00A36EB3">
        <w:trPr>
          <w:trHeight w:val="315"/>
        </w:trPr>
        <w:tc>
          <w:tcPr>
            <w:tcW w:w="3220" w:type="dxa"/>
            <w:tcBorders>
              <w:top w:val="nil"/>
              <w:left w:val="single" w:sz="8" w:space="0" w:color="67B93E"/>
              <w:bottom w:val="single" w:sz="8" w:space="0" w:color="67B93E"/>
              <w:right w:val="single" w:sz="8" w:space="0" w:color="67B93E"/>
            </w:tcBorders>
            <w:shd w:val="clear" w:color="000000" w:fill="FFFFFF"/>
            <w:vAlign w:val="center"/>
            <w:hideMark/>
          </w:tcPr>
          <w:p w14:paraId="4E8734F1" w14:textId="77777777" w:rsidR="00A36EB3" w:rsidRPr="00A36EB3" w:rsidRDefault="00A36EB3" w:rsidP="00A36EB3">
            <w:pPr>
              <w:widowControl/>
              <w:autoSpaceDE/>
              <w:autoSpaceDN/>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PRIMERA INFANCIA (&lt;=5 AÑOS)</w:t>
            </w:r>
          </w:p>
        </w:tc>
        <w:tc>
          <w:tcPr>
            <w:tcW w:w="1160" w:type="dxa"/>
            <w:tcBorders>
              <w:top w:val="nil"/>
              <w:left w:val="nil"/>
              <w:bottom w:val="single" w:sz="8" w:space="0" w:color="67B93E"/>
              <w:right w:val="single" w:sz="8" w:space="0" w:color="67B93E"/>
            </w:tcBorders>
            <w:shd w:val="clear" w:color="000000" w:fill="FFFFFF"/>
            <w:vAlign w:val="center"/>
            <w:hideMark/>
          </w:tcPr>
          <w:p w14:paraId="3406D5EC"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2</w:t>
            </w:r>
          </w:p>
        </w:tc>
        <w:tc>
          <w:tcPr>
            <w:tcW w:w="820" w:type="dxa"/>
            <w:tcBorders>
              <w:top w:val="nil"/>
              <w:left w:val="nil"/>
              <w:bottom w:val="single" w:sz="8" w:space="0" w:color="67B93E"/>
              <w:right w:val="single" w:sz="8" w:space="0" w:color="67B93E"/>
            </w:tcBorders>
            <w:shd w:val="clear" w:color="000000" w:fill="FFFFFF"/>
            <w:vAlign w:val="center"/>
            <w:hideMark/>
          </w:tcPr>
          <w:p w14:paraId="05498672"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eastAsia="es-CO"/>
              </w:rPr>
              <w:t>1,4%</w:t>
            </w:r>
          </w:p>
        </w:tc>
        <w:tc>
          <w:tcPr>
            <w:tcW w:w="1020" w:type="dxa"/>
            <w:tcBorders>
              <w:top w:val="nil"/>
              <w:left w:val="nil"/>
              <w:bottom w:val="single" w:sz="8" w:space="0" w:color="67B93E"/>
              <w:right w:val="single" w:sz="8" w:space="0" w:color="67B93E"/>
            </w:tcBorders>
            <w:shd w:val="clear" w:color="000000" w:fill="FFFFFF"/>
            <w:vAlign w:val="center"/>
            <w:hideMark/>
          </w:tcPr>
          <w:p w14:paraId="70B7705E"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0</w:t>
            </w:r>
          </w:p>
        </w:tc>
        <w:tc>
          <w:tcPr>
            <w:tcW w:w="1360" w:type="dxa"/>
            <w:tcBorders>
              <w:top w:val="nil"/>
              <w:left w:val="nil"/>
              <w:bottom w:val="single" w:sz="8" w:space="0" w:color="67B93E"/>
              <w:right w:val="single" w:sz="8" w:space="0" w:color="67B93E"/>
            </w:tcBorders>
            <w:shd w:val="clear" w:color="000000" w:fill="FFFFFF"/>
            <w:vAlign w:val="center"/>
            <w:hideMark/>
          </w:tcPr>
          <w:p w14:paraId="485EC5C0"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94,8</w:t>
            </w:r>
          </w:p>
        </w:tc>
        <w:tc>
          <w:tcPr>
            <w:tcW w:w="1020" w:type="dxa"/>
            <w:tcBorders>
              <w:top w:val="nil"/>
              <w:left w:val="nil"/>
              <w:bottom w:val="single" w:sz="8" w:space="0" w:color="67B93E"/>
              <w:right w:val="single" w:sz="8" w:space="0" w:color="67B93E"/>
            </w:tcBorders>
            <w:shd w:val="clear" w:color="000000" w:fill="FFFFFF"/>
            <w:vAlign w:val="center"/>
            <w:hideMark/>
          </w:tcPr>
          <w:p w14:paraId="76D53D79"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0,9%</w:t>
            </w:r>
          </w:p>
        </w:tc>
        <w:tc>
          <w:tcPr>
            <w:tcW w:w="1200" w:type="dxa"/>
            <w:tcBorders>
              <w:top w:val="nil"/>
              <w:left w:val="nil"/>
              <w:bottom w:val="single" w:sz="8" w:space="0" w:color="67B93E"/>
              <w:right w:val="single" w:sz="8" w:space="0" w:color="67B93E"/>
            </w:tcBorders>
            <w:shd w:val="clear" w:color="000000" w:fill="FFFFFF"/>
            <w:vAlign w:val="center"/>
            <w:hideMark/>
          </w:tcPr>
          <w:p w14:paraId="6DA44C48" w14:textId="77777777" w:rsidR="00A36EB3" w:rsidRPr="00A36EB3" w:rsidRDefault="00A36EB3" w:rsidP="00A36EB3">
            <w:pPr>
              <w:widowControl/>
              <w:autoSpaceDE/>
              <w:autoSpaceDN/>
              <w:jc w:val="center"/>
              <w:rPr>
                <w:rFonts w:ascii="Humanst521 BT" w:eastAsia="Times New Roman" w:hAnsi="Humanst521 BT" w:cs="Arial"/>
                <w:color w:val="000000"/>
                <w:sz w:val="20"/>
                <w:szCs w:val="20"/>
                <w:lang w:val="es-CO" w:eastAsia="es-CO"/>
              </w:rPr>
            </w:pPr>
            <w:r w:rsidRPr="00A36EB3">
              <w:rPr>
                <w:rFonts w:ascii="Humanst521 BT" w:eastAsia="Times New Roman" w:hAnsi="Humanst521 BT" w:cs="Arial"/>
                <w:color w:val="000000"/>
                <w:sz w:val="20"/>
                <w:szCs w:val="20"/>
                <w:lang w:val="es-CO" w:eastAsia="es-CO"/>
              </w:rPr>
              <w:t>47,4</w:t>
            </w:r>
          </w:p>
        </w:tc>
      </w:tr>
      <w:tr w:rsidR="00A36EB3" w:rsidRPr="00A36EB3" w14:paraId="1424D359" w14:textId="77777777" w:rsidTr="00A36EB3">
        <w:trPr>
          <w:trHeight w:val="315"/>
        </w:trPr>
        <w:tc>
          <w:tcPr>
            <w:tcW w:w="3220" w:type="dxa"/>
            <w:tcBorders>
              <w:top w:val="nil"/>
              <w:left w:val="single" w:sz="8" w:space="0" w:color="67B93E"/>
              <w:bottom w:val="nil"/>
              <w:right w:val="single" w:sz="8" w:space="0" w:color="67B93E"/>
            </w:tcBorders>
            <w:shd w:val="clear" w:color="000000" w:fill="C5E0B3"/>
            <w:vAlign w:val="center"/>
            <w:hideMark/>
          </w:tcPr>
          <w:p w14:paraId="0E0DC93F" w14:textId="77777777" w:rsidR="00A36EB3" w:rsidRPr="00A36EB3" w:rsidRDefault="00A36EB3" w:rsidP="00A36EB3">
            <w:pPr>
              <w:widowControl/>
              <w:autoSpaceDE/>
              <w:autoSpaceDN/>
              <w:rPr>
                <w:rFonts w:ascii="Humanst521 BT" w:eastAsia="Times New Roman" w:hAnsi="Humanst521 BT" w:cs="Arial"/>
                <w:b/>
                <w:bCs/>
                <w:color w:val="000000"/>
                <w:sz w:val="20"/>
                <w:szCs w:val="20"/>
                <w:lang w:val="es-CO" w:eastAsia="es-CO"/>
              </w:rPr>
            </w:pPr>
            <w:proofErr w:type="gramStart"/>
            <w:r w:rsidRPr="00A36EB3">
              <w:rPr>
                <w:rFonts w:ascii="Humanst521 BT" w:eastAsia="Times New Roman" w:hAnsi="Humanst521 BT" w:cs="Arial"/>
                <w:b/>
                <w:bCs/>
                <w:color w:val="000000"/>
                <w:sz w:val="20"/>
                <w:szCs w:val="20"/>
                <w:lang w:eastAsia="es-CO"/>
              </w:rPr>
              <w:t>Total</w:t>
            </w:r>
            <w:proofErr w:type="gramEnd"/>
            <w:r w:rsidRPr="00A36EB3">
              <w:rPr>
                <w:rFonts w:ascii="Humanst521 BT" w:eastAsia="Times New Roman" w:hAnsi="Humanst521 BT" w:cs="Arial"/>
                <w:b/>
                <w:bCs/>
                <w:color w:val="000000"/>
                <w:sz w:val="20"/>
                <w:szCs w:val="20"/>
                <w:lang w:eastAsia="es-CO"/>
              </w:rPr>
              <w:t xml:space="preserve"> general</w:t>
            </w:r>
          </w:p>
        </w:tc>
        <w:tc>
          <w:tcPr>
            <w:tcW w:w="1160" w:type="dxa"/>
            <w:tcBorders>
              <w:top w:val="nil"/>
              <w:left w:val="nil"/>
              <w:bottom w:val="nil"/>
              <w:right w:val="single" w:sz="8" w:space="0" w:color="67B93E"/>
            </w:tcBorders>
            <w:shd w:val="clear" w:color="000000" w:fill="C5E0B3"/>
            <w:vAlign w:val="center"/>
            <w:hideMark/>
          </w:tcPr>
          <w:p w14:paraId="41EE2218" w14:textId="77777777" w:rsidR="00A36EB3" w:rsidRPr="00A36EB3" w:rsidRDefault="00A36EB3" w:rsidP="00A36EB3">
            <w:pPr>
              <w:widowControl/>
              <w:autoSpaceDE/>
              <w:autoSpaceDN/>
              <w:jc w:val="center"/>
              <w:rPr>
                <w:rFonts w:ascii="Humanst521 BT" w:eastAsia="Times New Roman" w:hAnsi="Humanst521 BT" w:cs="Arial"/>
                <w:b/>
                <w:bCs/>
                <w:color w:val="000000"/>
                <w:sz w:val="18"/>
                <w:szCs w:val="18"/>
                <w:lang w:val="es-CO" w:eastAsia="es-CO"/>
              </w:rPr>
            </w:pPr>
            <w:r w:rsidRPr="00A36EB3">
              <w:rPr>
                <w:rFonts w:ascii="Humanst521 BT" w:eastAsia="Times New Roman" w:hAnsi="Humanst521 BT" w:cs="Arial"/>
                <w:b/>
                <w:bCs/>
                <w:color w:val="000000"/>
                <w:sz w:val="18"/>
                <w:szCs w:val="18"/>
                <w:lang w:eastAsia="es-CO"/>
              </w:rPr>
              <w:t>138</w:t>
            </w:r>
          </w:p>
        </w:tc>
        <w:tc>
          <w:tcPr>
            <w:tcW w:w="820" w:type="dxa"/>
            <w:tcBorders>
              <w:top w:val="nil"/>
              <w:left w:val="nil"/>
              <w:bottom w:val="nil"/>
              <w:right w:val="single" w:sz="8" w:space="0" w:color="67B93E"/>
            </w:tcBorders>
            <w:shd w:val="clear" w:color="000000" w:fill="C5E0B3"/>
            <w:vAlign w:val="center"/>
            <w:hideMark/>
          </w:tcPr>
          <w:p w14:paraId="679ED300" w14:textId="77777777" w:rsidR="00A36EB3" w:rsidRPr="00A36EB3" w:rsidRDefault="00A36EB3" w:rsidP="00A36EB3">
            <w:pPr>
              <w:widowControl/>
              <w:autoSpaceDE/>
              <w:autoSpaceDN/>
              <w:jc w:val="center"/>
              <w:rPr>
                <w:rFonts w:ascii="Humanst521 BT" w:eastAsia="Times New Roman" w:hAnsi="Humanst521 BT" w:cs="Arial"/>
                <w:b/>
                <w:bCs/>
                <w:color w:val="000000"/>
                <w:sz w:val="18"/>
                <w:szCs w:val="18"/>
                <w:lang w:val="es-CO" w:eastAsia="es-CO"/>
              </w:rPr>
            </w:pPr>
            <w:r w:rsidRPr="00A36EB3">
              <w:rPr>
                <w:rFonts w:ascii="Humanst521 BT" w:eastAsia="Times New Roman" w:hAnsi="Humanst521 BT" w:cs="Arial"/>
                <w:b/>
                <w:bCs/>
                <w:color w:val="000000"/>
                <w:sz w:val="18"/>
                <w:szCs w:val="18"/>
                <w:lang w:eastAsia="es-CO"/>
              </w:rPr>
              <w:t>100%</w:t>
            </w:r>
          </w:p>
        </w:tc>
        <w:tc>
          <w:tcPr>
            <w:tcW w:w="1020" w:type="dxa"/>
            <w:tcBorders>
              <w:top w:val="nil"/>
              <w:left w:val="nil"/>
              <w:bottom w:val="nil"/>
              <w:right w:val="single" w:sz="8" w:space="0" w:color="67B93E"/>
            </w:tcBorders>
            <w:shd w:val="clear" w:color="000000" w:fill="C5E0B3"/>
            <w:vAlign w:val="center"/>
            <w:hideMark/>
          </w:tcPr>
          <w:p w14:paraId="53119080" w14:textId="77777777" w:rsidR="00A36EB3" w:rsidRPr="00A36EB3" w:rsidRDefault="00A36EB3" w:rsidP="00A36EB3">
            <w:pPr>
              <w:widowControl/>
              <w:autoSpaceDE/>
              <w:autoSpaceDN/>
              <w:jc w:val="center"/>
              <w:rPr>
                <w:rFonts w:ascii="Humanst521 BT" w:eastAsia="Times New Roman" w:hAnsi="Humanst521 BT" w:cs="Arial"/>
                <w:b/>
                <w:bCs/>
                <w:color w:val="000000"/>
                <w:sz w:val="20"/>
                <w:szCs w:val="20"/>
                <w:lang w:val="es-CO" w:eastAsia="es-CO"/>
              </w:rPr>
            </w:pPr>
            <w:r w:rsidRPr="00A36EB3">
              <w:rPr>
                <w:rFonts w:ascii="Humanst521 BT" w:eastAsia="Times New Roman" w:hAnsi="Humanst521 BT" w:cs="Arial"/>
                <w:b/>
                <w:bCs/>
                <w:color w:val="000000"/>
                <w:sz w:val="20"/>
                <w:szCs w:val="20"/>
                <w:lang w:val="es-CO" w:eastAsia="es-CO"/>
              </w:rPr>
              <w:t>71</w:t>
            </w:r>
          </w:p>
        </w:tc>
        <w:tc>
          <w:tcPr>
            <w:tcW w:w="1360" w:type="dxa"/>
            <w:tcBorders>
              <w:top w:val="nil"/>
              <w:left w:val="nil"/>
              <w:bottom w:val="nil"/>
              <w:right w:val="single" w:sz="8" w:space="0" w:color="67B93E"/>
            </w:tcBorders>
            <w:shd w:val="clear" w:color="000000" w:fill="C5E0B3"/>
            <w:vAlign w:val="center"/>
            <w:hideMark/>
          </w:tcPr>
          <w:p w14:paraId="63E14EBF" w14:textId="77777777" w:rsidR="00A36EB3" w:rsidRPr="00A36EB3" w:rsidRDefault="00A36EB3" w:rsidP="00A36EB3">
            <w:pPr>
              <w:widowControl/>
              <w:autoSpaceDE/>
              <w:autoSpaceDN/>
              <w:jc w:val="center"/>
              <w:rPr>
                <w:rFonts w:ascii="Humanst521 BT" w:eastAsia="Times New Roman" w:hAnsi="Humanst521 BT" w:cs="Arial"/>
                <w:b/>
                <w:bCs/>
                <w:color w:val="000000"/>
                <w:sz w:val="18"/>
                <w:szCs w:val="18"/>
                <w:lang w:val="es-CO" w:eastAsia="es-CO"/>
              </w:rPr>
            </w:pPr>
            <w:r w:rsidRPr="00A36EB3">
              <w:rPr>
                <w:rFonts w:ascii="Humanst521 BT" w:eastAsia="Times New Roman" w:hAnsi="Humanst521 BT" w:cs="Arial"/>
                <w:b/>
                <w:bCs/>
                <w:color w:val="000000"/>
                <w:sz w:val="18"/>
                <w:szCs w:val="18"/>
                <w:lang w:val="es-CO" w:eastAsia="es-CO"/>
              </w:rPr>
              <w:t>10286,0</w:t>
            </w:r>
          </w:p>
        </w:tc>
        <w:tc>
          <w:tcPr>
            <w:tcW w:w="1020" w:type="dxa"/>
            <w:tcBorders>
              <w:top w:val="nil"/>
              <w:left w:val="nil"/>
              <w:bottom w:val="nil"/>
              <w:right w:val="single" w:sz="8" w:space="0" w:color="67B93E"/>
            </w:tcBorders>
            <w:shd w:val="clear" w:color="000000" w:fill="C5E0B3"/>
            <w:vAlign w:val="center"/>
            <w:hideMark/>
          </w:tcPr>
          <w:p w14:paraId="5596E3D4" w14:textId="77777777" w:rsidR="00A36EB3" w:rsidRPr="00A36EB3" w:rsidRDefault="00A36EB3" w:rsidP="00A36EB3">
            <w:pPr>
              <w:widowControl/>
              <w:autoSpaceDE/>
              <w:autoSpaceDN/>
              <w:jc w:val="center"/>
              <w:rPr>
                <w:rFonts w:ascii="Humanst521 BT" w:eastAsia="Times New Roman" w:hAnsi="Humanst521 BT" w:cs="Arial"/>
                <w:b/>
                <w:bCs/>
                <w:color w:val="000000"/>
                <w:sz w:val="18"/>
                <w:szCs w:val="18"/>
                <w:lang w:val="es-CO" w:eastAsia="es-CO"/>
              </w:rPr>
            </w:pPr>
            <w:r w:rsidRPr="00A36EB3">
              <w:rPr>
                <w:rFonts w:ascii="Humanst521 BT" w:eastAsia="Times New Roman" w:hAnsi="Humanst521 BT" w:cs="Arial"/>
                <w:b/>
                <w:bCs/>
                <w:color w:val="000000"/>
                <w:sz w:val="18"/>
                <w:szCs w:val="18"/>
                <w:lang w:val="es-CO" w:eastAsia="es-CO"/>
              </w:rPr>
              <w:t>100%</w:t>
            </w:r>
          </w:p>
        </w:tc>
        <w:tc>
          <w:tcPr>
            <w:tcW w:w="1200" w:type="dxa"/>
            <w:tcBorders>
              <w:top w:val="nil"/>
              <w:left w:val="nil"/>
              <w:bottom w:val="nil"/>
              <w:right w:val="single" w:sz="8" w:space="0" w:color="67B93E"/>
            </w:tcBorders>
            <w:shd w:val="clear" w:color="000000" w:fill="C5E0B3"/>
            <w:vAlign w:val="center"/>
            <w:hideMark/>
          </w:tcPr>
          <w:p w14:paraId="18AF322E" w14:textId="77777777" w:rsidR="00A36EB3" w:rsidRPr="00A36EB3" w:rsidRDefault="00A36EB3" w:rsidP="00A36EB3">
            <w:pPr>
              <w:widowControl/>
              <w:autoSpaceDE/>
              <w:autoSpaceDN/>
              <w:jc w:val="center"/>
              <w:rPr>
                <w:rFonts w:ascii="Humanst521 BT" w:eastAsia="Times New Roman" w:hAnsi="Humanst521 BT" w:cs="Arial"/>
                <w:b/>
                <w:bCs/>
                <w:color w:val="000000"/>
                <w:sz w:val="18"/>
                <w:szCs w:val="18"/>
                <w:lang w:val="es-CO" w:eastAsia="es-CO"/>
              </w:rPr>
            </w:pPr>
            <w:r w:rsidRPr="00A36EB3">
              <w:rPr>
                <w:rFonts w:ascii="Humanst521 BT" w:eastAsia="Times New Roman" w:hAnsi="Humanst521 BT" w:cs="Arial"/>
                <w:b/>
                <w:bCs/>
                <w:color w:val="000000"/>
                <w:sz w:val="18"/>
                <w:szCs w:val="18"/>
                <w:lang w:val="es-CO" w:eastAsia="es-CO"/>
              </w:rPr>
              <w:t>$ 74,5</w:t>
            </w:r>
          </w:p>
        </w:tc>
      </w:tr>
    </w:tbl>
    <w:p w14:paraId="37540A29" w14:textId="051FD521" w:rsidR="009C4AF5" w:rsidRPr="007F0FA7" w:rsidRDefault="009C4AF5" w:rsidP="00093B44">
      <w:pPr>
        <w:jc w:val="both"/>
        <w:rPr>
          <w:rFonts w:ascii="Humanst521 BT" w:eastAsia="Calibri" w:hAnsi="Humanst521 BT" w:cs="Calibri"/>
        </w:rPr>
      </w:pPr>
      <w:r w:rsidRPr="007F0FA7">
        <w:rPr>
          <w:rFonts w:ascii="Humanst521 BT" w:eastAsia="Calibri" w:hAnsi="Humanst521 BT" w:cs="Calibri"/>
        </w:rPr>
        <w:t>Fuente: Sistema de Información UISALUD, 202</w:t>
      </w:r>
      <w:r w:rsidR="005B6DFF">
        <w:rPr>
          <w:rFonts w:ascii="Humanst521 BT" w:eastAsia="Calibri" w:hAnsi="Humanst521 BT" w:cs="Calibri"/>
        </w:rPr>
        <w:t>5</w:t>
      </w:r>
    </w:p>
    <w:p w14:paraId="2E16A6CE" w14:textId="77777777" w:rsidR="009C4AF5" w:rsidRPr="007F0FA7" w:rsidRDefault="009C4AF5" w:rsidP="00093B44">
      <w:pPr>
        <w:spacing w:after="160"/>
        <w:jc w:val="both"/>
        <w:rPr>
          <w:rFonts w:ascii="Humanst521 BT" w:eastAsia="Calibri" w:hAnsi="Humanst521 BT" w:cs="Calibri"/>
        </w:rPr>
      </w:pPr>
    </w:p>
    <w:p w14:paraId="627992F4" w14:textId="73F4331E" w:rsidR="00913B5A" w:rsidRDefault="005B6DFF" w:rsidP="00093B44">
      <w:pPr>
        <w:jc w:val="both"/>
        <w:rPr>
          <w:rFonts w:ascii="Humanst521 BT" w:hAnsi="Humanst521 BT"/>
        </w:rPr>
      </w:pPr>
      <w:r w:rsidRPr="005B6DFF">
        <w:rPr>
          <w:rFonts w:ascii="Humanst521 BT" w:hAnsi="Humanst521 BT"/>
        </w:rPr>
        <w:t>La distribución del gasto por ciclo vital evidencia una alta concentración en la población de vejez (≥60 años), la cual representa el 84,8% de los afiliados analizados y concentra el 89,0% del costo total, con un costo promedio por paciente de $78,2 millones. Este comportamiento confirma que el gasto en salud está fuertemente determinado por el envejecimiento poblacional, asociado a mayor prevalencia de enfermedades crónicas, multimorbilidad y dependencia funcional. En contraste, los demás ciclos vitales presentan una participación marginal en el gasto total, aunque con costos promedio relevantes en etapas tempranas de la vida, lo que sugiere la presencia de casos de alta complejidad de baja frecuencia. Desde una perspectiva epidemiológica, estos hallazgos refuerzan la necesidad de focalizar las estrategias de gestión del riesgo en el adulto mayor, sin descuidar la identificación oportuna de eventos de alto costo en grupos etarios menores.</w:t>
      </w:r>
    </w:p>
    <w:p w14:paraId="0016D6FA" w14:textId="77777777" w:rsidR="005B6DFF" w:rsidRDefault="005B6DFF" w:rsidP="00093B44">
      <w:pPr>
        <w:jc w:val="both"/>
        <w:rPr>
          <w:rFonts w:ascii="Humanst521 BT" w:hAnsi="Humanst521 BT"/>
        </w:rPr>
      </w:pPr>
    </w:p>
    <w:p w14:paraId="04CA50AF" w14:textId="77777777" w:rsidR="005B6DFF" w:rsidRDefault="005B6DFF" w:rsidP="00093B44">
      <w:pPr>
        <w:jc w:val="both"/>
        <w:rPr>
          <w:rFonts w:ascii="Humanst521 BT" w:hAnsi="Humanst521 BT"/>
        </w:rPr>
      </w:pPr>
    </w:p>
    <w:p w14:paraId="7887BDFF" w14:textId="77777777" w:rsidR="00735F2B" w:rsidRDefault="00735F2B" w:rsidP="00093B44">
      <w:pPr>
        <w:jc w:val="both"/>
        <w:rPr>
          <w:rFonts w:ascii="Humanst521 BT" w:hAnsi="Humanst521 BT"/>
        </w:rPr>
      </w:pPr>
    </w:p>
    <w:p w14:paraId="018038AD" w14:textId="77777777" w:rsidR="00735F2B" w:rsidRDefault="00735F2B" w:rsidP="00093B44">
      <w:pPr>
        <w:jc w:val="both"/>
        <w:rPr>
          <w:rFonts w:ascii="Humanst521 BT" w:hAnsi="Humanst521 BT"/>
        </w:rPr>
      </w:pPr>
    </w:p>
    <w:p w14:paraId="3AA716B2" w14:textId="77777777" w:rsidR="00735F2B" w:rsidRDefault="00735F2B" w:rsidP="00093B44">
      <w:pPr>
        <w:jc w:val="both"/>
        <w:rPr>
          <w:rFonts w:ascii="Humanst521 BT" w:hAnsi="Humanst521 BT"/>
        </w:rPr>
      </w:pPr>
    </w:p>
    <w:p w14:paraId="232D13AC" w14:textId="77777777" w:rsidR="00735F2B" w:rsidRDefault="00735F2B" w:rsidP="00093B44">
      <w:pPr>
        <w:jc w:val="both"/>
        <w:rPr>
          <w:rFonts w:ascii="Humanst521 BT" w:hAnsi="Humanst521 BT"/>
        </w:rPr>
      </w:pPr>
    </w:p>
    <w:p w14:paraId="258BF74D" w14:textId="77777777" w:rsidR="00735F2B" w:rsidRDefault="00735F2B" w:rsidP="00093B44">
      <w:pPr>
        <w:jc w:val="both"/>
        <w:rPr>
          <w:rFonts w:ascii="Humanst521 BT" w:hAnsi="Humanst521 BT"/>
        </w:rPr>
      </w:pPr>
    </w:p>
    <w:p w14:paraId="0F3102F9" w14:textId="77777777" w:rsidR="00735F2B" w:rsidRDefault="00735F2B" w:rsidP="00093B44">
      <w:pPr>
        <w:jc w:val="both"/>
        <w:rPr>
          <w:rFonts w:ascii="Humanst521 BT" w:hAnsi="Humanst521 BT"/>
        </w:rPr>
      </w:pPr>
    </w:p>
    <w:p w14:paraId="18DD05B2" w14:textId="77777777" w:rsidR="00735F2B" w:rsidRDefault="00735F2B" w:rsidP="00093B44">
      <w:pPr>
        <w:jc w:val="both"/>
        <w:rPr>
          <w:rFonts w:ascii="Humanst521 BT" w:hAnsi="Humanst521 BT"/>
        </w:rPr>
      </w:pPr>
    </w:p>
    <w:p w14:paraId="3C82CE19" w14:textId="77777777" w:rsidR="00735F2B" w:rsidRDefault="00735F2B" w:rsidP="00093B44">
      <w:pPr>
        <w:jc w:val="both"/>
        <w:rPr>
          <w:rFonts w:ascii="Humanst521 BT" w:hAnsi="Humanst521 BT"/>
        </w:rPr>
      </w:pPr>
    </w:p>
    <w:p w14:paraId="0FC047F2" w14:textId="77777777" w:rsidR="00735F2B" w:rsidRDefault="00735F2B" w:rsidP="00093B44">
      <w:pPr>
        <w:jc w:val="both"/>
        <w:rPr>
          <w:rFonts w:ascii="Humanst521 BT" w:hAnsi="Humanst521 BT"/>
        </w:rPr>
      </w:pPr>
    </w:p>
    <w:p w14:paraId="520B3FD9" w14:textId="77777777" w:rsidR="00735F2B" w:rsidRDefault="00735F2B" w:rsidP="00093B44">
      <w:pPr>
        <w:jc w:val="both"/>
        <w:rPr>
          <w:rFonts w:ascii="Humanst521 BT" w:hAnsi="Humanst521 BT"/>
        </w:rPr>
      </w:pPr>
    </w:p>
    <w:p w14:paraId="15CD509C" w14:textId="77777777" w:rsidR="00735F2B" w:rsidRPr="005B6DFF" w:rsidRDefault="00735F2B" w:rsidP="00093B44">
      <w:pPr>
        <w:jc w:val="both"/>
        <w:rPr>
          <w:rFonts w:ascii="Humanst521 BT" w:hAnsi="Humanst521 BT"/>
        </w:rPr>
      </w:pPr>
    </w:p>
    <w:p w14:paraId="32C6461B" w14:textId="55C349AF" w:rsidR="00E72E6A" w:rsidRPr="00C8589C" w:rsidRDefault="00E72E6A" w:rsidP="00CF2550">
      <w:pPr>
        <w:pStyle w:val="Descripcin"/>
        <w:spacing w:line="240" w:lineRule="auto"/>
        <w:outlineLvl w:val="3"/>
        <w:rPr>
          <w:rFonts w:ascii="Humanst521 BT" w:eastAsia="Verdana" w:hAnsi="Humanst521 BT" w:cs="Verdana"/>
          <w:sz w:val="22"/>
          <w:szCs w:val="22"/>
          <w:lang w:val="es-ES"/>
        </w:rPr>
      </w:pPr>
      <w:bookmarkStart w:id="130" w:name="_Toc231286805"/>
      <w:r w:rsidRPr="00C8589C">
        <w:rPr>
          <w:rFonts w:ascii="Humanst521 BT" w:eastAsia="Verdana" w:hAnsi="Humanst521 BT" w:cs="Verdana"/>
          <w:sz w:val="22"/>
          <w:szCs w:val="22"/>
          <w:lang w:val="es-ES"/>
        </w:rPr>
        <w:lastRenderedPageBreak/>
        <w:t>5.2.1.</w:t>
      </w:r>
      <w:r w:rsidR="00CF2550" w:rsidRPr="00C8589C">
        <w:rPr>
          <w:rFonts w:ascii="Humanst521 BT" w:eastAsia="Verdana" w:hAnsi="Humanst521 BT" w:cs="Verdana"/>
          <w:sz w:val="22"/>
          <w:szCs w:val="22"/>
          <w:lang w:val="es-ES"/>
        </w:rPr>
        <w:t>6</w:t>
      </w:r>
      <w:r w:rsidRPr="00C8589C">
        <w:rPr>
          <w:rFonts w:ascii="Humanst521 BT" w:eastAsia="Verdana" w:hAnsi="Humanst521 BT" w:cs="Verdana"/>
          <w:sz w:val="22"/>
          <w:szCs w:val="22"/>
          <w:lang w:val="es-ES"/>
        </w:rPr>
        <w:t>. Morbilidad en salud mental y emocional</w:t>
      </w:r>
      <w:bookmarkEnd w:id="130"/>
    </w:p>
    <w:p w14:paraId="7EEB238B" w14:textId="64986FFD" w:rsidR="00636D31" w:rsidRPr="00CE4C20" w:rsidRDefault="00636D31" w:rsidP="00636D31">
      <w:pPr>
        <w:jc w:val="both"/>
        <w:rPr>
          <w:rFonts w:ascii="Humanst521 BT" w:hAnsi="Humanst521 BT" w:cstheme="minorHAnsi"/>
          <w:bCs/>
        </w:rPr>
      </w:pPr>
      <w:bookmarkStart w:id="131" w:name="_Toc231286275"/>
      <w:r w:rsidRPr="00CE4C20">
        <w:rPr>
          <w:rFonts w:ascii="Humanst521 BT" w:hAnsi="Humanst521 BT" w:cstheme="minorHAnsi"/>
        </w:rPr>
        <w:t xml:space="preserve">Tabla </w:t>
      </w:r>
      <w:r w:rsidRPr="00CE4C20">
        <w:rPr>
          <w:rFonts w:ascii="Humanst521 BT" w:hAnsi="Humanst521 BT" w:cstheme="minorHAnsi"/>
        </w:rPr>
        <w:fldChar w:fldCharType="begin"/>
      </w:r>
      <w:r w:rsidRPr="00CE4C20">
        <w:rPr>
          <w:rFonts w:ascii="Humanst521 BT" w:hAnsi="Humanst521 BT" w:cstheme="minorHAnsi"/>
        </w:rPr>
        <w:instrText xml:space="preserve"> SEQ Tabla \* ARABIC </w:instrText>
      </w:r>
      <w:r w:rsidRPr="00CE4C20">
        <w:rPr>
          <w:rFonts w:ascii="Humanst521 BT" w:hAnsi="Humanst521 BT" w:cstheme="minorHAnsi"/>
        </w:rPr>
        <w:fldChar w:fldCharType="separate"/>
      </w:r>
      <w:r w:rsidR="00580EDB">
        <w:rPr>
          <w:rFonts w:ascii="Humanst521 BT" w:hAnsi="Humanst521 BT" w:cstheme="minorHAnsi"/>
          <w:noProof/>
        </w:rPr>
        <w:t>30</w:t>
      </w:r>
      <w:r w:rsidRPr="00CE4C20">
        <w:rPr>
          <w:rFonts w:ascii="Humanst521 BT" w:hAnsi="Humanst521 BT" w:cstheme="minorHAnsi"/>
        </w:rPr>
        <w:fldChar w:fldCharType="end"/>
      </w:r>
      <w:r w:rsidRPr="00CE4C20">
        <w:rPr>
          <w:rFonts w:ascii="Humanst521 BT" w:hAnsi="Humanst521 BT" w:cstheme="minorHAnsi"/>
        </w:rPr>
        <w:t xml:space="preserve">. </w:t>
      </w:r>
      <w:r>
        <w:rPr>
          <w:rFonts w:ascii="Humanst521 BT" w:hAnsi="Humanst521 BT" w:cstheme="minorHAnsi"/>
        </w:rPr>
        <w:t>Indicadores Salud Mental</w:t>
      </w:r>
      <w:r w:rsidR="001D0F3E">
        <w:rPr>
          <w:rFonts w:ascii="Humanst521 BT" w:hAnsi="Humanst521 BT" w:cstheme="minorHAnsi"/>
        </w:rPr>
        <w:t xml:space="preserve"> - ASIS</w:t>
      </w:r>
      <w:bookmarkEnd w:id="131"/>
    </w:p>
    <w:p w14:paraId="1DBF9973" w14:textId="77777777" w:rsidR="00636D31" w:rsidRPr="00CE4C20" w:rsidRDefault="00636D31" w:rsidP="00636D31">
      <w:pPr>
        <w:jc w:val="both"/>
        <w:rPr>
          <w:rFonts w:ascii="Humanst521 BT" w:hAnsi="Humanst521 BT" w:cstheme="minorBidi"/>
        </w:rPr>
      </w:pPr>
      <w:r w:rsidRPr="00CE4C20">
        <w:rPr>
          <w:rFonts w:ascii="Humanst521 BT" w:hAnsi="Humanst521 BT" w:cstheme="minorBidi"/>
        </w:rPr>
        <w:t xml:space="preserve"> </w:t>
      </w:r>
    </w:p>
    <w:tbl>
      <w:tblPr>
        <w:tblW w:w="4007" w:type="pct"/>
        <w:jc w:val="center"/>
        <w:tblCellMar>
          <w:left w:w="70" w:type="dxa"/>
          <w:right w:w="70" w:type="dxa"/>
        </w:tblCellMar>
        <w:tblLook w:val="04A0" w:firstRow="1" w:lastRow="0" w:firstColumn="1" w:lastColumn="0" w:noHBand="0" w:noVBand="1"/>
      </w:tblPr>
      <w:tblGrid>
        <w:gridCol w:w="4670"/>
        <w:gridCol w:w="1417"/>
        <w:gridCol w:w="1558"/>
      </w:tblGrid>
      <w:tr w:rsidR="008E599B" w:rsidRPr="00636D31" w14:paraId="239D1BDD" w14:textId="77777777" w:rsidTr="00107E8C">
        <w:trPr>
          <w:trHeight w:val="732"/>
          <w:jc w:val="center"/>
        </w:trPr>
        <w:tc>
          <w:tcPr>
            <w:tcW w:w="3054" w:type="pc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0D192C32" w14:textId="77777777" w:rsidR="00636D31" w:rsidRPr="00636D31" w:rsidRDefault="00636D31" w:rsidP="00636D31">
            <w:pPr>
              <w:widowControl/>
              <w:autoSpaceDE/>
              <w:autoSpaceDN/>
              <w:jc w:val="center"/>
              <w:rPr>
                <w:rFonts w:ascii="Humanst521 BT" w:eastAsia="Times New Roman" w:hAnsi="Humanst521 BT" w:cs="Times New Roman"/>
                <w:b/>
                <w:bCs/>
                <w:color w:val="000000"/>
                <w:sz w:val="20"/>
                <w:szCs w:val="20"/>
                <w:lang w:val="es-CO" w:eastAsia="es-CO"/>
              </w:rPr>
            </w:pPr>
            <w:r w:rsidRPr="00636D31">
              <w:rPr>
                <w:rFonts w:ascii="Humanst521 BT" w:eastAsia="Times New Roman" w:hAnsi="Humanst521 BT" w:cs="Times New Roman"/>
                <w:b/>
                <w:bCs/>
                <w:color w:val="000000"/>
                <w:sz w:val="20"/>
                <w:szCs w:val="20"/>
                <w:lang w:val="es-CO" w:eastAsia="es-CO"/>
              </w:rPr>
              <w:t>SALUD MENTAL Y EMOCIONAL</w:t>
            </w:r>
          </w:p>
        </w:tc>
        <w:tc>
          <w:tcPr>
            <w:tcW w:w="927" w:type="pct"/>
            <w:tcBorders>
              <w:top w:val="single" w:sz="8" w:space="0" w:color="67B93E"/>
              <w:left w:val="nil"/>
              <w:bottom w:val="single" w:sz="8" w:space="0" w:color="67B93E"/>
              <w:right w:val="single" w:sz="8" w:space="0" w:color="67B93E"/>
            </w:tcBorders>
            <w:shd w:val="clear" w:color="000000" w:fill="C5E0B3"/>
            <w:vAlign w:val="center"/>
            <w:hideMark/>
          </w:tcPr>
          <w:p w14:paraId="19C1324A" w14:textId="77777777" w:rsidR="00636D31" w:rsidRPr="00636D31" w:rsidRDefault="00636D31" w:rsidP="00636D31">
            <w:pPr>
              <w:widowControl/>
              <w:autoSpaceDE/>
              <w:autoSpaceDN/>
              <w:jc w:val="center"/>
              <w:rPr>
                <w:rFonts w:ascii="Humanst521 BT" w:eastAsia="Times New Roman" w:hAnsi="Humanst521 BT" w:cs="Times New Roman"/>
                <w:b/>
                <w:bCs/>
                <w:color w:val="000000"/>
                <w:sz w:val="20"/>
                <w:szCs w:val="20"/>
                <w:lang w:val="es-CO" w:eastAsia="es-CO"/>
              </w:rPr>
            </w:pPr>
            <w:r w:rsidRPr="00636D31">
              <w:rPr>
                <w:rFonts w:ascii="Humanst521 BT" w:eastAsia="Times New Roman" w:hAnsi="Humanst521 BT" w:cs="Times New Roman"/>
                <w:b/>
                <w:bCs/>
                <w:color w:val="000000"/>
                <w:sz w:val="20"/>
                <w:szCs w:val="20"/>
                <w:lang w:val="es-CO" w:eastAsia="es-CO"/>
              </w:rPr>
              <w:t>Valor Indicador año anterior</w:t>
            </w:r>
          </w:p>
        </w:tc>
        <w:tc>
          <w:tcPr>
            <w:tcW w:w="1019" w:type="pct"/>
            <w:tcBorders>
              <w:top w:val="single" w:sz="8" w:space="0" w:color="67B93E"/>
              <w:left w:val="nil"/>
              <w:bottom w:val="single" w:sz="8" w:space="0" w:color="67B93E"/>
              <w:right w:val="single" w:sz="8" w:space="0" w:color="67B93E"/>
            </w:tcBorders>
            <w:shd w:val="clear" w:color="000000" w:fill="C5E0B3"/>
            <w:vAlign w:val="center"/>
            <w:hideMark/>
          </w:tcPr>
          <w:p w14:paraId="23B2F63C" w14:textId="77777777" w:rsidR="00636D31" w:rsidRPr="00636D31" w:rsidRDefault="00636D31" w:rsidP="00636D31">
            <w:pPr>
              <w:widowControl/>
              <w:autoSpaceDE/>
              <w:autoSpaceDN/>
              <w:jc w:val="center"/>
              <w:rPr>
                <w:rFonts w:ascii="Humanst521 BT" w:eastAsia="Times New Roman" w:hAnsi="Humanst521 BT" w:cs="Times New Roman"/>
                <w:b/>
                <w:bCs/>
                <w:color w:val="000000"/>
                <w:sz w:val="20"/>
                <w:szCs w:val="20"/>
                <w:lang w:val="es-CO" w:eastAsia="es-CO"/>
              </w:rPr>
            </w:pPr>
            <w:r w:rsidRPr="00636D31">
              <w:rPr>
                <w:rFonts w:ascii="Humanst521 BT" w:eastAsia="Times New Roman" w:hAnsi="Humanst521 BT" w:cs="Times New Roman"/>
                <w:b/>
                <w:bCs/>
                <w:color w:val="000000"/>
                <w:sz w:val="20"/>
                <w:szCs w:val="20"/>
                <w:lang w:val="es-CO" w:eastAsia="es-CO"/>
              </w:rPr>
              <w:t>Valor del Indicador</w:t>
            </w:r>
          </w:p>
        </w:tc>
      </w:tr>
      <w:tr w:rsidR="008E599B" w:rsidRPr="00636D31" w14:paraId="5A0046D6" w14:textId="77777777" w:rsidTr="00107E8C">
        <w:trPr>
          <w:trHeight w:val="732"/>
          <w:jc w:val="center"/>
        </w:trPr>
        <w:tc>
          <w:tcPr>
            <w:tcW w:w="3054" w:type="pct"/>
            <w:tcBorders>
              <w:top w:val="nil"/>
              <w:left w:val="single" w:sz="8" w:space="0" w:color="67B93E"/>
              <w:bottom w:val="single" w:sz="8" w:space="0" w:color="67B93E"/>
              <w:right w:val="single" w:sz="8" w:space="0" w:color="67B93E"/>
            </w:tcBorders>
            <w:shd w:val="clear" w:color="auto" w:fill="auto"/>
            <w:vAlign w:val="center"/>
            <w:hideMark/>
          </w:tcPr>
          <w:p w14:paraId="5D42AC60" w14:textId="77777777" w:rsidR="00636D31" w:rsidRPr="00636D31" w:rsidRDefault="00636D31" w:rsidP="00636D31">
            <w:pPr>
              <w:widowControl/>
              <w:autoSpaceDE/>
              <w:autoSpaceDN/>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Proporción de personas afiliadas a la EAPB en programas de prevención del uso y consumo de sustancias psicoactivas legales e ilegales</w:t>
            </w:r>
          </w:p>
        </w:tc>
        <w:tc>
          <w:tcPr>
            <w:tcW w:w="927" w:type="pct"/>
            <w:tcBorders>
              <w:top w:val="nil"/>
              <w:left w:val="nil"/>
              <w:bottom w:val="single" w:sz="8" w:space="0" w:color="67B93E"/>
              <w:right w:val="single" w:sz="8" w:space="0" w:color="67B93E"/>
            </w:tcBorders>
            <w:shd w:val="clear" w:color="auto" w:fill="auto"/>
            <w:vAlign w:val="center"/>
            <w:hideMark/>
          </w:tcPr>
          <w:p w14:paraId="61DBB677" w14:textId="77777777" w:rsidR="00636D31" w:rsidRPr="00636D31" w:rsidRDefault="00636D31" w:rsidP="00636D31">
            <w:pPr>
              <w:widowControl/>
              <w:autoSpaceDE/>
              <w:autoSpaceDN/>
              <w:jc w:val="center"/>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0,00%</w:t>
            </w:r>
          </w:p>
        </w:tc>
        <w:tc>
          <w:tcPr>
            <w:tcW w:w="1019" w:type="pct"/>
            <w:tcBorders>
              <w:top w:val="nil"/>
              <w:left w:val="nil"/>
              <w:bottom w:val="single" w:sz="8" w:space="0" w:color="67B93E"/>
              <w:right w:val="single" w:sz="8" w:space="0" w:color="67B93E"/>
            </w:tcBorders>
            <w:shd w:val="clear" w:color="auto" w:fill="auto"/>
            <w:vAlign w:val="center"/>
            <w:hideMark/>
          </w:tcPr>
          <w:p w14:paraId="44F3DA08" w14:textId="77777777" w:rsidR="00636D31" w:rsidRPr="00636D31" w:rsidRDefault="00636D31" w:rsidP="00636D31">
            <w:pPr>
              <w:widowControl/>
              <w:autoSpaceDE/>
              <w:autoSpaceDN/>
              <w:jc w:val="center"/>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0,07%</w:t>
            </w:r>
          </w:p>
        </w:tc>
      </w:tr>
      <w:tr w:rsidR="008E599B" w:rsidRPr="00636D31" w14:paraId="1F013D7C" w14:textId="77777777" w:rsidTr="00107E8C">
        <w:trPr>
          <w:trHeight w:val="732"/>
          <w:jc w:val="center"/>
        </w:trPr>
        <w:tc>
          <w:tcPr>
            <w:tcW w:w="3054" w:type="pct"/>
            <w:tcBorders>
              <w:top w:val="nil"/>
              <w:left w:val="single" w:sz="8" w:space="0" w:color="67B93E"/>
              <w:bottom w:val="single" w:sz="8" w:space="0" w:color="67B93E"/>
              <w:right w:val="single" w:sz="8" w:space="0" w:color="67B93E"/>
            </w:tcBorders>
            <w:shd w:val="clear" w:color="000000" w:fill="F2F2F2"/>
            <w:vAlign w:val="center"/>
            <w:hideMark/>
          </w:tcPr>
          <w:p w14:paraId="57AA6917" w14:textId="77777777" w:rsidR="00636D31" w:rsidRPr="00636D31" w:rsidRDefault="00636D31" w:rsidP="00636D31">
            <w:pPr>
              <w:widowControl/>
              <w:autoSpaceDE/>
              <w:autoSpaceDN/>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 xml:space="preserve">Tasa de intento de suicidio </w:t>
            </w:r>
          </w:p>
        </w:tc>
        <w:tc>
          <w:tcPr>
            <w:tcW w:w="927" w:type="pct"/>
            <w:tcBorders>
              <w:top w:val="nil"/>
              <w:left w:val="nil"/>
              <w:bottom w:val="single" w:sz="8" w:space="0" w:color="67B93E"/>
              <w:right w:val="single" w:sz="8" w:space="0" w:color="67B93E"/>
            </w:tcBorders>
            <w:shd w:val="clear" w:color="000000" w:fill="F2F2F2"/>
            <w:vAlign w:val="center"/>
            <w:hideMark/>
          </w:tcPr>
          <w:p w14:paraId="3F8E8008" w14:textId="77777777" w:rsidR="00636D31" w:rsidRPr="00636D31" w:rsidRDefault="00636D31" w:rsidP="00636D31">
            <w:pPr>
              <w:widowControl/>
              <w:autoSpaceDE/>
              <w:autoSpaceDN/>
              <w:jc w:val="center"/>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0,00%</w:t>
            </w:r>
          </w:p>
        </w:tc>
        <w:tc>
          <w:tcPr>
            <w:tcW w:w="1019" w:type="pct"/>
            <w:tcBorders>
              <w:top w:val="nil"/>
              <w:left w:val="nil"/>
              <w:bottom w:val="single" w:sz="8" w:space="0" w:color="67B93E"/>
              <w:right w:val="single" w:sz="8" w:space="0" w:color="67B93E"/>
            </w:tcBorders>
            <w:shd w:val="clear" w:color="000000" w:fill="F2F2F2"/>
            <w:vAlign w:val="center"/>
            <w:hideMark/>
          </w:tcPr>
          <w:p w14:paraId="58D2833A" w14:textId="77777777" w:rsidR="00636D31" w:rsidRPr="00636D31" w:rsidRDefault="00636D31" w:rsidP="00636D31">
            <w:pPr>
              <w:widowControl/>
              <w:autoSpaceDE/>
              <w:autoSpaceDN/>
              <w:jc w:val="center"/>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36,23%</w:t>
            </w:r>
          </w:p>
        </w:tc>
      </w:tr>
      <w:tr w:rsidR="008E599B" w:rsidRPr="00636D31" w14:paraId="75BB54B5" w14:textId="77777777" w:rsidTr="00107E8C">
        <w:trPr>
          <w:trHeight w:val="732"/>
          <w:jc w:val="center"/>
        </w:trPr>
        <w:tc>
          <w:tcPr>
            <w:tcW w:w="3054" w:type="pct"/>
            <w:tcBorders>
              <w:top w:val="nil"/>
              <w:left w:val="single" w:sz="8" w:space="0" w:color="67B93E"/>
              <w:bottom w:val="single" w:sz="8" w:space="0" w:color="67B93E"/>
              <w:right w:val="single" w:sz="8" w:space="0" w:color="67B93E"/>
            </w:tcBorders>
            <w:shd w:val="clear" w:color="auto" w:fill="auto"/>
            <w:vAlign w:val="center"/>
            <w:hideMark/>
          </w:tcPr>
          <w:p w14:paraId="0DA089BA" w14:textId="77777777" w:rsidR="00636D31" w:rsidRPr="00636D31" w:rsidRDefault="00636D31" w:rsidP="00636D31">
            <w:pPr>
              <w:widowControl/>
              <w:autoSpaceDE/>
              <w:autoSpaceDN/>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Tasa de mortalidad por lesiones autoinfligidas intencionalmente (suicidios)-EAPB (x1000 afiliados)</w:t>
            </w:r>
          </w:p>
        </w:tc>
        <w:tc>
          <w:tcPr>
            <w:tcW w:w="927" w:type="pct"/>
            <w:tcBorders>
              <w:top w:val="nil"/>
              <w:left w:val="nil"/>
              <w:bottom w:val="single" w:sz="8" w:space="0" w:color="67B93E"/>
              <w:right w:val="single" w:sz="8" w:space="0" w:color="67B93E"/>
            </w:tcBorders>
            <w:shd w:val="clear" w:color="auto" w:fill="auto"/>
            <w:vAlign w:val="center"/>
            <w:hideMark/>
          </w:tcPr>
          <w:p w14:paraId="62D06994" w14:textId="77777777" w:rsidR="00636D31" w:rsidRPr="00636D31" w:rsidRDefault="00636D31" w:rsidP="00636D31">
            <w:pPr>
              <w:widowControl/>
              <w:autoSpaceDE/>
              <w:autoSpaceDN/>
              <w:jc w:val="center"/>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0,00%</w:t>
            </w:r>
          </w:p>
        </w:tc>
        <w:tc>
          <w:tcPr>
            <w:tcW w:w="1019" w:type="pct"/>
            <w:tcBorders>
              <w:top w:val="nil"/>
              <w:left w:val="nil"/>
              <w:bottom w:val="single" w:sz="8" w:space="0" w:color="67B93E"/>
              <w:right w:val="single" w:sz="8" w:space="0" w:color="67B93E"/>
            </w:tcBorders>
            <w:shd w:val="clear" w:color="auto" w:fill="auto"/>
            <w:vAlign w:val="center"/>
            <w:hideMark/>
          </w:tcPr>
          <w:p w14:paraId="706F37C4" w14:textId="77777777" w:rsidR="00636D31" w:rsidRPr="00636D31" w:rsidRDefault="00636D31" w:rsidP="00636D31">
            <w:pPr>
              <w:widowControl/>
              <w:autoSpaceDE/>
              <w:autoSpaceDN/>
              <w:jc w:val="center"/>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36,23%</w:t>
            </w:r>
          </w:p>
        </w:tc>
      </w:tr>
      <w:tr w:rsidR="008E599B" w:rsidRPr="00636D31" w14:paraId="5A7BBFA7" w14:textId="77777777" w:rsidTr="00107E8C">
        <w:trPr>
          <w:trHeight w:val="732"/>
          <w:jc w:val="center"/>
        </w:trPr>
        <w:tc>
          <w:tcPr>
            <w:tcW w:w="3054" w:type="pct"/>
            <w:tcBorders>
              <w:top w:val="nil"/>
              <w:left w:val="single" w:sz="8" w:space="0" w:color="67B93E"/>
              <w:bottom w:val="single" w:sz="8" w:space="0" w:color="67B93E"/>
              <w:right w:val="single" w:sz="8" w:space="0" w:color="67B93E"/>
            </w:tcBorders>
            <w:shd w:val="clear" w:color="000000" w:fill="F2F2F2"/>
            <w:vAlign w:val="center"/>
            <w:hideMark/>
          </w:tcPr>
          <w:p w14:paraId="2EADA35C" w14:textId="77777777" w:rsidR="00636D31" w:rsidRPr="00636D31" w:rsidRDefault="00636D31" w:rsidP="00636D31">
            <w:pPr>
              <w:widowControl/>
              <w:autoSpaceDE/>
              <w:autoSpaceDN/>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Porcentaje de casos de violencia contra la mujer</w:t>
            </w:r>
          </w:p>
        </w:tc>
        <w:tc>
          <w:tcPr>
            <w:tcW w:w="927" w:type="pct"/>
            <w:tcBorders>
              <w:top w:val="nil"/>
              <w:left w:val="nil"/>
              <w:bottom w:val="single" w:sz="8" w:space="0" w:color="67B93E"/>
              <w:right w:val="single" w:sz="8" w:space="0" w:color="67B93E"/>
            </w:tcBorders>
            <w:shd w:val="clear" w:color="000000" w:fill="F2F2F2"/>
            <w:vAlign w:val="center"/>
            <w:hideMark/>
          </w:tcPr>
          <w:p w14:paraId="5660C0C9" w14:textId="77777777" w:rsidR="00636D31" w:rsidRPr="00636D31" w:rsidRDefault="00636D31" w:rsidP="00636D31">
            <w:pPr>
              <w:widowControl/>
              <w:autoSpaceDE/>
              <w:autoSpaceDN/>
              <w:jc w:val="center"/>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0,00%</w:t>
            </w:r>
          </w:p>
        </w:tc>
        <w:tc>
          <w:tcPr>
            <w:tcW w:w="1019" w:type="pct"/>
            <w:tcBorders>
              <w:top w:val="nil"/>
              <w:left w:val="nil"/>
              <w:bottom w:val="single" w:sz="8" w:space="0" w:color="67B93E"/>
              <w:right w:val="single" w:sz="8" w:space="0" w:color="67B93E"/>
            </w:tcBorders>
            <w:shd w:val="clear" w:color="000000" w:fill="F2F2F2"/>
            <w:vAlign w:val="center"/>
            <w:hideMark/>
          </w:tcPr>
          <w:p w14:paraId="58D0B9FB" w14:textId="77777777" w:rsidR="00636D31" w:rsidRPr="00636D31" w:rsidRDefault="00636D31" w:rsidP="00636D31">
            <w:pPr>
              <w:widowControl/>
              <w:autoSpaceDE/>
              <w:autoSpaceDN/>
              <w:jc w:val="center"/>
              <w:rPr>
                <w:rFonts w:ascii="Humanst521 BT" w:eastAsia="Times New Roman" w:hAnsi="Humanst521 BT" w:cs="Times New Roman"/>
                <w:color w:val="000000"/>
                <w:sz w:val="20"/>
                <w:szCs w:val="20"/>
                <w:lang w:val="es-CO" w:eastAsia="es-CO"/>
              </w:rPr>
            </w:pPr>
            <w:r w:rsidRPr="00636D31">
              <w:rPr>
                <w:rFonts w:ascii="Humanst521 BT" w:eastAsia="Times New Roman" w:hAnsi="Humanst521 BT" w:cs="Times New Roman"/>
                <w:color w:val="000000"/>
                <w:sz w:val="20"/>
                <w:szCs w:val="20"/>
                <w:lang w:val="es-CO" w:eastAsia="es-CO"/>
              </w:rPr>
              <w:t>0,50%</w:t>
            </w:r>
          </w:p>
        </w:tc>
      </w:tr>
    </w:tbl>
    <w:p w14:paraId="4FB60281" w14:textId="77777777" w:rsidR="00026AC3" w:rsidRPr="00026AC3" w:rsidRDefault="00026AC3" w:rsidP="00026AC3"/>
    <w:p w14:paraId="7B7C566B" w14:textId="44EF4E25" w:rsidR="00E72E6A" w:rsidRPr="001D0F3E" w:rsidRDefault="00E72E6A" w:rsidP="00E72E6A">
      <w:pPr>
        <w:pStyle w:val="NormalWeb"/>
        <w:jc w:val="both"/>
        <w:rPr>
          <w:rFonts w:ascii="Humanst521 BT" w:eastAsia="Verdana" w:hAnsi="Humanst521 BT" w:cs="Verdana"/>
          <w:sz w:val="22"/>
          <w:szCs w:val="22"/>
          <w:lang w:val="es-ES" w:eastAsia="en-US"/>
        </w:rPr>
      </w:pPr>
      <w:r w:rsidRPr="001D0F3E">
        <w:rPr>
          <w:rFonts w:ascii="Humanst521 BT" w:eastAsia="Verdana" w:hAnsi="Humanst521 BT" w:cs="Verdana"/>
          <w:sz w:val="22"/>
          <w:szCs w:val="22"/>
          <w:lang w:val="es-ES" w:eastAsia="en-US"/>
        </w:rPr>
        <w:t xml:space="preserve">El análisis de la salud mental en la población afiliada a UISALUD evidencia que, aunque algunos indicadores como la tasa de intento de suicidio y la mortalidad por lesiones autoinfligidas se mantienen </w:t>
      </w:r>
      <w:r w:rsidR="001D0F3E" w:rsidRPr="001D0F3E">
        <w:rPr>
          <w:rFonts w:ascii="Humanst521 BT" w:eastAsia="Verdana" w:hAnsi="Humanst521 BT" w:cs="Verdana"/>
          <w:sz w:val="22"/>
          <w:szCs w:val="22"/>
          <w:lang w:val="es-ES" w:eastAsia="en-US"/>
        </w:rPr>
        <w:t>bajas</w:t>
      </w:r>
      <w:r w:rsidRPr="001D0F3E">
        <w:rPr>
          <w:rFonts w:ascii="Humanst521 BT" w:eastAsia="Verdana" w:hAnsi="Humanst521 BT" w:cs="Verdana"/>
          <w:sz w:val="22"/>
          <w:szCs w:val="22"/>
          <w:lang w:val="es-ES" w:eastAsia="en-US"/>
        </w:rPr>
        <w:t xml:space="preserve">, esto no excluye la presencia de factores de riesgo relevantes, en un contexto territorial donde la conducta suicida y los problemas asociados al consumo de sustancias psicoactivas muestran una tendencia creciente, especialmente en población joven y adulta. En este sentido, </w:t>
      </w:r>
      <w:r w:rsidR="001D0F3E">
        <w:rPr>
          <w:rFonts w:ascii="Humanst521 BT" w:eastAsia="Verdana" w:hAnsi="Humanst521 BT" w:cs="Verdana"/>
          <w:sz w:val="22"/>
          <w:szCs w:val="22"/>
          <w:lang w:val="es-ES" w:eastAsia="en-US"/>
        </w:rPr>
        <w:t xml:space="preserve">este comportamiento </w:t>
      </w:r>
      <w:r w:rsidRPr="001D0F3E">
        <w:rPr>
          <w:rFonts w:ascii="Humanst521 BT" w:eastAsia="Verdana" w:hAnsi="Humanst521 BT" w:cs="Verdana"/>
          <w:sz w:val="22"/>
          <w:szCs w:val="22"/>
          <w:lang w:val="es-ES" w:eastAsia="en-US"/>
        </w:rPr>
        <w:t>puede estar relacionada con un adecuado control del riesgo, pero también resalta la necesidad de fortalecer las estrategias de detección temprana y seguimiento.</w:t>
      </w:r>
    </w:p>
    <w:p w14:paraId="6C0C3430" w14:textId="77777777" w:rsidR="00E72E6A" w:rsidRPr="00323706" w:rsidRDefault="00E72E6A" w:rsidP="00E72E6A">
      <w:pPr>
        <w:pStyle w:val="NormalWeb"/>
        <w:jc w:val="both"/>
        <w:rPr>
          <w:rFonts w:ascii="Humanst521 BT" w:eastAsia="Verdana" w:hAnsi="Humanst521 BT" w:cs="Verdana"/>
          <w:sz w:val="22"/>
          <w:szCs w:val="22"/>
          <w:lang w:val="es-ES" w:eastAsia="en-US"/>
        </w:rPr>
      </w:pPr>
      <w:r w:rsidRPr="00323706">
        <w:rPr>
          <w:rFonts w:ascii="Humanst521 BT" w:eastAsia="Verdana" w:hAnsi="Humanst521 BT" w:cs="Verdana"/>
          <w:sz w:val="22"/>
          <w:szCs w:val="22"/>
          <w:lang w:val="es-ES" w:eastAsia="en-US"/>
        </w:rPr>
        <w:t>En relación con la prevención del consumo de sustancias psicoactivas, se observa un avance en la inclusión de afiliados en programas preventivos, aunque con una cobertura aún baja, lo que sugiere oportunidades de mejora en la ampliación de estas estrategias. UISALUD ha implementado acciones de promoción y prevención orientadas a fortalecer la resiliencia emocional, mediante actividades educativas, tamizajes y consejería, especialmente dirigidas a población joven, considerada de mayor vulnerabilidad frente a estos riesgos.</w:t>
      </w:r>
    </w:p>
    <w:p w14:paraId="2B3B163E" w14:textId="77777777" w:rsidR="00E72E6A" w:rsidRPr="00C90EE7" w:rsidRDefault="00E72E6A" w:rsidP="00E72E6A">
      <w:pPr>
        <w:pStyle w:val="NormalWeb"/>
        <w:jc w:val="both"/>
        <w:rPr>
          <w:rFonts w:ascii="Humanst521 BT" w:eastAsia="Verdana" w:hAnsi="Humanst521 BT" w:cs="Verdana"/>
          <w:sz w:val="22"/>
          <w:szCs w:val="22"/>
          <w:lang w:val="es-ES" w:eastAsia="en-US"/>
        </w:rPr>
      </w:pPr>
      <w:r w:rsidRPr="00C90EE7">
        <w:rPr>
          <w:rFonts w:ascii="Humanst521 BT" w:eastAsia="Verdana" w:hAnsi="Humanst521 BT" w:cs="Verdana"/>
          <w:sz w:val="22"/>
          <w:szCs w:val="22"/>
          <w:lang w:val="es-ES" w:eastAsia="en-US"/>
        </w:rPr>
        <w:t>Adicionalmente, se han desarrollado programas de atención integral en salud mental que incluyen consejería psicológica, intervención en crisis, seguimiento a casos de riesgo y estrategias de acompañamiento emocional. Estas acciones se complementan con enfoques diferenciales dirigidos a poblaciones vulnerables, como mujeres, personas con discapacidad y víctimas del conflicto armado, quienes presentan mayor riesgo de afectaciones en salud mental.</w:t>
      </w:r>
    </w:p>
    <w:p w14:paraId="14D1054B" w14:textId="49EF8B24" w:rsidR="00E72E6A" w:rsidRPr="00C90EE7" w:rsidRDefault="00E72E6A" w:rsidP="00E72E6A">
      <w:pPr>
        <w:pStyle w:val="NormalWeb"/>
        <w:jc w:val="both"/>
        <w:rPr>
          <w:rFonts w:ascii="Humanst521 BT" w:eastAsia="Verdana" w:hAnsi="Humanst521 BT" w:cs="Verdana"/>
          <w:sz w:val="22"/>
          <w:szCs w:val="22"/>
          <w:lang w:val="es-ES" w:eastAsia="en-US"/>
        </w:rPr>
      </w:pPr>
      <w:r w:rsidRPr="00C90EE7">
        <w:rPr>
          <w:rFonts w:ascii="Humanst521 BT" w:eastAsia="Verdana" w:hAnsi="Humanst521 BT" w:cs="Verdana"/>
          <w:sz w:val="22"/>
          <w:szCs w:val="22"/>
          <w:lang w:val="es-ES" w:eastAsia="en-US"/>
        </w:rPr>
        <w:t xml:space="preserve">En conjunto, estos hallazgos evidencian la necesidad de continuar fortaleciendo las rutas de atención en salud mental, ampliar la cobertura de los programas de prevención, consolidar estrategias de educación y sensibilización, y mejorar la capacidad de respuesta institucional frente a eventos críticos como el intento de </w:t>
      </w:r>
      <w:r w:rsidRPr="00C90EE7">
        <w:rPr>
          <w:rFonts w:ascii="Humanst521 BT" w:eastAsia="Verdana" w:hAnsi="Humanst521 BT" w:cs="Verdana"/>
          <w:sz w:val="22"/>
          <w:szCs w:val="22"/>
          <w:lang w:val="es-ES" w:eastAsia="en-US"/>
        </w:rPr>
        <w:lastRenderedPageBreak/>
        <w:t xml:space="preserve">suicidio. La salud mental se </w:t>
      </w:r>
      <w:r w:rsidR="00107E8C" w:rsidRPr="00C90EE7">
        <w:rPr>
          <w:rFonts w:ascii="Humanst521 BT" w:eastAsia="Verdana" w:hAnsi="Humanst521 BT" w:cs="Verdana"/>
          <w:sz w:val="22"/>
          <w:szCs w:val="22"/>
          <w:lang w:val="es-ES" w:eastAsia="en-US"/>
        </w:rPr>
        <w:t>configura,</w:t>
      </w:r>
      <w:r w:rsidRPr="00C90EE7">
        <w:rPr>
          <w:rFonts w:ascii="Humanst521 BT" w:eastAsia="Verdana" w:hAnsi="Humanst521 BT" w:cs="Verdana"/>
          <w:sz w:val="22"/>
          <w:szCs w:val="22"/>
          <w:lang w:val="es-ES" w:eastAsia="en-US"/>
        </w:rPr>
        <w:t xml:space="preserve"> así como un eje transversal en la gestión del riesgo, con impacto directo en la morbilidad, la calidad de vida y la funcionalidad de la población afiliada.</w:t>
      </w:r>
    </w:p>
    <w:p w14:paraId="6CFB0B2C" w14:textId="5FABFF44" w:rsidR="00961241" w:rsidRPr="00C8589C" w:rsidRDefault="00961241" w:rsidP="00CF2550">
      <w:pPr>
        <w:pStyle w:val="Descripcin"/>
        <w:spacing w:line="240" w:lineRule="auto"/>
        <w:outlineLvl w:val="3"/>
        <w:rPr>
          <w:rFonts w:ascii="Humanst521 BT" w:eastAsia="Verdana" w:hAnsi="Humanst521 BT" w:cs="Verdana"/>
          <w:sz w:val="22"/>
          <w:szCs w:val="22"/>
          <w:lang w:val="es-ES"/>
        </w:rPr>
      </w:pPr>
      <w:bookmarkStart w:id="132" w:name="_Toc231286806"/>
      <w:r w:rsidRPr="00C8589C">
        <w:rPr>
          <w:rFonts w:ascii="Humanst521 BT" w:eastAsia="Verdana" w:hAnsi="Humanst521 BT" w:cs="Verdana"/>
          <w:sz w:val="22"/>
          <w:szCs w:val="22"/>
          <w:lang w:val="es-ES"/>
        </w:rPr>
        <w:t>5.2.1.</w:t>
      </w:r>
      <w:r w:rsidR="00CF2550" w:rsidRPr="00C8589C">
        <w:rPr>
          <w:rFonts w:ascii="Humanst521 BT" w:eastAsia="Verdana" w:hAnsi="Humanst521 BT" w:cs="Verdana"/>
          <w:sz w:val="22"/>
          <w:szCs w:val="22"/>
          <w:lang w:val="es-ES"/>
        </w:rPr>
        <w:t>7</w:t>
      </w:r>
      <w:r w:rsidRPr="00C8589C">
        <w:rPr>
          <w:rFonts w:ascii="Humanst521 BT" w:eastAsia="Verdana" w:hAnsi="Humanst521 BT" w:cs="Verdana"/>
          <w:sz w:val="22"/>
          <w:szCs w:val="22"/>
          <w:lang w:val="es-ES"/>
        </w:rPr>
        <w:t xml:space="preserve">. </w:t>
      </w:r>
      <w:r w:rsidR="0067038F" w:rsidRPr="00C8589C">
        <w:rPr>
          <w:rFonts w:ascii="Humanst521 BT" w:eastAsia="Verdana" w:hAnsi="Humanst521 BT" w:cs="Verdana"/>
          <w:sz w:val="22"/>
          <w:szCs w:val="22"/>
          <w:lang w:val="es-ES"/>
        </w:rPr>
        <w:t>Morbilidad asociada a incapacidad laboral UISALUD 2024 VS 2025</w:t>
      </w:r>
      <w:bookmarkEnd w:id="132"/>
    </w:p>
    <w:p w14:paraId="5629A22C" w14:textId="7860D047" w:rsidR="002D0DFB" w:rsidRPr="00CE4C20" w:rsidRDefault="002D0DFB" w:rsidP="002D0DFB">
      <w:pPr>
        <w:jc w:val="both"/>
        <w:rPr>
          <w:rFonts w:ascii="Humanst521 BT" w:hAnsi="Humanst521 BT" w:cstheme="minorHAnsi"/>
          <w:bCs/>
        </w:rPr>
      </w:pPr>
      <w:bookmarkStart w:id="133" w:name="_Toc158806902"/>
      <w:bookmarkStart w:id="134" w:name="_Toc207604690"/>
      <w:bookmarkStart w:id="135" w:name="_Toc231286276"/>
      <w:r w:rsidRPr="00CE4C20">
        <w:rPr>
          <w:rFonts w:ascii="Humanst521 BT" w:hAnsi="Humanst521 BT" w:cstheme="minorHAnsi"/>
        </w:rPr>
        <w:t xml:space="preserve">Tabla </w:t>
      </w:r>
      <w:r w:rsidRPr="00CE4C20">
        <w:rPr>
          <w:rFonts w:ascii="Humanst521 BT" w:hAnsi="Humanst521 BT" w:cstheme="minorHAnsi"/>
        </w:rPr>
        <w:fldChar w:fldCharType="begin"/>
      </w:r>
      <w:r w:rsidRPr="00CE4C20">
        <w:rPr>
          <w:rFonts w:ascii="Humanst521 BT" w:hAnsi="Humanst521 BT" w:cstheme="minorHAnsi"/>
        </w:rPr>
        <w:instrText xml:space="preserve"> SEQ Tabla \* ARABIC </w:instrText>
      </w:r>
      <w:r w:rsidRPr="00CE4C20">
        <w:rPr>
          <w:rFonts w:ascii="Humanst521 BT" w:hAnsi="Humanst521 BT" w:cstheme="minorHAnsi"/>
        </w:rPr>
        <w:fldChar w:fldCharType="separate"/>
      </w:r>
      <w:r w:rsidR="00580EDB">
        <w:rPr>
          <w:rFonts w:ascii="Humanst521 BT" w:hAnsi="Humanst521 BT" w:cstheme="minorHAnsi"/>
          <w:noProof/>
        </w:rPr>
        <w:t>31</w:t>
      </w:r>
      <w:r w:rsidRPr="00CE4C20">
        <w:rPr>
          <w:rFonts w:ascii="Humanst521 BT" w:hAnsi="Humanst521 BT" w:cstheme="minorHAnsi"/>
        </w:rPr>
        <w:fldChar w:fldCharType="end"/>
      </w:r>
      <w:r w:rsidRPr="00CE4C20">
        <w:rPr>
          <w:rFonts w:ascii="Humanst521 BT" w:hAnsi="Humanst521 BT" w:cstheme="minorHAnsi"/>
        </w:rPr>
        <w:t xml:space="preserve">. Promedio días y valor de las </w:t>
      </w:r>
      <w:r w:rsidRPr="00CE4C20">
        <w:rPr>
          <w:rFonts w:ascii="Humanst521 BT" w:hAnsi="Humanst521 BT" w:cstheme="minorHAnsi"/>
          <w:bCs/>
        </w:rPr>
        <w:t>incapacidades UISALUD – enfermedad Común</w:t>
      </w:r>
      <w:bookmarkEnd w:id="133"/>
      <w:bookmarkEnd w:id="134"/>
      <w:r w:rsidR="00925798">
        <w:rPr>
          <w:rFonts w:ascii="Humanst521 BT" w:hAnsi="Humanst521 BT" w:cstheme="minorHAnsi"/>
          <w:bCs/>
        </w:rPr>
        <w:t xml:space="preserve"> / Licencias</w:t>
      </w:r>
      <w:bookmarkEnd w:id="135"/>
    </w:p>
    <w:p w14:paraId="163F47EE" w14:textId="77777777" w:rsidR="002D0DFB" w:rsidRPr="00CE4C20" w:rsidRDefault="002D0DFB" w:rsidP="002D0DFB">
      <w:pPr>
        <w:jc w:val="both"/>
        <w:rPr>
          <w:rFonts w:ascii="Humanst521 BT" w:hAnsi="Humanst521 BT" w:cstheme="minorBidi"/>
        </w:rPr>
      </w:pPr>
      <w:r w:rsidRPr="00CE4C20">
        <w:rPr>
          <w:rFonts w:ascii="Humanst521 BT" w:hAnsi="Humanst521 BT" w:cstheme="minorBidi"/>
        </w:rPr>
        <w:t xml:space="preserve"> </w:t>
      </w:r>
    </w:p>
    <w:tbl>
      <w:tblPr>
        <w:tblW w:w="3932" w:type="pct"/>
        <w:jc w:val="center"/>
        <w:tblCellMar>
          <w:left w:w="70" w:type="dxa"/>
          <w:right w:w="70" w:type="dxa"/>
        </w:tblCellMar>
        <w:tblLook w:val="04A0" w:firstRow="1" w:lastRow="0" w:firstColumn="1" w:lastColumn="0" w:noHBand="0" w:noVBand="1"/>
      </w:tblPr>
      <w:tblGrid>
        <w:gridCol w:w="3817"/>
        <w:gridCol w:w="1040"/>
        <w:gridCol w:w="1370"/>
        <w:gridCol w:w="1275"/>
      </w:tblGrid>
      <w:tr w:rsidR="00981DD8" w:rsidRPr="00981DD8" w14:paraId="25D32CEB" w14:textId="77777777" w:rsidTr="00981DD8">
        <w:trPr>
          <w:trHeight w:val="315"/>
          <w:jc w:val="center"/>
        </w:trPr>
        <w:tc>
          <w:tcPr>
            <w:tcW w:w="2544" w:type="pc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1D33F54B" w14:textId="77777777" w:rsidR="00981DD8" w:rsidRPr="00981DD8" w:rsidRDefault="00981DD8" w:rsidP="00981DD8">
            <w:pPr>
              <w:widowControl/>
              <w:autoSpaceDE/>
              <w:autoSpaceDN/>
              <w:jc w:val="center"/>
              <w:rPr>
                <w:rFonts w:ascii="Humanst521 BT" w:eastAsia="Times New Roman" w:hAnsi="Humanst521 BT" w:cs="Calibri"/>
                <w:b/>
                <w:bCs/>
                <w:color w:val="000000"/>
                <w:sz w:val="20"/>
                <w:szCs w:val="20"/>
                <w:lang w:val="es-CO" w:eastAsia="es-CO"/>
              </w:rPr>
            </w:pPr>
            <w:r w:rsidRPr="00981DD8">
              <w:rPr>
                <w:rFonts w:ascii="Humanst521 BT" w:eastAsia="Times New Roman" w:hAnsi="Humanst521 BT" w:cs="Calibri"/>
                <w:b/>
                <w:bCs/>
                <w:color w:val="000000"/>
                <w:sz w:val="20"/>
                <w:szCs w:val="20"/>
                <w:lang w:val="es-CO" w:eastAsia="es-CO"/>
              </w:rPr>
              <w:t>Concepto</w:t>
            </w:r>
          </w:p>
        </w:tc>
        <w:tc>
          <w:tcPr>
            <w:tcW w:w="693" w:type="pct"/>
            <w:tcBorders>
              <w:top w:val="single" w:sz="8" w:space="0" w:color="67B93E"/>
              <w:left w:val="nil"/>
              <w:bottom w:val="single" w:sz="8" w:space="0" w:color="67B93E"/>
              <w:right w:val="single" w:sz="8" w:space="0" w:color="67B93E"/>
            </w:tcBorders>
            <w:shd w:val="clear" w:color="000000" w:fill="C5E0B3"/>
            <w:noWrap/>
            <w:vAlign w:val="center"/>
            <w:hideMark/>
          </w:tcPr>
          <w:p w14:paraId="6D560F8A" w14:textId="77777777" w:rsidR="00981DD8" w:rsidRPr="00981DD8" w:rsidRDefault="00981DD8" w:rsidP="00981DD8">
            <w:pPr>
              <w:widowControl/>
              <w:autoSpaceDE/>
              <w:autoSpaceDN/>
              <w:jc w:val="center"/>
              <w:rPr>
                <w:rFonts w:ascii="Humanst521 BT" w:eastAsia="Times New Roman" w:hAnsi="Humanst521 BT" w:cs="Calibri"/>
                <w:b/>
                <w:bCs/>
                <w:color w:val="000000"/>
                <w:sz w:val="20"/>
                <w:szCs w:val="20"/>
                <w:lang w:val="es-CO" w:eastAsia="es-CO"/>
              </w:rPr>
            </w:pPr>
            <w:r w:rsidRPr="00981DD8">
              <w:rPr>
                <w:rFonts w:ascii="Humanst521 BT" w:eastAsia="Times New Roman" w:hAnsi="Humanst521 BT" w:cs="Calibri"/>
                <w:b/>
                <w:bCs/>
                <w:color w:val="000000"/>
                <w:sz w:val="20"/>
                <w:szCs w:val="20"/>
                <w:lang w:val="es-CO" w:eastAsia="es-CO"/>
              </w:rPr>
              <w:t>2024</w:t>
            </w:r>
          </w:p>
        </w:tc>
        <w:tc>
          <w:tcPr>
            <w:tcW w:w="913" w:type="pct"/>
            <w:tcBorders>
              <w:top w:val="single" w:sz="8" w:space="0" w:color="67B93E"/>
              <w:left w:val="nil"/>
              <w:bottom w:val="single" w:sz="8" w:space="0" w:color="67B93E"/>
              <w:right w:val="single" w:sz="8" w:space="0" w:color="67B93E"/>
            </w:tcBorders>
            <w:shd w:val="clear" w:color="000000" w:fill="C5E0B3"/>
            <w:vAlign w:val="center"/>
            <w:hideMark/>
          </w:tcPr>
          <w:p w14:paraId="199F2469" w14:textId="77777777" w:rsidR="00981DD8" w:rsidRPr="00981DD8" w:rsidRDefault="00981DD8" w:rsidP="00981DD8">
            <w:pPr>
              <w:widowControl/>
              <w:autoSpaceDE/>
              <w:autoSpaceDN/>
              <w:jc w:val="center"/>
              <w:rPr>
                <w:rFonts w:ascii="Humanst521 BT" w:eastAsia="Times New Roman" w:hAnsi="Humanst521 BT" w:cs="Calibri"/>
                <w:b/>
                <w:bCs/>
                <w:color w:val="000000"/>
                <w:sz w:val="20"/>
                <w:szCs w:val="20"/>
                <w:lang w:val="es-CO" w:eastAsia="es-CO"/>
              </w:rPr>
            </w:pPr>
            <w:r w:rsidRPr="00981DD8">
              <w:rPr>
                <w:rFonts w:ascii="Humanst521 BT" w:eastAsia="Times New Roman" w:hAnsi="Humanst521 BT" w:cs="Calibri"/>
                <w:b/>
                <w:bCs/>
                <w:color w:val="000000"/>
                <w:sz w:val="20"/>
                <w:szCs w:val="20"/>
                <w:lang w:val="es-CO" w:eastAsia="es-CO"/>
              </w:rPr>
              <w:t>% Var.</w:t>
            </w:r>
          </w:p>
        </w:tc>
        <w:tc>
          <w:tcPr>
            <w:tcW w:w="850" w:type="pct"/>
            <w:tcBorders>
              <w:top w:val="single" w:sz="8" w:space="0" w:color="67B93E"/>
              <w:left w:val="nil"/>
              <w:bottom w:val="single" w:sz="8" w:space="0" w:color="67B93E"/>
              <w:right w:val="single" w:sz="8" w:space="0" w:color="67B93E"/>
            </w:tcBorders>
            <w:shd w:val="clear" w:color="000000" w:fill="C5E0B3"/>
            <w:vAlign w:val="center"/>
            <w:hideMark/>
          </w:tcPr>
          <w:p w14:paraId="09448C9E" w14:textId="77777777" w:rsidR="00981DD8" w:rsidRPr="00981DD8" w:rsidRDefault="00981DD8" w:rsidP="00981DD8">
            <w:pPr>
              <w:widowControl/>
              <w:autoSpaceDE/>
              <w:autoSpaceDN/>
              <w:jc w:val="center"/>
              <w:rPr>
                <w:rFonts w:ascii="Humanst521 BT" w:eastAsia="Times New Roman" w:hAnsi="Humanst521 BT" w:cs="Calibri"/>
                <w:b/>
                <w:bCs/>
                <w:color w:val="000000"/>
                <w:sz w:val="20"/>
                <w:szCs w:val="20"/>
                <w:lang w:val="es-CO" w:eastAsia="es-CO"/>
              </w:rPr>
            </w:pPr>
            <w:r w:rsidRPr="00981DD8">
              <w:rPr>
                <w:rFonts w:ascii="Humanst521 BT" w:eastAsia="Times New Roman" w:hAnsi="Humanst521 BT" w:cs="Calibri"/>
                <w:b/>
                <w:bCs/>
                <w:color w:val="000000"/>
                <w:sz w:val="20"/>
                <w:szCs w:val="20"/>
                <w:lang w:val="es-CO" w:eastAsia="es-CO"/>
              </w:rPr>
              <w:t>2025</w:t>
            </w:r>
          </w:p>
        </w:tc>
      </w:tr>
      <w:tr w:rsidR="00981DD8" w:rsidRPr="00981DD8" w14:paraId="05CA2550" w14:textId="77777777" w:rsidTr="00981DD8">
        <w:trPr>
          <w:trHeight w:val="365"/>
          <w:jc w:val="center"/>
        </w:trPr>
        <w:tc>
          <w:tcPr>
            <w:tcW w:w="2544" w:type="pct"/>
            <w:tcBorders>
              <w:top w:val="nil"/>
              <w:left w:val="single" w:sz="8" w:space="0" w:color="67B93E"/>
              <w:bottom w:val="single" w:sz="8" w:space="0" w:color="67B93E"/>
              <w:right w:val="single" w:sz="8" w:space="0" w:color="67B93E"/>
            </w:tcBorders>
            <w:shd w:val="clear" w:color="auto" w:fill="auto"/>
            <w:vAlign w:val="center"/>
            <w:hideMark/>
          </w:tcPr>
          <w:p w14:paraId="316EEA98" w14:textId="77777777" w:rsidR="00981DD8" w:rsidRPr="00981DD8" w:rsidRDefault="00981DD8" w:rsidP="00981DD8">
            <w:pPr>
              <w:widowControl/>
              <w:autoSpaceDE/>
              <w:autoSpaceDN/>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N° incapacidades /Licencias</w:t>
            </w:r>
          </w:p>
        </w:tc>
        <w:tc>
          <w:tcPr>
            <w:tcW w:w="693" w:type="pct"/>
            <w:tcBorders>
              <w:top w:val="nil"/>
              <w:left w:val="nil"/>
              <w:bottom w:val="single" w:sz="8" w:space="0" w:color="67B93E"/>
              <w:right w:val="single" w:sz="8" w:space="0" w:color="67B93E"/>
            </w:tcBorders>
            <w:shd w:val="clear" w:color="auto" w:fill="auto"/>
            <w:noWrap/>
            <w:vAlign w:val="center"/>
            <w:hideMark/>
          </w:tcPr>
          <w:p w14:paraId="072A9E0B"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973</w:t>
            </w:r>
          </w:p>
        </w:tc>
        <w:tc>
          <w:tcPr>
            <w:tcW w:w="913" w:type="pct"/>
            <w:tcBorders>
              <w:top w:val="nil"/>
              <w:left w:val="nil"/>
              <w:bottom w:val="single" w:sz="8" w:space="0" w:color="67B93E"/>
              <w:right w:val="single" w:sz="8" w:space="0" w:color="67B93E"/>
            </w:tcBorders>
            <w:shd w:val="clear" w:color="auto" w:fill="auto"/>
            <w:vAlign w:val="center"/>
            <w:hideMark/>
          </w:tcPr>
          <w:p w14:paraId="08FDB0CA"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15,70%</w:t>
            </w:r>
          </w:p>
        </w:tc>
        <w:tc>
          <w:tcPr>
            <w:tcW w:w="850" w:type="pct"/>
            <w:tcBorders>
              <w:top w:val="nil"/>
              <w:left w:val="nil"/>
              <w:bottom w:val="single" w:sz="8" w:space="0" w:color="67B93E"/>
              <w:right w:val="single" w:sz="8" w:space="0" w:color="67B93E"/>
            </w:tcBorders>
            <w:shd w:val="clear" w:color="auto" w:fill="auto"/>
            <w:vAlign w:val="center"/>
            <w:hideMark/>
          </w:tcPr>
          <w:p w14:paraId="0773EFFB"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1126</w:t>
            </w:r>
          </w:p>
        </w:tc>
      </w:tr>
      <w:tr w:rsidR="00981DD8" w:rsidRPr="00981DD8" w14:paraId="0A56E245" w14:textId="77777777" w:rsidTr="00981DD8">
        <w:trPr>
          <w:trHeight w:val="315"/>
          <w:jc w:val="center"/>
        </w:trPr>
        <w:tc>
          <w:tcPr>
            <w:tcW w:w="2544" w:type="pct"/>
            <w:tcBorders>
              <w:top w:val="nil"/>
              <w:left w:val="single" w:sz="8" w:space="0" w:color="67B93E"/>
              <w:bottom w:val="single" w:sz="8" w:space="0" w:color="67B93E"/>
              <w:right w:val="single" w:sz="8" w:space="0" w:color="67B93E"/>
            </w:tcBorders>
            <w:shd w:val="clear" w:color="000000" w:fill="F2F2F2"/>
            <w:vAlign w:val="center"/>
            <w:hideMark/>
          </w:tcPr>
          <w:p w14:paraId="37061939" w14:textId="77777777" w:rsidR="00981DD8" w:rsidRPr="00981DD8" w:rsidRDefault="00981DD8" w:rsidP="00981DD8">
            <w:pPr>
              <w:widowControl/>
              <w:autoSpaceDE/>
              <w:autoSpaceDN/>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N° usuarios</w:t>
            </w:r>
          </w:p>
        </w:tc>
        <w:tc>
          <w:tcPr>
            <w:tcW w:w="693" w:type="pct"/>
            <w:tcBorders>
              <w:top w:val="nil"/>
              <w:left w:val="nil"/>
              <w:bottom w:val="single" w:sz="8" w:space="0" w:color="67B93E"/>
              <w:right w:val="single" w:sz="8" w:space="0" w:color="67B93E"/>
            </w:tcBorders>
            <w:shd w:val="clear" w:color="000000" w:fill="F2F2F2"/>
            <w:noWrap/>
            <w:vAlign w:val="center"/>
            <w:hideMark/>
          </w:tcPr>
          <w:p w14:paraId="00026B2A"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370</w:t>
            </w:r>
          </w:p>
        </w:tc>
        <w:tc>
          <w:tcPr>
            <w:tcW w:w="913" w:type="pct"/>
            <w:tcBorders>
              <w:top w:val="nil"/>
              <w:left w:val="nil"/>
              <w:bottom w:val="single" w:sz="8" w:space="0" w:color="67B93E"/>
              <w:right w:val="single" w:sz="8" w:space="0" w:color="67B93E"/>
            </w:tcBorders>
            <w:shd w:val="clear" w:color="000000" w:fill="F2F2F2"/>
            <w:vAlign w:val="center"/>
            <w:hideMark/>
          </w:tcPr>
          <w:p w14:paraId="77D5DA5C"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13,80%</w:t>
            </w:r>
          </w:p>
        </w:tc>
        <w:tc>
          <w:tcPr>
            <w:tcW w:w="850" w:type="pct"/>
            <w:tcBorders>
              <w:top w:val="nil"/>
              <w:left w:val="nil"/>
              <w:bottom w:val="single" w:sz="8" w:space="0" w:color="67B93E"/>
              <w:right w:val="single" w:sz="8" w:space="0" w:color="67B93E"/>
            </w:tcBorders>
            <w:shd w:val="clear" w:color="000000" w:fill="F2F2F2"/>
            <w:vAlign w:val="center"/>
            <w:hideMark/>
          </w:tcPr>
          <w:p w14:paraId="6226ECCA"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421</w:t>
            </w:r>
          </w:p>
        </w:tc>
      </w:tr>
      <w:tr w:rsidR="00981DD8" w:rsidRPr="00981DD8" w14:paraId="480D560E" w14:textId="77777777" w:rsidTr="00981DD8">
        <w:trPr>
          <w:trHeight w:val="315"/>
          <w:jc w:val="center"/>
        </w:trPr>
        <w:tc>
          <w:tcPr>
            <w:tcW w:w="2544" w:type="pct"/>
            <w:tcBorders>
              <w:top w:val="nil"/>
              <w:left w:val="single" w:sz="8" w:space="0" w:color="67B93E"/>
              <w:bottom w:val="single" w:sz="8" w:space="0" w:color="67B93E"/>
              <w:right w:val="single" w:sz="8" w:space="0" w:color="67B93E"/>
            </w:tcBorders>
            <w:shd w:val="clear" w:color="auto" w:fill="auto"/>
            <w:vAlign w:val="center"/>
            <w:hideMark/>
          </w:tcPr>
          <w:p w14:paraId="42331F39" w14:textId="77777777" w:rsidR="00981DD8" w:rsidRPr="00981DD8" w:rsidRDefault="00981DD8" w:rsidP="00981DD8">
            <w:pPr>
              <w:widowControl/>
              <w:autoSpaceDE/>
              <w:autoSpaceDN/>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N° días</w:t>
            </w:r>
          </w:p>
        </w:tc>
        <w:tc>
          <w:tcPr>
            <w:tcW w:w="693" w:type="pct"/>
            <w:tcBorders>
              <w:top w:val="nil"/>
              <w:left w:val="nil"/>
              <w:bottom w:val="single" w:sz="8" w:space="0" w:color="67B93E"/>
              <w:right w:val="single" w:sz="8" w:space="0" w:color="67B93E"/>
            </w:tcBorders>
            <w:shd w:val="clear" w:color="auto" w:fill="auto"/>
            <w:noWrap/>
            <w:vAlign w:val="center"/>
            <w:hideMark/>
          </w:tcPr>
          <w:p w14:paraId="3E41A35A"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3613</w:t>
            </w:r>
          </w:p>
        </w:tc>
        <w:tc>
          <w:tcPr>
            <w:tcW w:w="913" w:type="pct"/>
            <w:tcBorders>
              <w:top w:val="nil"/>
              <w:left w:val="nil"/>
              <w:bottom w:val="single" w:sz="8" w:space="0" w:color="67B93E"/>
              <w:right w:val="single" w:sz="8" w:space="0" w:color="67B93E"/>
            </w:tcBorders>
            <w:shd w:val="clear" w:color="auto" w:fill="auto"/>
            <w:vAlign w:val="center"/>
            <w:hideMark/>
          </w:tcPr>
          <w:p w14:paraId="77247EC5"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49,20%</w:t>
            </w:r>
          </w:p>
        </w:tc>
        <w:tc>
          <w:tcPr>
            <w:tcW w:w="850" w:type="pct"/>
            <w:tcBorders>
              <w:top w:val="nil"/>
              <w:left w:val="nil"/>
              <w:bottom w:val="single" w:sz="8" w:space="0" w:color="67B93E"/>
              <w:right w:val="single" w:sz="8" w:space="0" w:color="67B93E"/>
            </w:tcBorders>
            <w:shd w:val="clear" w:color="auto" w:fill="auto"/>
            <w:vAlign w:val="center"/>
            <w:hideMark/>
          </w:tcPr>
          <w:p w14:paraId="4E204BEB"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5389</w:t>
            </w:r>
          </w:p>
        </w:tc>
      </w:tr>
      <w:tr w:rsidR="00981DD8" w:rsidRPr="00981DD8" w14:paraId="227341B4" w14:textId="77777777" w:rsidTr="00981DD8">
        <w:trPr>
          <w:trHeight w:val="437"/>
          <w:jc w:val="center"/>
        </w:trPr>
        <w:tc>
          <w:tcPr>
            <w:tcW w:w="2544" w:type="pct"/>
            <w:tcBorders>
              <w:top w:val="nil"/>
              <w:left w:val="single" w:sz="8" w:space="0" w:color="67B93E"/>
              <w:bottom w:val="single" w:sz="8" w:space="0" w:color="67B93E"/>
              <w:right w:val="single" w:sz="8" w:space="0" w:color="67B93E"/>
            </w:tcBorders>
            <w:shd w:val="clear" w:color="000000" w:fill="F2F2F2"/>
            <w:vAlign w:val="center"/>
            <w:hideMark/>
          </w:tcPr>
          <w:p w14:paraId="42AB2F34" w14:textId="77777777" w:rsidR="00981DD8" w:rsidRPr="00981DD8" w:rsidRDefault="00981DD8" w:rsidP="00981DD8">
            <w:pPr>
              <w:widowControl/>
              <w:autoSpaceDE/>
              <w:autoSpaceDN/>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 xml:space="preserve">Promedio días por usuario (delta </w:t>
            </w:r>
            <w:proofErr w:type="spellStart"/>
            <w:r w:rsidRPr="00981DD8">
              <w:rPr>
                <w:rFonts w:ascii="Humanst521 BT" w:eastAsia="Times New Roman" w:hAnsi="Humanst521 BT" w:cs="Calibri"/>
                <w:color w:val="000000"/>
                <w:sz w:val="20"/>
                <w:szCs w:val="20"/>
                <w:lang w:val="es-CO" w:eastAsia="es-CO"/>
              </w:rPr>
              <w:t>pp</w:t>
            </w:r>
            <w:proofErr w:type="spellEnd"/>
            <w:r w:rsidRPr="00981DD8">
              <w:rPr>
                <w:rFonts w:ascii="Humanst521 BT" w:eastAsia="Times New Roman" w:hAnsi="Humanst521 BT" w:cs="Calibri"/>
                <w:color w:val="000000"/>
                <w:sz w:val="20"/>
                <w:szCs w:val="20"/>
                <w:lang w:val="es-CO" w:eastAsia="es-CO"/>
              </w:rPr>
              <w:t>)</w:t>
            </w:r>
          </w:p>
        </w:tc>
        <w:tc>
          <w:tcPr>
            <w:tcW w:w="693" w:type="pct"/>
            <w:tcBorders>
              <w:top w:val="nil"/>
              <w:left w:val="nil"/>
              <w:bottom w:val="single" w:sz="8" w:space="0" w:color="67B93E"/>
              <w:right w:val="single" w:sz="8" w:space="0" w:color="67B93E"/>
            </w:tcBorders>
            <w:shd w:val="clear" w:color="000000" w:fill="F2F2F2"/>
            <w:vAlign w:val="center"/>
            <w:hideMark/>
          </w:tcPr>
          <w:p w14:paraId="3C3EA8BF"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9,8</w:t>
            </w:r>
          </w:p>
        </w:tc>
        <w:tc>
          <w:tcPr>
            <w:tcW w:w="913" w:type="pct"/>
            <w:tcBorders>
              <w:top w:val="nil"/>
              <w:left w:val="nil"/>
              <w:bottom w:val="single" w:sz="8" w:space="0" w:color="67B93E"/>
              <w:right w:val="single" w:sz="8" w:space="0" w:color="67B93E"/>
            </w:tcBorders>
            <w:shd w:val="clear" w:color="000000" w:fill="F2F2F2"/>
            <w:vAlign w:val="center"/>
            <w:hideMark/>
          </w:tcPr>
          <w:p w14:paraId="4ADC6C78"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3</w:t>
            </w:r>
          </w:p>
        </w:tc>
        <w:tc>
          <w:tcPr>
            <w:tcW w:w="850" w:type="pct"/>
            <w:tcBorders>
              <w:top w:val="nil"/>
              <w:left w:val="nil"/>
              <w:bottom w:val="single" w:sz="8" w:space="0" w:color="67B93E"/>
              <w:right w:val="single" w:sz="8" w:space="0" w:color="67B93E"/>
            </w:tcBorders>
            <w:shd w:val="clear" w:color="000000" w:fill="F2F2F2"/>
            <w:vAlign w:val="center"/>
            <w:hideMark/>
          </w:tcPr>
          <w:p w14:paraId="053A2392"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12,8</w:t>
            </w:r>
          </w:p>
        </w:tc>
      </w:tr>
      <w:tr w:rsidR="00981DD8" w:rsidRPr="00981DD8" w14:paraId="38F47156" w14:textId="77777777" w:rsidTr="00981DD8">
        <w:trPr>
          <w:trHeight w:val="274"/>
          <w:jc w:val="center"/>
        </w:trPr>
        <w:tc>
          <w:tcPr>
            <w:tcW w:w="2544" w:type="pct"/>
            <w:tcBorders>
              <w:top w:val="nil"/>
              <w:left w:val="single" w:sz="8" w:space="0" w:color="67B93E"/>
              <w:bottom w:val="single" w:sz="8" w:space="0" w:color="67B93E"/>
              <w:right w:val="single" w:sz="8" w:space="0" w:color="67B93E"/>
            </w:tcBorders>
            <w:shd w:val="clear" w:color="auto" w:fill="auto"/>
            <w:vAlign w:val="center"/>
            <w:hideMark/>
          </w:tcPr>
          <w:p w14:paraId="3AAC4991" w14:textId="77777777" w:rsidR="00981DD8" w:rsidRPr="00981DD8" w:rsidRDefault="00981DD8" w:rsidP="00981DD8">
            <w:pPr>
              <w:widowControl/>
              <w:autoSpaceDE/>
              <w:autoSpaceDN/>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Promedio valor por usuario (millones)</w:t>
            </w:r>
          </w:p>
        </w:tc>
        <w:tc>
          <w:tcPr>
            <w:tcW w:w="693" w:type="pct"/>
            <w:tcBorders>
              <w:top w:val="nil"/>
              <w:left w:val="nil"/>
              <w:bottom w:val="single" w:sz="8" w:space="0" w:color="67B93E"/>
              <w:right w:val="single" w:sz="8" w:space="0" w:color="67B93E"/>
            </w:tcBorders>
            <w:shd w:val="clear" w:color="auto" w:fill="auto"/>
            <w:noWrap/>
            <w:vAlign w:val="center"/>
            <w:hideMark/>
          </w:tcPr>
          <w:p w14:paraId="7E8F1BD6"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2,3</w:t>
            </w:r>
          </w:p>
        </w:tc>
        <w:tc>
          <w:tcPr>
            <w:tcW w:w="913" w:type="pct"/>
            <w:tcBorders>
              <w:top w:val="nil"/>
              <w:left w:val="nil"/>
              <w:bottom w:val="single" w:sz="8" w:space="0" w:color="67B93E"/>
              <w:right w:val="single" w:sz="8" w:space="0" w:color="67B93E"/>
            </w:tcBorders>
            <w:shd w:val="clear" w:color="auto" w:fill="auto"/>
            <w:vAlign w:val="center"/>
            <w:hideMark/>
          </w:tcPr>
          <w:p w14:paraId="532BCA9D"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7,40%</w:t>
            </w:r>
          </w:p>
        </w:tc>
        <w:tc>
          <w:tcPr>
            <w:tcW w:w="850" w:type="pct"/>
            <w:tcBorders>
              <w:top w:val="nil"/>
              <w:left w:val="nil"/>
              <w:bottom w:val="single" w:sz="8" w:space="0" w:color="67B93E"/>
              <w:right w:val="single" w:sz="8" w:space="0" w:color="67B93E"/>
            </w:tcBorders>
            <w:shd w:val="clear" w:color="auto" w:fill="auto"/>
            <w:vAlign w:val="center"/>
            <w:hideMark/>
          </w:tcPr>
          <w:p w14:paraId="5208DC33" w14:textId="77777777" w:rsidR="00981DD8" w:rsidRPr="00981DD8" w:rsidRDefault="00981DD8" w:rsidP="00981DD8">
            <w:pPr>
              <w:widowControl/>
              <w:autoSpaceDE/>
              <w:autoSpaceDN/>
              <w:jc w:val="center"/>
              <w:rPr>
                <w:rFonts w:ascii="Humanst521 BT" w:eastAsia="Times New Roman" w:hAnsi="Humanst521 BT" w:cs="Calibri"/>
                <w:color w:val="000000"/>
                <w:sz w:val="20"/>
                <w:szCs w:val="20"/>
                <w:lang w:val="es-CO" w:eastAsia="es-CO"/>
              </w:rPr>
            </w:pPr>
            <w:r w:rsidRPr="00981DD8">
              <w:rPr>
                <w:rFonts w:ascii="Humanst521 BT" w:eastAsia="Times New Roman" w:hAnsi="Humanst521 BT" w:cs="Calibri"/>
                <w:color w:val="000000"/>
                <w:sz w:val="20"/>
                <w:szCs w:val="20"/>
                <w:lang w:val="es-CO" w:eastAsia="es-CO"/>
              </w:rPr>
              <w:t>2,5</w:t>
            </w:r>
          </w:p>
        </w:tc>
      </w:tr>
    </w:tbl>
    <w:p w14:paraId="61244195" w14:textId="77777777" w:rsidR="002D0DFB" w:rsidRPr="00CE4C20" w:rsidRDefault="002D0DFB" w:rsidP="002D0DFB">
      <w:pPr>
        <w:jc w:val="both"/>
        <w:rPr>
          <w:rFonts w:ascii="Humanst521 BT" w:hAnsi="Humanst521 BT" w:cstheme="minorHAnsi"/>
          <w:bCs/>
          <w:color w:val="FF0000"/>
        </w:rPr>
      </w:pPr>
    </w:p>
    <w:p w14:paraId="46F4CA25" w14:textId="5EF043AF" w:rsidR="002D0DFB" w:rsidRDefault="002D0DFB" w:rsidP="002D0DFB">
      <w:pPr>
        <w:pStyle w:val="Textopredeterminado"/>
        <w:rPr>
          <w:rFonts w:cstheme="minorHAnsi"/>
          <w:szCs w:val="22"/>
          <w:lang w:val="es-ES"/>
        </w:rPr>
      </w:pPr>
      <w:r w:rsidRPr="00CE4C20">
        <w:rPr>
          <w:rFonts w:cstheme="minorHAnsi"/>
          <w:szCs w:val="22"/>
          <w:lang w:val="es-ES"/>
        </w:rPr>
        <w:t>Fuente: UISALUD, 202</w:t>
      </w:r>
      <w:r w:rsidR="00E406EC">
        <w:rPr>
          <w:rFonts w:cstheme="minorHAnsi"/>
          <w:szCs w:val="22"/>
          <w:lang w:val="es-ES"/>
        </w:rPr>
        <w:t>5</w:t>
      </w:r>
    </w:p>
    <w:p w14:paraId="1C93BDD2" w14:textId="77777777" w:rsidR="00037D6C" w:rsidRPr="00E0120F" w:rsidRDefault="00037D6C" w:rsidP="00037D6C">
      <w:pPr>
        <w:widowControl/>
        <w:autoSpaceDE/>
        <w:autoSpaceDN/>
        <w:spacing w:before="100" w:beforeAutospacing="1" w:after="100" w:afterAutospacing="1"/>
        <w:jc w:val="both"/>
        <w:rPr>
          <w:rFonts w:ascii="Humanst521 BT" w:hAnsi="Humanst521 BT"/>
        </w:rPr>
      </w:pPr>
      <w:r w:rsidRPr="00E0120F">
        <w:rPr>
          <w:rFonts w:ascii="Humanst521 BT" w:hAnsi="Humanst521 BT"/>
        </w:rPr>
        <w:t>Durante el periodo analizado se evidencia un incremento sostenido en la carga de incapacidad laboral, tanto en frecuencia como en severidad, con implicaciones directas en el uso de servicios y costos institucionales.</w:t>
      </w:r>
    </w:p>
    <w:p w14:paraId="6AE5E612" w14:textId="77777777" w:rsidR="00037D6C" w:rsidRPr="00E0120F" w:rsidRDefault="00037D6C" w:rsidP="00037D6C">
      <w:pPr>
        <w:widowControl/>
        <w:autoSpaceDE/>
        <w:autoSpaceDN/>
        <w:spacing w:before="100" w:beforeAutospacing="1" w:after="100" w:afterAutospacing="1"/>
        <w:jc w:val="both"/>
        <w:rPr>
          <w:rFonts w:ascii="Humanst521 BT" w:hAnsi="Humanst521 BT"/>
        </w:rPr>
      </w:pPr>
      <w:r w:rsidRPr="00E0120F">
        <w:rPr>
          <w:rFonts w:ascii="Humanst521 BT" w:hAnsi="Humanst521 BT"/>
        </w:rPr>
        <w:t>En 2025, el número de incapacidades/licencias ascendió a 1.126 casos, lo que representa un incremento del 15,7% respecto a 2024 (973 casos). De manera concordante, el número de usuarios con al menos un evento de incapacidad aumentó en 13,8% (de 370 a 421), lo que sugiere una mayor afectación poblacional y no solo recurrencia en los mismos individuos.</w:t>
      </w:r>
    </w:p>
    <w:p w14:paraId="10B83701" w14:textId="77777777" w:rsidR="00037D6C" w:rsidRPr="00E0120F" w:rsidRDefault="00037D6C" w:rsidP="00037D6C">
      <w:pPr>
        <w:widowControl/>
        <w:autoSpaceDE/>
        <w:autoSpaceDN/>
        <w:spacing w:before="100" w:beforeAutospacing="1" w:after="100" w:afterAutospacing="1"/>
        <w:jc w:val="both"/>
        <w:rPr>
          <w:rFonts w:ascii="Humanst521 BT" w:hAnsi="Humanst521 BT"/>
        </w:rPr>
      </w:pPr>
      <w:r w:rsidRPr="00E0120F">
        <w:rPr>
          <w:rFonts w:ascii="Humanst521 BT" w:hAnsi="Humanst521 BT"/>
        </w:rPr>
        <w:t>No obstante, el hallazgo más relevante corresponde al comportamiento de los días de incapacidad, que pasaron de 3.613 en 2024 a 5.389 en 2025, con un incremento del 49,2%, significativamente superior al crecimiento en número de casos. Este diferencial indica un aumento en la severidad o duración de los eventos, lo cual se confirma con el incremento en el promedio de días por usuario, que pasó de 9,8 a 12,8 días (</w:t>
      </w:r>
      <w:r w:rsidRPr="00E0120F">
        <w:rPr>
          <w:rFonts w:ascii="Calibri" w:hAnsi="Calibri" w:cs="Calibri"/>
        </w:rPr>
        <w:t>Δ</w:t>
      </w:r>
      <w:r w:rsidRPr="00E0120F">
        <w:rPr>
          <w:rFonts w:ascii="Humanst521 BT" w:hAnsi="Humanst521 BT"/>
        </w:rPr>
        <w:t xml:space="preserve"> +3 d</w:t>
      </w:r>
      <w:r w:rsidRPr="00E0120F">
        <w:rPr>
          <w:rFonts w:ascii="Humanst521 BT" w:hAnsi="Humanst521 BT" w:cs="Humanst521 BT"/>
        </w:rPr>
        <w:t>í</w:t>
      </w:r>
      <w:r w:rsidRPr="00E0120F">
        <w:rPr>
          <w:rFonts w:ascii="Humanst521 BT" w:hAnsi="Humanst521 BT"/>
        </w:rPr>
        <w:t>as).</w:t>
      </w:r>
    </w:p>
    <w:p w14:paraId="0622DB96" w14:textId="77777777" w:rsidR="00037D6C" w:rsidRPr="00E0120F" w:rsidRDefault="00037D6C" w:rsidP="00037D6C">
      <w:pPr>
        <w:widowControl/>
        <w:autoSpaceDE/>
        <w:autoSpaceDN/>
        <w:spacing w:before="100" w:beforeAutospacing="1" w:after="100" w:afterAutospacing="1"/>
        <w:jc w:val="both"/>
        <w:rPr>
          <w:rFonts w:ascii="Humanst521 BT" w:hAnsi="Humanst521 BT"/>
        </w:rPr>
      </w:pPr>
      <w:r w:rsidRPr="00E0120F">
        <w:rPr>
          <w:rFonts w:ascii="Humanst521 BT" w:hAnsi="Humanst521 BT"/>
        </w:rPr>
        <w:t>Desde la perspectiva económica, el valor promedio por usuario también mostró un aumento del 7,4%, pasando de 2,3 a 2,5 millones de pesos, lo que refleja una mayor carga financiera asociada a la incapacidad, posiblemente relacionada con eventos de mayor complejidad, comorbilidad o prolongación de los tiempos de recuperación.</w:t>
      </w:r>
    </w:p>
    <w:p w14:paraId="54784AD3" w14:textId="0B1FE3CE" w:rsidR="00FD702E" w:rsidRPr="00CE4C20" w:rsidRDefault="007F695F" w:rsidP="00FD702E">
      <w:pPr>
        <w:jc w:val="both"/>
        <w:rPr>
          <w:rFonts w:ascii="Humanst521 BT" w:hAnsi="Humanst521 BT" w:cstheme="minorHAnsi"/>
          <w:color w:val="FF0000"/>
        </w:rPr>
      </w:pPr>
      <w:bookmarkStart w:id="136" w:name="_Toc231286277"/>
      <w:r w:rsidRPr="00CE4C20">
        <w:rPr>
          <w:rFonts w:ascii="Humanst521 BT" w:hAnsi="Humanst521 BT" w:cstheme="minorHAnsi"/>
        </w:rPr>
        <w:t xml:space="preserve">Tabla </w:t>
      </w:r>
      <w:r w:rsidRPr="00CE4C20">
        <w:rPr>
          <w:rFonts w:ascii="Humanst521 BT" w:hAnsi="Humanst521 BT" w:cstheme="minorHAnsi"/>
        </w:rPr>
        <w:fldChar w:fldCharType="begin"/>
      </w:r>
      <w:r w:rsidRPr="00CE4C20">
        <w:rPr>
          <w:rFonts w:ascii="Humanst521 BT" w:hAnsi="Humanst521 BT" w:cstheme="minorHAnsi"/>
        </w:rPr>
        <w:instrText xml:space="preserve"> SEQ Tabla \* ARABIC </w:instrText>
      </w:r>
      <w:r w:rsidRPr="00CE4C20">
        <w:rPr>
          <w:rFonts w:ascii="Humanst521 BT" w:hAnsi="Humanst521 BT" w:cstheme="minorHAnsi"/>
        </w:rPr>
        <w:fldChar w:fldCharType="separate"/>
      </w:r>
      <w:r w:rsidR="00D92A24">
        <w:rPr>
          <w:rFonts w:ascii="Humanst521 BT" w:hAnsi="Humanst521 BT" w:cstheme="minorHAnsi"/>
          <w:noProof/>
        </w:rPr>
        <w:t>32</w:t>
      </w:r>
      <w:r w:rsidRPr="00CE4C20">
        <w:rPr>
          <w:rFonts w:ascii="Humanst521 BT" w:hAnsi="Humanst521 BT" w:cstheme="minorHAnsi"/>
        </w:rPr>
        <w:fldChar w:fldCharType="end"/>
      </w:r>
      <w:r w:rsidRPr="00CE4C20">
        <w:rPr>
          <w:rFonts w:ascii="Humanst521 BT" w:hAnsi="Humanst521 BT" w:cstheme="minorHAnsi"/>
        </w:rPr>
        <w:t xml:space="preserve">. </w:t>
      </w:r>
      <w:r w:rsidR="00FD702E" w:rsidRPr="00295A9C">
        <w:rPr>
          <w:rFonts w:ascii="Humanst521 BT" w:hAnsi="Humanst521 BT" w:cstheme="minorHAnsi"/>
        </w:rPr>
        <w:t>Causa agrupada de la incapacidad</w:t>
      </w:r>
      <w:r w:rsidR="00FD702E" w:rsidRPr="00CE4C20">
        <w:rPr>
          <w:rFonts w:ascii="Humanst521 BT" w:hAnsi="Humanst521 BT" w:cstheme="minorHAnsi"/>
        </w:rPr>
        <w:t xml:space="preserve"> según número de días</w:t>
      </w:r>
      <w:r w:rsidR="00925798">
        <w:rPr>
          <w:rFonts w:ascii="Humanst521 BT" w:hAnsi="Humanst521 BT" w:cstheme="minorHAnsi"/>
          <w:color w:val="FF0000"/>
        </w:rPr>
        <w:t xml:space="preserve"> </w:t>
      </w:r>
      <w:r w:rsidR="00925798" w:rsidRPr="00925798">
        <w:rPr>
          <w:rFonts w:ascii="Humanst521 BT" w:hAnsi="Humanst521 BT" w:cstheme="minorHAnsi"/>
        </w:rPr>
        <w:t>– evento común</w:t>
      </w:r>
      <w:bookmarkEnd w:id="136"/>
      <w:r w:rsidR="00925798" w:rsidRPr="00925798">
        <w:rPr>
          <w:rFonts w:ascii="Humanst521 BT" w:hAnsi="Humanst521 BT" w:cstheme="minorHAnsi"/>
        </w:rPr>
        <w:t xml:space="preserve"> </w:t>
      </w:r>
    </w:p>
    <w:p w14:paraId="67056172" w14:textId="40B84A22" w:rsidR="00FD702E" w:rsidRDefault="00FD702E" w:rsidP="002D0DFB">
      <w:pPr>
        <w:pStyle w:val="Textopredeterminado"/>
        <w:rPr>
          <w:rFonts w:cstheme="minorHAnsi"/>
          <w:szCs w:val="22"/>
          <w:lang w:val="es-ES"/>
        </w:rPr>
      </w:pPr>
    </w:p>
    <w:tbl>
      <w:tblPr>
        <w:tblW w:w="8900" w:type="dxa"/>
        <w:tblCellMar>
          <w:left w:w="70" w:type="dxa"/>
          <w:right w:w="70" w:type="dxa"/>
        </w:tblCellMar>
        <w:tblLook w:val="04A0" w:firstRow="1" w:lastRow="0" w:firstColumn="1" w:lastColumn="0" w:noHBand="0" w:noVBand="1"/>
      </w:tblPr>
      <w:tblGrid>
        <w:gridCol w:w="4480"/>
        <w:gridCol w:w="820"/>
        <w:gridCol w:w="900"/>
        <w:gridCol w:w="640"/>
        <w:gridCol w:w="820"/>
        <w:gridCol w:w="1240"/>
      </w:tblGrid>
      <w:tr w:rsidR="006264C1" w:rsidRPr="006264C1" w14:paraId="75519EEE" w14:textId="77777777" w:rsidTr="006264C1">
        <w:trPr>
          <w:trHeight w:val="315"/>
        </w:trPr>
        <w:tc>
          <w:tcPr>
            <w:tcW w:w="4480" w:type="dxa"/>
            <w:vMerge w:val="restar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37E74730"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lang w:eastAsia="es-CO"/>
              </w:rPr>
              <w:t>G</w:t>
            </w:r>
            <w:r w:rsidRPr="006264C1">
              <w:rPr>
                <w:rFonts w:ascii="Humanst521 BT" w:eastAsia="Times New Roman" w:hAnsi="Humanst521 BT" w:cs="Calibri"/>
                <w:b/>
                <w:bCs/>
                <w:color w:val="000000"/>
                <w:sz w:val="20"/>
                <w:szCs w:val="20"/>
                <w:lang w:eastAsia="es-CO"/>
              </w:rPr>
              <w:t>rupo por evento común</w:t>
            </w:r>
          </w:p>
        </w:tc>
        <w:tc>
          <w:tcPr>
            <w:tcW w:w="1720" w:type="dxa"/>
            <w:gridSpan w:val="2"/>
            <w:tcBorders>
              <w:top w:val="single" w:sz="8" w:space="0" w:color="67B93E"/>
              <w:left w:val="nil"/>
              <w:bottom w:val="single" w:sz="8" w:space="0" w:color="67B93E"/>
              <w:right w:val="single" w:sz="8" w:space="0" w:color="67B93E"/>
            </w:tcBorders>
            <w:shd w:val="clear" w:color="000000" w:fill="C5E0B3"/>
            <w:vAlign w:val="center"/>
            <w:hideMark/>
          </w:tcPr>
          <w:p w14:paraId="3EA2D4C7"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val="es-CO" w:eastAsia="es-CO"/>
              </w:rPr>
              <w:t>2024</w:t>
            </w:r>
          </w:p>
        </w:tc>
        <w:tc>
          <w:tcPr>
            <w:tcW w:w="1460" w:type="dxa"/>
            <w:gridSpan w:val="2"/>
            <w:tcBorders>
              <w:top w:val="single" w:sz="8" w:space="0" w:color="67B93E"/>
              <w:left w:val="nil"/>
              <w:bottom w:val="single" w:sz="8" w:space="0" w:color="67B93E"/>
              <w:right w:val="single" w:sz="8" w:space="0" w:color="67B93E"/>
            </w:tcBorders>
            <w:shd w:val="clear" w:color="000000" w:fill="C5E0B3"/>
            <w:vAlign w:val="center"/>
            <w:hideMark/>
          </w:tcPr>
          <w:p w14:paraId="07C9B60E"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val="es-CO" w:eastAsia="es-CO"/>
              </w:rPr>
              <w:t>2025</w:t>
            </w:r>
          </w:p>
        </w:tc>
        <w:tc>
          <w:tcPr>
            <w:tcW w:w="1240" w:type="dxa"/>
            <w:vMerge w:val="restar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6059EFCE"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val="es-CO" w:eastAsia="es-CO"/>
              </w:rPr>
              <w:t>Dif %</w:t>
            </w:r>
          </w:p>
        </w:tc>
      </w:tr>
      <w:tr w:rsidR="006264C1" w:rsidRPr="006264C1" w14:paraId="58F68238" w14:textId="77777777" w:rsidTr="006264C1">
        <w:trPr>
          <w:trHeight w:val="420"/>
        </w:trPr>
        <w:tc>
          <w:tcPr>
            <w:tcW w:w="4480" w:type="dxa"/>
            <w:vMerge/>
            <w:tcBorders>
              <w:top w:val="single" w:sz="8" w:space="0" w:color="67B93E"/>
              <w:left w:val="single" w:sz="8" w:space="0" w:color="67B93E"/>
              <w:bottom w:val="single" w:sz="8" w:space="0" w:color="67B93E"/>
              <w:right w:val="single" w:sz="8" w:space="0" w:color="67B93E"/>
            </w:tcBorders>
            <w:vAlign w:val="center"/>
            <w:hideMark/>
          </w:tcPr>
          <w:p w14:paraId="574AFC48" w14:textId="77777777" w:rsidR="006264C1" w:rsidRPr="006264C1" w:rsidRDefault="006264C1" w:rsidP="006264C1">
            <w:pPr>
              <w:widowControl/>
              <w:autoSpaceDE/>
              <w:autoSpaceDN/>
              <w:rPr>
                <w:rFonts w:ascii="Humanst521 BT" w:eastAsia="Times New Roman" w:hAnsi="Humanst521 BT" w:cs="Calibri"/>
                <w:b/>
                <w:bCs/>
                <w:color w:val="000000"/>
                <w:sz w:val="20"/>
                <w:szCs w:val="20"/>
                <w:lang w:val="es-CO" w:eastAsia="es-CO"/>
              </w:rPr>
            </w:pPr>
          </w:p>
        </w:tc>
        <w:tc>
          <w:tcPr>
            <w:tcW w:w="820" w:type="dxa"/>
            <w:tcBorders>
              <w:top w:val="nil"/>
              <w:left w:val="nil"/>
              <w:bottom w:val="single" w:sz="8" w:space="0" w:color="67B93E"/>
              <w:right w:val="single" w:sz="8" w:space="0" w:color="67B93E"/>
            </w:tcBorders>
            <w:shd w:val="clear" w:color="000000" w:fill="C5E0B3"/>
            <w:vAlign w:val="center"/>
            <w:hideMark/>
          </w:tcPr>
          <w:p w14:paraId="72BD3EAE"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Días</w:t>
            </w:r>
          </w:p>
        </w:tc>
        <w:tc>
          <w:tcPr>
            <w:tcW w:w="900" w:type="dxa"/>
            <w:tcBorders>
              <w:top w:val="nil"/>
              <w:left w:val="nil"/>
              <w:bottom w:val="single" w:sz="8" w:space="0" w:color="67B93E"/>
              <w:right w:val="single" w:sz="8" w:space="0" w:color="67B93E"/>
            </w:tcBorders>
            <w:shd w:val="clear" w:color="000000" w:fill="C5E0B3"/>
            <w:vAlign w:val="center"/>
            <w:hideMark/>
          </w:tcPr>
          <w:p w14:paraId="611A81F6"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w:t>
            </w:r>
          </w:p>
        </w:tc>
        <w:tc>
          <w:tcPr>
            <w:tcW w:w="640" w:type="dxa"/>
            <w:tcBorders>
              <w:top w:val="nil"/>
              <w:left w:val="nil"/>
              <w:bottom w:val="single" w:sz="8" w:space="0" w:color="67B93E"/>
              <w:right w:val="single" w:sz="8" w:space="0" w:color="67B93E"/>
            </w:tcBorders>
            <w:shd w:val="clear" w:color="000000" w:fill="C5E0B3"/>
            <w:vAlign w:val="center"/>
            <w:hideMark/>
          </w:tcPr>
          <w:p w14:paraId="50F891CF"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Días</w:t>
            </w:r>
          </w:p>
        </w:tc>
        <w:tc>
          <w:tcPr>
            <w:tcW w:w="820" w:type="dxa"/>
            <w:tcBorders>
              <w:top w:val="nil"/>
              <w:left w:val="nil"/>
              <w:bottom w:val="single" w:sz="8" w:space="0" w:color="67B93E"/>
              <w:right w:val="nil"/>
            </w:tcBorders>
            <w:shd w:val="clear" w:color="000000" w:fill="C5E0B3"/>
            <w:vAlign w:val="center"/>
            <w:hideMark/>
          </w:tcPr>
          <w:p w14:paraId="6AFE8B10"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w:t>
            </w:r>
          </w:p>
        </w:tc>
        <w:tc>
          <w:tcPr>
            <w:tcW w:w="1240" w:type="dxa"/>
            <w:vMerge/>
            <w:tcBorders>
              <w:top w:val="single" w:sz="8" w:space="0" w:color="67B93E"/>
              <w:left w:val="single" w:sz="8" w:space="0" w:color="67B93E"/>
              <w:bottom w:val="single" w:sz="8" w:space="0" w:color="67B93E"/>
              <w:right w:val="single" w:sz="8" w:space="0" w:color="67B93E"/>
            </w:tcBorders>
            <w:vAlign w:val="center"/>
            <w:hideMark/>
          </w:tcPr>
          <w:p w14:paraId="4229CEFC" w14:textId="77777777" w:rsidR="006264C1" w:rsidRPr="006264C1" w:rsidRDefault="006264C1" w:rsidP="006264C1">
            <w:pPr>
              <w:widowControl/>
              <w:autoSpaceDE/>
              <w:autoSpaceDN/>
              <w:rPr>
                <w:rFonts w:ascii="Humanst521 BT" w:eastAsia="Times New Roman" w:hAnsi="Humanst521 BT" w:cs="Calibri"/>
                <w:b/>
                <w:bCs/>
                <w:color w:val="000000"/>
                <w:sz w:val="20"/>
                <w:szCs w:val="20"/>
                <w:lang w:val="es-CO" w:eastAsia="es-CO"/>
              </w:rPr>
            </w:pPr>
          </w:p>
        </w:tc>
      </w:tr>
      <w:tr w:rsidR="006264C1" w:rsidRPr="006264C1" w14:paraId="55015073" w14:textId="77777777" w:rsidTr="006264C1">
        <w:trPr>
          <w:trHeight w:val="420"/>
        </w:trPr>
        <w:tc>
          <w:tcPr>
            <w:tcW w:w="4480" w:type="dxa"/>
            <w:tcBorders>
              <w:top w:val="nil"/>
              <w:left w:val="single" w:sz="8" w:space="0" w:color="67B93E"/>
              <w:bottom w:val="single" w:sz="8" w:space="0" w:color="67B93E"/>
              <w:right w:val="single" w:sz="8" w:space="0" w:color="67B93E"/>
            </w:tcBorders>
            <w:shd w:val="clear" w:color="000000" w:fill="FFFFFF"/>
            <w:vAlign w:val="center"/>
            <w:hideMark/>
          </w:tcPr>
          <w:p w14:paraId="03EE9509" w14:textId="77777777" w:rsidR="006264C1" w:rsidRPr="006264C1" w:rsidRDefault="006264C1" w:rsidP="006264C1">
            <w:pPr>
              <w:widowControl/>
              <w:autoSpaceDE/>
              <w:autoSpaceDN/>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Enfermedades no trasmisibles</w:t>
            </w:r>
          </w:p>
        </w:tc>
        <w:tc>
          <w:tcPr>
            <w:tcW w:w="820" w:type="dxa"/>
            <w:tcBorders>
              <w:top w:val="nil"/>
              <w:left w:val="nil"/>
              <w:bottom w:val="single" w:sz="8" w:space="0" w:color="67B93E"/>
              <w:right w:val="single" w:sz="8" w:space="0" w:color="67B93E"/>
            </w:tcBorders>
            <w:shd w:val="clear" w:color="000000" w:fill="FFFFFF"/>
            <w:vAlign w:val="center"/>
            <w:hideMark/>
          </w:tcPr>
          <w:p w14:paraId="72D822F4"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2.235</w:t>
            </w:r>
          </w:p>
        </w:tc>
        <w:tc>
          <w:tcPr>
            <w:tcW w:w="900" w:type="dxa"/>
            <w:tcBorders>
              <w:top w:val="nil"/>
              <w:left w:val="nil"/>
              <w:bottom w:val="single" w:sz="8" w:space="0" w:color="67B93E"/>
              <w:right w:val="single" w:sz="8" w:space="0" w:color="67B93E"/>
            </w:tcBorders>
            <w:shd w:val="clear" w:color="000000" w:fill="FFFFFF"/>
            <w:vAlign w:val="center"/>
            <w:hideMark/>
          </w:tcPr>
          <w:p w14:paraId="68C1DCAE"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55,80%</w:t>
            </w:r>
          </w:p>
        </w:tc>
        <w:tc>
          <w:tcPr>
            <w:tcW w:w="640" w:type="dxa"/>
            <w:tcBorders>
              <w:top w:val="nil"/>
              <w:left w:val="nil"/>
              <w:bottom w:val="single" w:sz="8" w:space="0" w:color="67B93E"/>
              <w:right w:val="single" w:sz="8" w:space="0" w:color="67B93E"/>
            </w:tcBorders>
            <w:shd w:val="clear" w:color="000000" w:fill="FFFFFF"/>
            <w:vAlign w:val="center"/>
            <w:hideMark/>
          </w:tcPr>
          <w:p w14:paraId="703BEABB"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2.672</w:t>
            </w:r>
          </w:p>
        </w:tc>
        <w:tc>
          <w:tcPr>
            <w:tcW w:w="820" w:type="dxa"/>
            <w:tcBorders>
              <w:top w:val="nil"/>
              <w:left w:val="nil"/>
              <w:bottom w:val="single" w:sz="8" w:space="0" w:color="67B93E"/>
              <w:right w:val="single" w:sz="8" w:space="0" w:color="67B93E"/>
            </w:tcBorders>
            <w:shd w:val="clear" w:color="000000" w:fill="FFFFFF"/>
            <w:vAlign w:val="center"/>
            <w:hideMark/>
          </w:tcPr>
          <w:p w14:paraId="45A8FAE0"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57,67%</w:t>
            </w:r>
          </w:p>
        </w:tc>
        <w:tc>
          <w:tcPr>
            <w:tcW w:w="1240" w:type="dxa"/>
            <w:tcBorders>
              <w:top w:val="nil"/>
              <w:left w:val="nil"/>
              <w:bottom w:val="single" w:sz="8" w:space="0" w:color="67B93E"/>
              <w:right w:val="single" w:sz="8" w:space="0" w:color="67B93E"/>
            </w:tcBorders>
            <w:shd w:val="clear" w:color="000000" w:fill="FFFFFF"/>
            <w:vAlign w:val="center"/>
            <w:hideMark/>
          </w:tcPr>
          <w:p w14:paraId="7EAD2F6C"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val="es-CO" w:eastAsia="es-CO"/>
              </w:rPr>
              <w:t>1,87%</w:t>
            </w:r>
          </w:p>
        </w:tc>
      </w:tr>
      <w:tr w:rsidR="006264C1" w:rsidRPr="006264C1" w14:paraId="292AE165" w14:textId="77777777" w:rsidTr="006264C1">
        <w:trPr>
          <w:trHeight w:val="420"/>
        </w:trPr>
        <w:tc>
          <w:tcPr>
            <w:tcW w:w="4480" w:type="dxa"/>
            <w:tcBorders>
              <w:top w:val="nil"/>
              <w:left w:val="single" w:sz="8" w:space="0" w:color="67B93E"/>
              <w:bottom w:val="single" w:sz="8" w:space="0" w:color="67B93E"/>
              <w:right w:val="single" w:sz="8" w:space="0" w:color="67B93E"/>
            </w:tcBorders>
            <w:shd w:val="clear" w:color="000000" w:fill="F2F2F2"/>
            <w:vAlign w:val="center"/>
            <w:hideMark/>
          </w:tcPr>
          <w:p w14:paraId="2E781C54" w14:textId="77777777" w:rsidR="006264C1" w:rsidRPr="006264C1" w:rsidRDefault="006264C1" w:rsidP="006264C1">
            <w:pPr>
              <w:widowControl/>
              <w:autoSpaceDE/>
              <w:autoSpaceDN/>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lastRenderedPageBreak/>
              <w:t>Condiciones transmisibles y nutricionales</w:t>
            </w:r>
          </w:p>
        </w:tc>
        <w:tc>
          <w:tcPr>
            <w:tcW w:w="820" w:type="dxa"/>
            <w:tcBorders>
              <w:top w:val="nil"/>
              <w:left w:val="nil"/>
              <w:bottom w:val="single" w:sz="8" w:space="0" w:color="67B93E"/>
              <w:right w:val="single" w:sz="8" w:space="0" w:color="67B93E"/>
            </w:tcBorders>
            <w:shd w:val="clear" w:color="000000" w:fill="F2F2F2"/>
            <w:vAlign w:val="center"/>
            <w:hideMark/>
          </w:tcPr>
          <w:p w14:paraId="50E3801B"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896</w:t>
            </w:r>
          </w:p>
        </w:tc>
        <w:tc>
          <w:tcPr>
            <w:tcW w:w="900" w:type="dxa"/>
            <w:tcBorders>
              <w:top w:val="nil"/>
              <w:left w:val="nil"/>
              <w:bottom w:val="single" w:sz="8" w:space="0" w:color="67B93E"/>
              <w:right w:val="single" w:sz="8" w:space="0" w:color="67B93E"/>
            </w:tcBorders>
            <w:shd w:val="clear" w:color="000000" w:fill="F2F2F2"/>
            <w:vAlign w:val="center"/>
            <w:hideMark/>
          </w:tcPr>
          <w:p w14:paraId="42B6717D"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22,40%</w:t>
            </w:r>
          </w:p>
        </w:tc>
        <w:tc>
          <w:tcPr>
            <w:tcW w:w="640" w:type="dxa"/>
            <w:tcBorders>
              <w:top w:val="nil"/>
              <w:left w:val="nil"/>
              <w:bottom w:val="single" w:sz="8" w:space="0" w:color="67B93E"/>
              <w:right w:val="single" w:sz="8" w:space="0" w:color="67B93E"/>
            </w:tcBorders>
            <w:shd w:val="clear" w:color="000000" w:fill="F2F2F2"/>
            <w:vAlign w:val="center"/>
            <w:hideMark/>
          </w:tcPr>
          <w:p w14:paraId="6C2C8E8A"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899</w:t>
            </w:r>
          </w:p>
        </w:tc>
        <w:tc>
          <w:tcPr>
            <w:tcW w:w="820" w:type="dxa"/>
            <w:tcBorders>
              <w:top w:val="nil"/>
              <w:left w:val="nil"/>
              <w:bottom w:val="single" w:sz="8" w:space="0" w:color="67B93E"/>
              <w:right w:val="single" w:sz="8" w:space="0" w:color="67B93E"/>
            </w:tcBorders>
            <w:shd w:val="clear" w:color="000000" w:fill="F2F2F2"/>
            <w:vAlign w:val="center"/>
            <w:hideMark/>
          </w:tcPr>
          <w:p w14:paraId="046544F0"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19,40%</w:t>
            </w:r>
          </w:p>
        </w:tc>
        <w:tc>
          <w:tcPr>
            <w:tcW w:w="1240" w:type="dxa"/>
            <w:tcBorders>
              <w:top w:val="nil"/>
              <w:left w:val="nil"/>
              <w:bottom w:val="single" w:sz="8" w:space="0" w:color="67B93E"/>
              <w:right w:val="single" w:sz="8" w:space="0" w:color="67B93E"/>
            </w:tcBorders>
            <w:shd w:val="clear" w:color="000000" w:fill="F2F2F2"/>
            <w:vAlign w:val="center"/>
            <w:hideMark/>
          </w:tcPr>
          <w:p w14:paraId="3C1267F4"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val="es-CO" w:eastAsia="es-CO"/>
              </w:rPr>
              <w:t>-3,00%</w:t>
            </w:r>
          </w:p>
        </w:tc>
      </w:tr>
      <w:tr w:rsidR="006264C1" w:rsidRPr="006264C1" w14:paraId="04DD5C7A" w14:textId="77777777" w:rsidTr="006264C1">
        <w:trPr>
          <w:trHeight w:val="420"/>
        </w:trPr>
        <w:tc>
          <w:tcPr>
            <w:tcW w:w="4480" w:type="dxa"/>
            <w:tcBorders>
              <w:top w:val="nil"/>
              <w:left w:val="single" w:sz="8" w:space="0" w:color="67B93E"/>
              <w:bottom w:val="single" w:sz="8" w:space="0" w:color="67B93E"/>
              <w:right w:val="single" w:sz="8" w:space="0" w:color="67B93E"/>
            </w:tcBorders>
            <w:shd w:val="clear" w:color="000000" w:fill="FFFFFF"/>
            <w:vAlign w:val="center"/>
            <w:hideMark/>
          </w:tcPr>
          <w:p w14:paraId="6D15ACCA" w14:textId="77777777" w:rsidR="006264C1" w:rsidRPr="006264C1" w:rsidRDefault="006264C1" w:rsidP="006264C1">
            <w:pPr>
              <w:widowControl/>
              <w:autoSpaceDE/>
              <w:autoSpaceDN/>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Lesiones</w:t>
            </w:r>
          </w:p>
        </w:tc>
        <w:tc>
          <w:tcPr>
            <w:tcW w:w="820" w:type="dxa"/>
            <w:tcBorders>
              <w:top w:val="nil"/>
              <w:left w:val="nil"/>
              <w:bottom w:val="single" w:sz="8" w:space="0" w:color="67B93E"/>
              <w:right w:val="single" w:sz="8" w:space="0" w:color="67B93E"/>
            </w:tcBorders>
            <w:shd w:val="clear" w:color="000000" w:fill="FFFFFF"/>
            <w:vAlign w:val="center"/>
            <w:hideMark/>
          </w:tcPr>
          <w:p w14:paraId="7392BE10"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760</w:t>
            </w:r>
          </w:p>
        </w:tc>
        <w:tc>
          <w:tcPr>
            <w:tcW w:w="900" w:type="dxa"/>
            <w:tcBorders>
              <w:top w:val="nil"/>
              <w:left w:val="nil"/>
              <w:bottom w:val="single" w:sz="8" w:space="0" w:color="67B93E"/>
              <w:right w:val="single" w:sz="8" w:space="0" w:color="67B93E"/>
            </w:tcBorders>
            <w:shd w:val="clear" w:color="000000" w:fill="FFFFFF"/>
            <w:vAlign w:val="center"/>
            <w:hideMark/>
          </w:tcPr>
          <w:p w14:paraId="5F924F3E"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19,00%</w:t>
            </w:r>
          </w:p>
        </w:tc>
        <w:tc>
          <w:tcPr>
            <w:tcW w:w="640" w:type="dxa"/>
            <w:tcBorders>
              <w:top w:val="nil"/>
              <w:left w:val="nil"/>
              <w:bottom w:val="single" w:sz="8" w:space="0" w:color="67B93E"/>
              <w:right w:val="single" w:sz="8" w:space="0" w:color="67B93E"/>
            </w:tcBorders>
            <w:shd w:val="clear" w:color="000000" w:fill="FFFFFF"/>
            <w:vAlign w:val="center"/>
            <w:hideMark/>
          </w:tcPr>
          <w:p w14:paraId="0AF6D8DD"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868</w:t>
            </w:r>
          </w:p>
        </w:tc>
        <w:tc>
          <w:tcPr>
            <w:tcW w:w="820" w:type="dxa"/>
            <w:tcBorders>
              <w:top w:val="nil"/>
              <w:left w:val="nil"/>
              <w:bottom w:val="single" w:sz="8" w:space="0" w:color="67B93E"/>
              <w:right w:val="single" w:sz="8" w:space="0" w:color="67B93E"/>
            </w:tcBorders>
            <w:shd w:val="clear" w:color="000000" w:fill="FFFFFF"/>
            <w:vAlign w:val="center"/>
            <w:hideMark/>
          </w:tcPr>
          <w:p w14:paraId="3AEA59DF"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18,74%</w:t>
            </w:r>
          </w:p>
        </w:tc>
        <w:tc>
          <w:tcPr>
            <w:tcW w:w="1240" w:type="dxa"/>
            <w:tcBorders>
              <w:top w:val="nil"/>
              <w:left w:val="nil"/>
              <w:bottom w:val="single" w:sz="8" w:space="0" w:color="67B93E"/>
              <w:right w:val="single" w:sz="8" w:space="0" w:color="67B93E"/>
            </w:tcBorders>
            <w:shd w:val="clear" w:color="000000" w:fill="FFFFFF"/>
            <w:vAlign w:val="center"/>
            <w:hideMark/>
          </w:tcPr>
          <w:p w14:paraId="4B8693B5"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val="es-CO" w:eastAsia="es-CO"/>
              </w:rPr>
              <w:t>-0,26%</w:t>
            </w:r>
          </w:p>
        </w:tc>
      </w:tr>
      <w:tr w:rsidR="006264C1" w:rsidRPr="006264C1" w14:paraId="17D62B4F" w14:textId="77777777" w:rsidTr="006264C1">
        <w:trPr>
          <w:trHeight w:val="420"/>
        </w:trPr>
        <w:tc>
          <w:tcPr>
            <w:tcW w:w="4480" w:type="dxa"/>
            <w:tcBorders>
              <w:top w:val="nil"/>
              <w:left w:val="single" w:sz="8" w:space="0" w:color="67B93E"/>
              <w:bottom w:val="single" w:sz="8" w:space="0" w:color="67B93E"/>
              <w:right w:val="single" w:sz="8" w:space="0" w:color="67B93E"/>
            </w:tcBorders>
            <w:shd w:val="clear" w:color="000000" w:fill="F2F2F2"/>
            <w:vAlign w:val="center"/>
            <w:hideMark/>
          </w:tcPr>
          <w:p w14:paraId="3B316001" w14:textId="77777777" w:rsidR="006264C1" w:rsidRPr="006264C1" w:rsidRDefault="006264C1" w:rsidP="006264C1">
            <w:pPr>
              <w:widowControl/>
              <w:autoSpaceDE/>
              <w:autoSpaceDN/>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Signos y síntomas mal definidos</w:t>
            </w:r>
          </w:p>
        </w:tc>
        <w:tc>
          <w:tcPr>
            <w:tcW w:w="820" w:type="dxa"/>
            <w:tcBorders>
              <w:top w:val="nil"/>
              <w:left w:val="nil"/>
              <w:bottom w:val="single" w:sz="8" w:space="0" w:color="67B93E"/>
              <w:right w:val="single" w:sz="8" w:space="0" w:color="67B93E"/>
            </w:tcBorders>
            <w:shd w:val="clear" w:color="000000" w:fill="F2F2F2"/>
            <w:vAlign w:val="center"/>
            <w:hideMark/>
          </w:tcPr>
          <w:p w14:paraId="703CDC3A"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81</w:t>
            </w:r>
          </w:p>
        </w:tc>
        <w:tc>
          <w:tcPr>
            <w:tcW w:w="900" w:type="dxa"/>
            <w:tcBorders>
              <w:top w:val="nil"/>
              <w:left w:val="nil"/>
              <w:bottom w:val="single" w:sz="8" w:space="0" w:color="67B93E"/>
              <w:right w:val="single" w:sz="8" w:space="0" w:color="67B93E"/>
            </w:tcBorders>
            <w:shd w:val="clear" w:color="000000" w:fill="F2F2F2"/>
            <w:vAlign w:val="center"/>
            <w:hideMark/>
          </w:tcPr>
          <w:p w14:paraId="69D9A36A"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2,00%</w:t>
            </w:r>
          </w:p>
        </w:tc>
        <w:tc>
          <w:tcPr>
            <w:tcW w:w="640" w:type="dxa"/>
            <w:tcBorders>
              <w:top w:val="nil"/>
              <w:left w:val="nil"/>
              <w:bottom w:val="single" w:sz="8" w:space="0" w:color="67B93E"/>
              <w:right w:val="single" w:sz="8" w:space="0" w:color="67B93E"/>
            </w:tcBorders>
            <w:shd w:val="clear" w:color="000000" w:fill="F2F2F2"/>
            <w:vAlign w:val="center"/>
            <w:hideMark/>
          </w:tcPr>
          <w:p w14:paraId="5D5F0D92"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66</w:t>
            </w:r>
          </w:p>
        </w:tc>
        <w:tc>
          <w:tcPr>
            <w:tcW w:w="820" w:type="dxa"/>
            <w:tcBorders>
              <w:top w:val="nil"/>
              <w:left w:val="nil"/>
              <w:bottom w:val="single" w:sz="8" w:space="0" w:color="67B93E"/>
              <w:right w:val="single" w:sz="8" w:space="0" w:color="67B93E"/>
            </w:tcBorders>
            <w:shd w:val="clear" w:color="000000" w:fill="F2F2F2"/>
            <w:vAlign w:val="center"/>
            <w:hideMark/>
          </w:tcPr>
          <w:p w14:paraId="229881BE"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1,42%</w:t>
            </w:r>
          </w:p>
        </w:tc>
        <w:tc>
          <w:tcPr>
            <w:tcW w:w="1240" w:type="dxa"/>
            <w:tcBorders>
              <w:top w:val="nil"/>
              <w:left w:val="nil"/>
              <w:bottom w:val="single" w:sz="8" w:space="0" w:color="67B93E"/>
              <w:right w:val="single" w:sz="8" w:space="0" w:color="67B93E"/>
            </w:tcBorders>
            <w:shd w:val="clear" w:color="000000" w:fill="F2F2F2"/>
            <w:vAlign w:val="center"/>
            <w:hideMark/>
          </w:tcPr>
          <w:p w14:paraId="4FB6187C"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val="es-CO" w:eastAsia="es-CO"/>
              </w:rPr>
              <w:t>-0,58%</w:t>
            </w:r>
          </w:p>
        </w:tc>
      </w:tr>
      <w:tr w:rsidR="006264C1" w:rsidRPr="006264C1" w14:paraId="7D9E457D" w14:textId="77777777" w:rsidTr="006264C1">
        <w:trPr>
          <w:trHeight w:val="420"/>
        </w:trPr>
        <w:tc>
          <w:tcPr>
            <w:tcW w:w="4480" w:type="dxa"/>
            <w:tcBorders>
              <w:top w:val="nil"/>
              <w:left w:val="single" w:sz="8" w:space="0" w:color="67B93E"/>
              <w:bottom w:val="single" w:sz="8" w:space="0" w:color="67B93E"/>
              <w:right w:val="single" w:sz="8" w:space="0" w:color="67B93E"/>
            </w:tcBorders>
            <w:shd w:val="clear" w:color="000000" w:fill="FFFFFF"/>
            <w:vAlign w:val="center"/>
            <w:hideMark/>
          </w:tcPr>
          <w:p w14:paraId="0E483C83" w14:textId="77777777" w:rsidR="006264C1" w:rsidRPr="006264C1" w:rsidRDefault="006264C1" w:rsidP="006264C1">
            <w:pPr>
              <w:widowControl/>
              <w:autoSpaceDE/>
              <w:autoSpaceDN/>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Condiciones materno perinatales</w:t>
            </w:r>
          </w:p>
        </w:tc>
        <w:tc>
          <w:tcPr>
            <w:tcW w:w="820" w:type="dxa"/>
            <w:tcBorders>
              <w:top w:val="nil"/>
              <w:left w:val="nil"/>
              <w:bottom w:val="single" w:sz="8" w:space="0" w:color="67B93E"/>
              <w:right w:val="single" w:sz="8" w:space="0" w:color="67B93E"/>
            </w:tcBorders>
            <w:shd w:val="clear" w:color="000000" w:fill="FFFFFF"/>
            <w:vAlign w:val="center"/>
            <w:hideMark/>
          </w:tcPr>
          <w:p w14:paraId="044613A8"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22</w:t>
            </w:r>
          </w:p>
        </w:tc>
        <w:tc>
          <w:tcPr>
            <w:tcW w:w="900" w:type="dxa"/>
            <w:tcBorders>
              <w:top w:val="nil"/>
              <w:left w:val="nil"/>
              <w:bottom w:val="single" w:sz="8" w:space="0" w:color="67B93E"/>
              <w:right w:val="single" w:sz="8" w:space="0" w:color="67B93E"/>
            </w:tcBorders>
            <w:shd w:val="clear" w:color="000000" w:fill="FFFFFF"/>
            <w:vAlign w:val="center"/>
            <w:hideMark/>
          </w:tcPr>
          <w:p w14:paraId="0F6CD200"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0,50%</w:t>
            </w:r>
          </w:p>
        </w:tc>
        <w:tc>
          <w:tcPr>
            <w:tcW w:w="640" w:type="dxa"/>
            <w:tcBorders>
              <w:top w:val="nil"/>
              <w:left w:val="nil"/>
              <w:bottom w:val="single" w:sz="8" w:space="0" w:color="67B93E"/>
              <w:right w:val="single" w:sz="8" w:space="0" w:color="67B93E"/>
            </w:tcBorders>
            <w:shd w:val="clear" w:color="000000" w:fill="FFFFFF"/>
            <w:vAlign w:val="center"/>
            <w:hideMark/>
          </w:tcPr>
          <w:p w14:paraId="5CC105CB"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118</w:t>
            </w:r>
          </w:p>
        </w:tc>
        <w:tc>
          <w:tcPr>
            <w:tcW w:w="820" w:type="dxa"/>
            <w:tcBorders>
              <w:top w:val="nil"/>
              <w:left w:val="nil"/>
              <w:bottom w:val="single" w:sz="8" w:space="0" w:color="67B93E"/>
              <w:right w:val="single" w:sz="8" w:space="0" w:color="67B93E"/>
            </w:tcBorders>
            <w:shd w:val="clear" w:color="000000" w:fill="FFFFFF"/>
            <w:vAlign w:val="center"/>
            <w:hideMark/>
          </w:tcPr>
          <w:p w14:paraId="740814A2"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2,55%</w:t>
            </w:r>
          </w:p>
        </w:tc>
        <w:tc>
          <w:tcPr>
            <w:tcW w:w="1240" w:type="dxa"/>
            <w:tcBorders>
              <w:top w:val="nil"/>
              <w:left w:val="nil"/>
              <w:bottom w:val="single" w:sz="8" w:space="0" w:color="67B93E"/>
              <w:right w:val="single" w:sz="8" w:space="0" w:color="67B93E"/>
            </w:tcBorders>
            <w:shd w:val="clear" w:color="000000" w:fill="FFFFFF"/>
            <w:vAlign w:val="center"/>
            <w:hideMark/>
          </w:tcPr>
          <w:p w14:paraId="750C8D86"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val="es-CO" w:eastAsia="es-CO"/>
              </w:rPr>
              <w:t>2,05%</w:t>
            </w:r>
          </w:p>
        </w:tc>
      </w:tr>
      <w:tr w:rsidR="006264C1" w:rsidRPr="006264C1" w14:paraId="1194AA9F" w14:textId="77777777" w:rsidTr="006264C1">
        <w:trPr>
          <w:trHeight w:val="420"/>
        </w:trPr>
        <w:tc>
          <w:tcPr>
            <w:tcW w:w="4480" w:type="dxa"/>
            <w:tcBorders>
              <w:top w:val="nil"/>
              <w:left w:val="single" w:sz="8" w:space="0" w:color="67B93E"/>
              <w:bottom w:val="single" w:sz="8" w:space="0" w:color="67B93E"/>
              <w:right w:val="single" w:sz="8" w:space="0" w:color="67B93E"/>
            </w:tcBorders>
            <w:shd w:val="clear" w:color="000000" w:fill="F2F2F2"/>
            <w:vAlign w:val="center"/>
            <w:hideMark/>
          </w:tcPr>
          <w:p w14:paraId="3BDCB755" w14:textId="77777777" w:rsidR="006264C1" w:rsidRPr="006264C1" w:rsidRDefault="006264C1" w:rsidP="006264C1">
            <w:pPr>
              <w:widowControl/>
              <w:autoSpaceDE/>
              <w:autoSpaceDN/>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Factores que influyen en el estado de salud y contacto con los servicios de salud (Z00-Z99)</w:t>
            </w:r>
          </w:p>
        </w:tc>
        <w:tc>
          <w:tcPr>
            <w:tcW w:w="820" w:type="dxa"/>
            <w:tcBorders>
              <w:top w:val="nil"/>
              <w:left w:val="nil"/>
              <w:bottom w:val="single" w:sz="8" w:space="0" w:color="67B93E"/>
              <w:right w:val="single" w:sz="8" w:space="0" w:color="67B93E"/>
            </w:tcBorders>
            <w:shd w:val="clear" w:color="000000" w:fill="F2F2F2"/>
            <w:vAlign w:val="center"/>
            <w:hideMark/>
          </w:tcPr>
          <w:p w14:paraId="1D721983"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8</w:t>
            </w:r>
          </w:p>
        </w:tc>
        <w:tc>
          <w:tcPr>
            <w:tcW w:w="900" w:type="dxa"/>
            <w:tcBorders>
              <w:top w:val="nil"/>
              <w:left w:val="nil"/>
              <w:bottom w:val="single" w:sz="8" w:space="0" w:color="67B93E"/>
              <w:right w:val="single" w:sz="8" w:space="0" w:color="67B93E"/>
            </w:tcBorders>
            <w:shd w:val="clear" w:color="000000" w:fill="F2F2F2"/>
            <w:vAlign w:val="center"/>
            <w:hideMark/>
          </w:tcPr>
          <w:p w14:paraId="3D498411"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0,20%</w:t>
            </w:r>
          </w:p>
        </w:tc>
        <w:tc>
          <w:tcPr>
            <w:tcW w:w="640" w:type="dxa"/>
            <w:tcBorders>
              <w:top w:val="nil"/>
              <w:left w:val="nil"/>
              <w:bottom w:val="single" w:sz="8" w:space="0" w:color="67B93E"/>
              <w:right w:val="single" w:sz="8" w:space="0" w:color="67B93E"/>
            </w:tcBorders>
            <w:shd w:val="clear" w:color="000000" w:fill="F2F2F2"/>
            <w:vAlign w:val="center"/>
            <w:hideMark/>
          </w:tcPr>
          <w:p w14:paraId="485C52F9"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10</w:t>
            </w:r>
          </w:p>
        </w:tc>
        <w:tc>
          <w:tcPr>
            <w:tcW w:w="820" w:type="dxa"/>
            <w:tcBorders>
              <w:top w:val="nil"/>
              <w:left w:val="nil"/>
              <w:bottom w:val="single" w:sz="8" w:space="0" w:color="67B93E"/>
              <w:right w:val="single" w:sz="8" w:space="0" w:color="67B93E"/>
            </w:tcBorders>
            <w:shd w:val="clear" w:color="000000" w:fill="F2F2F2"/>
            <w:vAlign w:val="center"/>
            <w:hideMark/>
          </w:tcPr>
          <w:p w14:paraId="18E7E949"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eastAsia="es-CO"/>
              </w:rPr>
              <w:t>0,22%</w:t>
            </w:r>
          </w:p>
        </w:tc>
        <w:tc>
          <w:tcPr>
            <w:tcW w:w="1240" w:type="dxa"/>
            <w:tcBorders>
              <w:top w:val="nil"/>
              <w:left w:val="nil"/>
              <w:bottom w:val="single" w:sz="8" w:space="0" w:color="67B93E"/>
              <w:right w:val="single" w:sz="8" w:space="0" w:color="67B93E"/>
            </w:tcBorders>
            <w:shd w:val="clear" w:color="000000" w:fill="F2F2F2"/>
            <w:vAlign w:val="center"/>
            <w:hideMark/>
          </w:tcPr>
          <w:p w14:paraId="13ED4C4C" w14:textId="77777777" w:rsidR="006264C1" w:rsidRPr="006264C1" w:rsidRDefault="006264C1" w:rsidP="006264C1">
            <w:pPr>
              <w:widowControl/>
              <w:autoSpaceDE/>
              <w:autoSpaceDN/>
              <w:jc w:val="center"/>
              <w:rPr>
                <w:rFonts w:ascii="Humanst521 BT" w:eastAsia="Times New Roman" w:hAnsi="Humanst521 BT" w:cs="Calibri"/>
                <w:color w:val="000000"/>
                <w:sz w:val="20"/>
                <w:szCs w:val="20"/>
                <w:lang w:val="es-CO" w:eastAsia="es-CO"/>
              </w:rPr>
            </w:pPr>
            <w:r w:rsidRPr="006264C1">
              <w:rPr>
                <w:rFonts w:ascii="Humanst521 BT" w:eastAsia="Times New Roman" w:hAnsi="Humanst521 BT" w:cs="Calibri"/>
                <w:color w:val="000000"/>
                <w:sz w:val="20"/>
                <w:szCs w:val="20"/>
                <w:lang w:val="es-CO" w:eastAsia="es-CO"/>
              </w:rPr>
              <w:t>0,02%</w:t>
            </w:r>
          </w:p>
        </w:tc>
      </w:tr>
      <w:tr w:rsidR="006264C1" w:rsidRPr="006264C1" w14:paraId="1D7B53E7" w14:textId="77777777" w:rsidTr="006264C1">
        <w:trPr>
          <w:trHeight w:val="435"/>
        </w:trPr>
        <w:tc>
          <w:tcPr>
            <w:tcW w:w="4480" w:type="dxa"/>
            <w:tcBorders>
              <w:top w:val="nil"/>
              <w:left w:val="single" w:sz="8" w:space="0" w:color="67B93E"/>
              <w:bottom w:val="single" w:sz="8" w:space="0" w:color="67B93E"/>
              <w:right w:val="single" w:sz="8" w:space="0" w:color="67B93E"/>
            </w:tcBorders>
            <w:shd w:val="clear" w:color="000000" w:fill="C5E0B3"/>
            <w:vAlign w:val="center"/>
            <w:hideMark/>
          </w:tcPr>
          <w:p w14:paraId="0F625348"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Total</w:t>
            </w:r>
          </w:p>
        </w:tc>
        <w:tc>
          <w:tcPr>
            <w:tcW w:w="820" w:type="dxa"/>
            <w:tcBorders>
              <w:top w:val="nil"/>
              <w:left w:val="nil"/>
              <w:bottom w:val="single" w:sz="8" w:space="0" w:color="67B93E"/>
              <w:right w:val="single" w:sz="8" w:space="0" w:color="67B93E"/>
            </w:tcBorders>
            <w:shd w:val="clear" w:color="000000" w:fill="C5E0B3"/>
            <w:vAlign w:val="center"/>
            <w:hideMark/>
          </w:tcPr>
          <w:p w14:paraId="4A21A981"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4.002</w:t>
            </w:r>
          </w:p>
        </w:tc>
        <w:tc>
          <w:tcPr>
            <w:tcW w:w="900" w:type="dxa"/>
            <w:tcBorders>
              <w:top w:val="nil"/>
              <w:left w:val="nil"/>
              <w:bottom w:val="single" w:sz="8" w:space="0" w:color="67B93E"/>
              <w:right w:val="single" w:sz="8" w:space="0" w:color="67B93E"/>
            </w:tcBorders>
            <w:shd w:val="clear" w:color="000000" w:fill="C5E0B3"/>
            <w:vAlign w:val="center"/>
            <w:hideMark/>
          </w:tcPr>
          <w:p w14:paraId="0870841F"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100%</w:t>
            </w:r>
          </w:p>
        </w:tc>
        <w:tc>
          <w:tcPr>
            <w:tcW w:w="640" w:type="dxa"/>
            <w:tcBorders>
              <w:top w:val="nil"/>
              <w:left w:val="nil"/>
              <w:bottom w:val="single" w:sz="8" w:space="0" w:color="67B93E"/>
              <w:right w:val="single" w:sz="8" w:space="0" w:color="67B93E"/>
            </w:tcBorders>
            <w:shd w:val="clear" w:color="000000" w:fill="C5E0B3"/>
            <w:vAlign w:val="center"/>
            <w:hideMark/>
          </w:tcPr>
          <w:p w14:paraId="5F894CF6"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4.633</w:t>
            </w:r>
          </w:p>
        </w:tc>
        <w:tc>
          <w:tcPr>
            <w:tcW w:w="820" w:type="dxa"/>
            <w:tcBorders>
              <w:top w:val="nil"/>
              <w:left w:val="nil"/>
              <w:bottom w:val="single" w:sz="8" w:space="0" w:color="67B93E"/>
              <w:right w:val="single" w:sz="8" w:space="0" w:color="67B93E"/>
            </w:tcBorders>
            <w:shd w:val="clear" w:color="000000" w:fill="C5E0B3"/>
            <w:vAlign w:val="center"/>
            <w:hideMark/>
          </w:tcPr>
          <w:p w14:paraId="315A5FF2"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eastAsia="es-CO"/>
              </w:rPr>
              <w:t>100%</w:t>
            </w:r>
          </w:p>
        </w:tc>
        <w:tc>
          <w:tcPr>
            <w:tcW w:w="1240" w:type="dxa"/>
            <w:tcBorders>
              <w:top w:val="nil"/>
              <w:left w:val="nil"/>
              <w:bottom w:val="single" w:sz="8" w:space="0" w:color="67B93E"/>
              <w:right w:val="single" w:sz="8" w:space="0" w:color="67B93E"/>
            </w:tcBorders>
            <w:shd w:val="clear" w:color="000000" w:fill="C5E0B3"/>
            <w:vAlign w:val="center"/>
            <w:hideMark/>
          </w:tcPr>
          <w:p w14:paraId="731F93F0" w14:textId="77777777" w:rsidR="006264C1" w:rsidRPr="006264C1" w:rsidRDefault="006264C1" w:rsidP="006264C1">
            <w:pPr>
              <w:widowControl/>
              <w:autoSpaceDE/>
              <w:autoSpaceDN/>
              <w:jc w:val="center"/>
              <w:rPr>
                <w:rFonts w:ascii="Humanst521 BT" w:eastAsia="Times New Roman" w:hAnsi="Humanst521 BT" w:cs="Calibri"/>
                <w:b/>
                <w:bCs/>
                <w:color w:val="000000"/>
                <w:sz w:val="20"/>
                <w:szCs w:val="20"/>
                <w:lang w:val="es-CO" w:eastAsia="es-CO"/>
              </w:rPr>
            </w:pPr>
            <w:r w:rsidRPr="006264C1">
              <w:rPr>
                <w:rFonts w:ascii="Humanst521 BT" w:eastAsia="Times New Roman" w:hAnsi="Humanst521 BT" w:cs="Calibri"/>
                <w:b/>
                <w:bCs/>
                <w:color w:val="000000"/>
                <w:sz w:val="20"/>
                <w:szCs w:val="20"/>
                <w:lang w:val="es-CO" w:eastAsia="es-CO"/>
              </w:rPr>
              <w:t> </w:t>
            </w:r>
          </w:p>
        </w:tc>
      </w:tr>
    </w:tbl>
    <w:p w14:paraId="615066F8" w14:textId="0B8364ED" w:rsidR="00E406EC" w:rsidRDefault="00E406EC" w:rsidP="002D0DFB">
      <w:pPr>
        <w:pStyle w:val="Textopredeterminado"/>
        <w:rPr>
          <w:rFonts w:cstheme="minorHAnsi"/>
          <w:szCs w:val="22"/>
          <w:lang w:val="es-ES"/>
        </w:rPr>
      </w:pPr>
    </w:p>
    <w:p w14:paraId="086BEFA5" w14:textId="77777777" w:rsidR="00037D6C" w:rsidRDefault="00037D6C" w:rsidP="00037D6C">
      <w:pPr>
        <w:pStyle w:val="Textopredeterminado"/>
        <w:rPr>
          <w:rFonts w:eastAsia="Verdana" w:cs="Verdana"/>
          <w:szCs w:val="22"/>
          <w:lang w:val="es-ES" w:eastAsia="en-US"/>
        </w:rPr>
      </w:pPr>
      <w:r w:rsidRPr="00EE2A46">
        <w:rPr>
          <w:rFonts w:eastAsia="Verdana" w:cs="Verdana"/>
          <w:szCs w:val="22"/>
          <w:lang w:val="es-ES" w:eastAsia="en-US"/>
        </w:rPr>
        <w:t>El comportamiento de los días de incapacidad por grupo de evento entre 2024 y 2025 evidencia una mayor concentración en enfermedades no transmisibles, las cuales incrementan su participación de 55,80% a 57,67% (+1,87 puntos porcentuales), consolidándose como la principal causa de incapacidad en la población afiliada. Este resultado sugiere un impacto creciente de las enfermedades crónicas en la pérdida de días laborales o funcionales, lo cual es consistente con el perfil epidemiológico y plantea la necesidad de fortalecer estrategias de control, seguimiento y rehabilitación para reducir su impacto en la productividad y calidad de vida.</w:t>
      </w:r>
    </w:p>
    <w:p w14:paraId="2FD53A80" w14:textId="77777777" w:rsidR="00037D6C" w:rsidRDefault="00037D6C" w:rsidP="00037D6C">
      <w:pPr>
        <w:pStyle w:val="Textopredeterminado"/>
        <w:rPr>
          <w:rFonts w:eastAsia="Verdana" w:cs="Verdana"/>
          <w:szCs w:val="22"/>
          <w:lang w:val="es-ES" w:eastAsia="en-US"/>
        </w:rPr>
      </w:pPr>
    </w:p>
    <w:p w14:paraId="22321043" w14:textId="77777777" w:rsidR="00037D6C" w:rsidRDefault="00037D6C" w:rsidP="00037D6C">
      <w:pPr>
        <w:pStyle w:val="Textopredeterminado"/>
        <w:rPr>
          <w:rFonts w:cstheme="minorHAnsi"/>
          <w:szCs w:val="22"/>
          <w:lang w:val="es-ES"/>
        </w:rPr>
      </w:pPr>
      <w:r>
        <w:t xml:space="preserve">En contraste, las condiciones transmisibles y nutricionales disminuyen (-3,00 </w:t>
      </w:r>
      <w:proofErr w:type="spellStart"/>
      <w:r>
        <w:t>pp</w:t>
      </w:r>
      <w:proofErr w:type="spellEnd"/>
      <w:r>
        <w:t xml:space="preserve">), mientras que las lesiones se mantienen relativamente estables, lo que indica una carga constante asociada a causas externas. Se destaca además el incremento de las condiciones materno perinatales (+2,05 </w:t>
      </w:r>
      <w:proofErr w:type="spellStart"/>
      <w:r>
        <w:t>pp</w:t>
      </w:r>
      <w:proofErr w:type="spellEnd"/>
      <w:r>
        <w:t xml:space="preserve">), que, aunque con menor peso, presentan el mayor cambio relativo. En conjunto, estos resultados reflejan </w:t>
      </w:r>
      <w:r w:rsidRPr="00D31CE4">
        <w:rPr>
          <w:rStyle w:val="Textoennegrita"/>
        </w:rPr>
        <w:t>variaciones leves dentro de un patrón históricamente consistente</w:t>
      </w:r>
      <w:r w:rsidRPr="00D31CE4">
        <w:t>, asociado principalmente a enfermedades crónicas, lo que refuerza la necesidad de fortalecer estrategias de control y reducción del impacto funcional en</w:t>
      </w:r>
      <w:r>
        <w:t xml:space="preserve"> la población.</w:t>
      </w:r>
    </w:p>
    <w:p w14:paraId="75A6AEAB" w14:textId="77777777" w:rsidR="00037D6C" w:rsidRDefault="00037D6C" w:rsidP="00037D6C">
      <w:pPr>
        <w:jc w:val="both"/>
        <w:rPr>
          <w:rFonts w:ascii="Humanst521 BT" w:hAnsi="Humanst521 BT" w:cstheme="minorHAnsi"/>
        </w:rPr>
      </w:pPr>
    </w:p>
    <w:p w14:paraId="5DEE8A1B" w14:textId="5360BD39" w:rsidR="002D0DFB" w:rsidRPr="00CE4C20" w:rsidRDefault="002D0DFB" w:rsidP="002D0DFB">
      <w:pPr>
        <w:pStyle w:val="Textopredeterminado"/>
        <w:rPr>
          <w:rFonts w:cstheme="minorHAnsi"/>
          <w:color w:val="FF0000"/>
          <w:szCs w:val="22"/>
          <w:lang w:val="es-ES"/>
        </w:rPr>
      </w:pPr>
    </w:p>
    <w:p w14:paraId="23351CA1" w14:textId="051840E2" w:rsidR="002D0DFB" w:rsidRDefault="00531B05" w:rsidP="002D0DFB">
      <w:pPr>
        <w:pStyle w:val="Textopredeterminado"/>
        <w:rPr>
          <w:rFonts w:cstheme="minorBidi"/>
          <w:szCs w:val="22"/>
        </w:rPr>
      </w:pPr>
      <w:bookmarkStart w:id="137" w:name="_Toc191305189"/>
      <w:bookmarkStart w:id="138" w:name="_Toc231286767"/>
      <w:r w:rsidRPr="007F0FA7">
        <w:rPr>
          <w:rFonts w:eastAsia="Verdana" w:cs="Verdana"/>
          <w:szCs w:val="22"/>
          <w:lang w:val="es-ES"/>
        </w:rPr>
        <w:t xml:space="preserve">Figura  </w:t>
      </w:r>
      <w:r w:rsidRPr="007F0FA7">
        <w:rPr>
          <w:rFonts w:eastAsia="Verdana" w:cs="Verdana"/>
          <w:b/>
          <w:bCs/>
          <w:szCs w:val="22"/>
          <w:lang w:val="es-ES"/>
        </w:rPr>
        <w:fldChar w:fldCharType="begin"/>
      </w:r>
      <w:r w:rsidRPr="007F0FA7">
        <w:rPr>
          <w:rFonts w:eastAsia="Verdana" w:cs="Verdana"/>
          <w:szCs w:val="22"/>
          <w:lang w:val="es-ES"/>
        </w:rPr>
        <w:instrText xml:space="preserve"> SEQ Figura_ \* ARABIC </w:instrText>
      </w:r>
      <w:r w:rsidRPr="007F0FA7">
        <w:rPr>
          <w:rFonts w:eastAsia="Verdana" w:cs="Verdana"/>
          <w:b/>
          <w:bCs/>
          <w:szCs w:val="22"/>
          <w:lang w:val="es-ES"/>
        </w:rPr>
        <w:fldChar w:fldCharType="separate"/>
      </w:r>
      <w:r>
        <w:rPr>
          <w:rFonts w:eastAsia="Verdana" w:cs="Verdana"/>
          <w:noProof/>
          <w:szCs w:val="22"/>
          <w:lang w:val="es-ES"/>
        </w:rPr>
        <w:t>5</w:t>
      </w:r>
      <w:r w:rsidRPr="007F0FA7">
        <w:rPr>
          <w:rFonts w:eastAsia="Verdana" w:cs="Verdana"/>
          <w:b/>
          <w:bCs/>
          <w:szCs w:val="22"/>
          <w:lang w:val="es-ES"/>
        </w:rPr>
        <w:fldChar w:fldCharType="end"/>
      </w:r>
      <w:r>
        <w:rPr>
          <w:rFonts w:eastAsia="Verdana" w:cs="Verdana"/>
          <w:szCs w:val="22"/>
          <w:lang w:val="es-ES"/>
        </w:rPr>
        <w:t>.</w:t>
      </w:r>
      <w:r w:rsidR="002D0DFB" w:rsidRPr="00CE4C20">
        <w:rPr>
          <w:rFonts w:cstheme="minorBidi"/>
          <w:szCs w:val="22"/>
        </w:rPr>
        <w:t>Distribución de número de días por clasificación de afiliado</w:t>
      </w:r>
      <w:bookmarkEnd w:id="137"/>
      <w:bookmarkEnd w:id="138"/>
    </w:p>
    <w:p w14:paraId="42293BB9" w14:textId="77777777" w:rsidR="00F055B1" w:rsidRDefault="00F055B1" w:rsidP="002D0DFB">
      <w:pPr>
        <w:pStyle w:val="Textopredeterminado"/>
        <w:rPr>
          <w:rFonts w:cstheme="minorBidi"/>
          <w:szCs w:val="22"/>
        </w:rPr>
      </w:pPr>
    </w:p>
    <w:p w14:paraId="479818C4" w14:textId="77777777" w:rsidR="002D0DFB" w:rsidRPr="00CE4C20" w:rsidRDefault="002D0DFB" w:rsidP="002D0DFB">
      <w:pPr>
        <w:pStyle w:val="Textopredeterminado"/>
        <w:rPr>
          <w:rFonts w:cstheme="minorBidi"/>
          <w:color w:val="FF0000"/>
          <w:szCs w:val="22"/>
        </w:rPr>
      </w:pPr>
    </w:p>
    <w:p w14:paraId="2579CA9E" w14:textId="10C38CE6" w:rsidR="002D0DFB" w:rsidRDefault="0015010F" w:rsidP="00657DEE">
      <w:pPr>
        <w:pStyle w:val="Textopredeterminado"/>
        <w:jc w:val="center"/>
        <w:rPr>
          <w:rFonts w:cstheme="minorHAnsi"/>
          <w:szCs w:val="22"/>
          <w:lang w:val="es-ES"/>
        </w:rPr>
      </w:pPr>
      <w:r w:rsidRPr="0015010F">
        <w:rPr>
          <w:noProof/>
          <w:shd w:val="clear" w:color="auto" w:fill="92D050"/>
        </w:rPr>
        <w:drawing>
          <wp:inline distT="0" distB="0" distL="0" distR="0" wp14:anchorId="390109A7" wp14:editId="0345689E">
            <wp:extent cx="4572000" cy="2209800"/>
            <wp:effectExtent l="0" t="0" r="0" b="0"/>
            <wp:docPr id="27" name="Gráfico 27">
              <a:extLst xmlns:a="http://schemas.openxmlformats.org/drawingml/2006/main">
                <a:ext uri="{FF2B5EF4-FFF2-40B4-BE49-F238E27FC236}">
                  <a16:creationId xmlns:a16="http://schemas.microsoft.com/office/drawing/2014/main" id="{2FBA7C9E-B3D7-4BC7-9CFC-EE7BFB23C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5EE68A" w14:textId="37CB1A2F" w:rsidR="002D0DFB" w:rsidRPr="00CE4C20" w:rsidRDefault="002D0DFB" w:rsidP="002D0DFB">
      <w:pPr>
        <w:pStyle w:val="Textopredeterminado"/>
        <w:rPr>
          <w:rFonts w:cstheme="minorHAnsi"/>
          <w:szCs w:val="22"/>
          <w:lang w:val="es-ES"/>
        </w:rPr>
      </w:pPr>
      <w:r w:rsidRPr="00CE4C20">
        <w:rPr>
          <w:rFonts w:cstheme="minorHAnsi"/>
          <w:szCs w:val="22"/>
          <w:lang w:val="es-ES"/>
        </w:rPr>
        <w:t>Fuente: UISALUD, 202</w:t>
      </w:r>
      <w:r w:rsidR="0015010F">
        <w:rPr>
          <w:rFonts w:cstheme="minorHAnsi"/>
          <w:szCs w:val="22"/>
          <w:lang w:val="es-ES"/>
        </w:rPr>
        <w:t>5</w:t>
      </w:r>
    </w:p>
    <w:p w14:paraId="6FBF1F7C" w14:textId="77777777" w:rsidR="002D0DFB" w:rsidRPr="00CE4C20" w:rsidRDefault="002D0DFB" w:rsidP="002D0DFB">
      <w:pPr>
        <w:pStyle w:val="Textopredeterminado"/>
        <w:rPr>
          <w:rFonts w:cstheme="minorHAnsi"/>
          <w:color w:val="FF0000"/>
          <w:szCs w:val="22"/>
          <w:lang w:val="es-ES"/>
        </w:rPr>
      </w:pPr>
    </w:p>
    <w:p w14:paraId="392CDB16" w14:textId="68E2EC2E" w:rsidR="002D0DFB" w:rsidRPr="009625B1" w:rsidRDefault="009625B1" w:rsidP="002D0DFB">
      <w:pPr>
        <w:jc w:val="both"/>
        <w:rPr>
          <w:rFonts w:ascii="Humanst521 BT" w:hAnsi="Humanst521 BT"/>
        </w:rPr>
      </w:pPr>
      <w:r w:rsidRPr="009625B1">
        <w:rPr>
          <w:rFonts w:ascii="Humanst521 BT" w:hAnsi="Humanst521 BT"/>
        </w:rPr>
        <w:lastRenderedPageBreak/>
        <w:t>El análisis de la distribución de incapacidades por tipo de vinculación muestra un comportamiento relativamente estable entre profesores y personal administrativo, sin cambios estructurales en el periodo. En 2023, los profesores concentraban el 52,1% de las incapacidades, proporción que disminuye en 2024 (44%), con una posterior recuperación (48,2%), mientras que el personal administrativo presenta el comportamiento inverso, pasando de 47,9% en 2023 a 56% en 2024 y luego a 51,8%. Estas variaciones sugieren fluctuaciones en la distribución, pero sin modificar el equilibrio global entre ambos grupos, lo que indica que la carga de incapacidades se mantiene compartida. Para la toma de decisiones, estos resultados orientan a implementar estrategias transversales de gestión del riesgo y bienestar laboral, dirigidas a ambos grupos ocupacionales, más que intervenciones focalizadas en uno solo.</w:t>
      </w:r>
    </w:p>
    <w:p w14:paraId="08DDAFBD" w14:textId="77777777" w:rsidR="002D0DFB" w:rsidRDefault="002D0DFB" w:rsidP="002D0DFB">
      <w:pPr>
        <w:jc w:val="both"/>
        <w:rPr>
          <w:rFonts w:ascii="Humanst521 BT" w:hAnsi="Humanst521 BT" w:cstheme="minorHAnsi"/>
          <w:color w:val="FF0000"/>
        </w:rPr>
      </w:pPr>
    </w:p>
    <w:p w14:paraId="3BABA9D8" w14:textId="77777777" w:rsidR="002D0DFB" w:rsidRDefault="002D0DFB" w:rsidP="002D0DFB">
      <w:pPr>
        <w:jc w:val="both"/>
        <w:rPr>
          <w:rFonts w:ascii="Humanst521 BT" w:hAnsi="Humanst521 BT" w:cstheme="minorHAnsi"/>
          <w:color w:val="FF0000"/>
        </w:rPr>
      </w:pPr>
    </w:p>
    <w:p w14:paraId="187A1A15" w14:textId="6DFFF8B9" w:rsidR="002D0DFB" w:rsidRPr="00CE4C20" w:rsidRDefault="002D0DFB" w:rsidP="002D0DFB">
      <w:pPr>
        <w:jc w:val="both"/>
        <w:rPr>
          <w:rFonts w:ascii="Humanst521 BT" w:hAnsi="Humanst521 BT" w:cstheme="minorHAnsi"/>
        </w:rPr>
      </w:pPr>
      <w:bookmarkStart w:id="139" w:name="_Toc158806904"/>
      <w:bookmarkStart w:id="140" w:name="_Toc207604692"/>
      <w:bookmarkStart w:id="141" w:name="_Toc231286278"/>
      <w:r w:rsidRPr="00CE4C20">
        <w:rPr>
          <w:rFonts w:ascii="Humanst521 BT" w:hAnsi="Humanst521 BT" w:cstheme="minorHAnsi"/>
        </w:rPr>
        <w:t xml:space="preserve">Tabla </w:t>
      </w:r>
      <w:r w:rsidRPr="00CE4C20">
        <w:rPr>
          <w:rFonts w:ascii="Humanst521 BT" w:hAnsi="Humanst521 BT" w:cstheme="minorHAnsi"/>
        </w:rPr>
        <w:fldChar w:fldCharType="begin"/>
      </w:r>
      <w:r w:rsidRPr="00CE4C20">
        <w:rPr>
          <w:rFonts w:ascii="Humanst521 BT" w:hAnsi="Humanst521 BT" w:cstheme="minorHAnsi"/>
        </w:rPr>
        <w:instrText xml:space="preserve"> SEQ Tabla \* ARABIC </w:instrText>
      </w:r>
      <w:r w:rsidRPr="00CE4C20">
        <w:rPr>
          <w:rFonts w:ascii="Humanst521 BT" w:hAnsi="Humanst521 BT" w:cstheme="minorHAnsi"/>
        </w:rPr>
        <w:fldChar w:fldCharType="separate"/>
      </w:r>
      <w:r w:rsidR="00D92A24">
        <w:rPr>
          <w:rFonts w:ascii="Humanst521 BT" w:hAnsi="Humanst521 BT" w:cstheme="minorHAnsi"/>
          <w:noProof/>
        </w:rPr>
        <w:t>33</w:t>
      </w:r>
      <w:r w:rsidRPr="00CE4C20">
        <w:rPr>
          <w:rFonts w:ascii="Humanst521 BT" w:hAnsi="Humanst521 BT" w:cstheme="minorHAnsi"/>
        </w:rPr>
        <w:fldChar w:fldCharType="end"/>
      </w:r>
      <w:r w:rsidRPr="00CE4C20">
        <w:rPr>
          <w:rFonts w:ascii="Humanst521 BT" w:hAnsi="Humanst521 BT" w:cstheme="minorHAnsi"/>
        </w:rPr>
        <w:t>. Causa agrupada de la incapacidad según número de días.</w:t>
      </w:r>
      <w:bookmarkEnd w:id="139"/>
      <w:bookmarkEnd w:id="140"/>
      <w:bookmarkEnd w:id="141"/>
    </w:p>
    <w:p w14:paraId="1F4755BF" w14:textId="77777777" w:rsidR="002D0DFB" w:rsidRPr="00CE4C20" w:rsidRDefault="002D0DFB" w:rsidP="002D0DFB">
      <w:pPr>
        <w:jc w:val="both"/>
        <w:rPr>
          <w:rFonts w:ascii="Humanst521 BT" w:hAnsi="Humanst521 BT" w:cstheme="minorBidi"/>
          <w:color w:val="FF0000"/>
        </w:rPr>
      </w:pPr>
    </w:p>
    <w:tbl>
      <w:tblPr>
        <w:tblW w:w="9480" w:type="dxa"/>
        <w:tblCellMar>
          <w:left w:w="70" w:type="dxa"/>
          <w:right w:w="70" w:type="dxa"/>
        </w:tblCellMar>
        <w:tblLook w:val="04A0" w:firstRow="1" w:lastRow="0" w:firstColumn="1" w:lastColumn="0" w:noHBand="0" w:noVBand="1"/>
      </w:tblPr>
      <w:tblGrid>
        <w:gridCol w:w="4120"/>
        <w:gridCol w:w="980"/>
        <w:gridCol w:w="1300"/>
        <w:gridCol w:w="920"/>
        <w:gridCol w:w="1060"/>
        <w:gridCol w:w="1100"/>
      </w:tblGrid>
      <w:tr w:rsidR="00273354" w:rsidRPr="00273354" w14:paraId="1BA9F026" w14:textId="77777777" w:rsidTr="00273354">
        <w:trPr>
          <w:trHeight w:val="375"/>
        </w:trPr>
        <w:tc>
          <w:tcPr>
            <w:tcW w:w="4120" w:type="dxa"/>
            <w:vMerge w:val="restar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454319B3" w14:textId="57D136B6" w:rsidR="00273354" w:rsidRPr="00273354" w:rsidRDefault="00BA4104" w:rsidP="00273354">
            <w:pPr>
              <w:widowControl/>
              <w:autoSpaceDE/>
              <w:autoSpaceDN/>
              <w:jc w:val="center"/>
              <w:rPr>
                <w:rFonts w:ascii="Humanst521 BT" w:eastAsia="Times New Roman" w:hAnsi="Humanst521 BT" w:cs="Calibri"/>
                <w:b/>
                <w:bCs/>
                <w:color w:val="000000"/>
                <w:sz w:val="20"/>
                <w:szCs w:val="20"/>
                <w:lang w:val="es-CO" w:eastAsia="es-CO"/>
              </w:rPr>
            </w:pPr>
            <w:r>
              <w:rPr>
                <w:rFonts w:ascii="Humanst521 BT" w:eastAsia="Times New Roman" w:hAnsi="Humanst521 BT" w:cs="Calibri"/>
                <w:b/>
                <w:bCs/>
                <w:color w:val="000000"/>
                <w:sz w:val="20"/>
                <w:lang w:eastAsia="es-CO"/>
              </w:rPr>
              <w:t>S</w:t>
            </w:r>
            <w:r w:rsidR="00273354" w:rsidRPr="00273354">
              <w:rPr>
                <w:rFonts w:ascii="Humanst521 BT" w:eastAsia="Times New Roman" w:hAnsi="Humanst521 BT" w:cs="Calibri"/>
                <w:b/>
                <w:bCs/>
                <w:color w:val="000000"/>
                <w:sz w:val="20"/>
                <w:lang w:eastAsia="es-CO"/>
              </w:rPr>
              <w:t>ubgrupo enfermedades no transmisibles- evento común</w:t>
            </w:r>
          </w:p>
        </w:tc>
        <w:tc>
          <w:tcPr>
            <w:tcW w:w="2280" w:type="dxa"/>
            <w:gridSpan w:val="2"/>
            <w:tcBorders>
              <w:top w:val="single" w:sz="8" w:space="0" w:color="67B93E"/>
              <w:left w:val="nil"/>
              <w:bottom w:val="single" w:sz="8" w:space="0" w:color="67B93E"/>
              <w:right w:val="single" w:sz="8" w:space="0" w:color="67B93E"/>
            </w:tcBorders>
            <w:shd w:val="clear" w:color="000000" w:fill="C5E0B3"/>
            <w:vAlign w:val="center"/>
            <w:hideMark/>
          </w:tcPr>
          <w:p w14:paraId="3A3DC012"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val="es-CO" w:eastAsia="es-CO"/>
              </w:rPr>
              <w:t>2024</w:t>
            </w:r>
          </w:p>
        </w:tc>
        <w:tc>
          <w:tcPr>
            <w:tcW w:w="1980" w:type="dxa"/>
            <w:gridSpan w:val="2"/>
            <w:tcBorders>
              <w:top w:val="single" w:sz="8" w:space="0" w:color="67B93E"/>
              <w:left w:val="nil"/>
              <w:bottom w:val="single" w:sz="8" w:space="0" w:color="67B93E"/>
              <w:right w:val="single" w:sz="8" w:space="0" w:color="67B93E"/>
            </w:tcBorders>
            <w:shd w:val="clear" w:color="000000" w:fill="C5E0B3"/>
            <w:vAlign w:val="center"/>
            <w:hideMark/>
          </w:tcPr>
          <w:p w14:paraId="6DFE366C"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val="es-CO" w:eastAsia="es-CO"/>
              </w:rPr>
              <w:t>2025</w:t>
            </w:r>
          </w:p>
        </w:tc>
        <w:tc>
          <w:tcPr>
            <w:tcW w:w="1100" w:type="dxa"/>
            <w:vMerge w:val="restart"/>
            <w:tcBorders>
              <w:top w:val="single" w:sz="8" w:space="0" w:color="67B93E"/>
              <w:left w:val="single" w:sz="8" w:space="0" w:color="67B93E"/>
              <w:bottom w:val="single" w:sz="8" w:space="0" w:color="67B93E"/>
              <w:right w:val="single" w:sz="8" w:space="0" w:color="67B93E"/>
            </w:tcBorders>
            <w:shd w:val="clear" w:color="000000" w:fill="C5E0B3"/>
            <w:vAlign w:val="center"/>
            <w:hideMark/>
          </w:tcPr>
          <w:p w14:paraId="4C7ABCCD"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val="es-CO" w:eastAsia="es-CO"/>
              </w:rPr>
              <w:t>Dif %</w:t>
            </w:r>
          </w:p>
        </w:tc>
      </w:tr>
      <w:tr w:rsidR="00273354" w:rsidRPr="00273354" w14:paraId="4B0CDDBE" w14:textId="77777777" w:rsidTr="00273354">
        <w:trPr>
          <w:trHeight w:val="375"/>
        </w:trPr>
        <w:tc>
          <w:tcPr>
            <w:tcW w:w="4120" w:type="dxa"/>
            <w:vMerge/>
            <w:tcBorders>
              <w:top w:val="single" w:sz="8" w:space="0" w:color="67B93E"/>
              <w:left w:val="single" w:sz="8" w:space="0" w:color="67B93E"/>
              <w:bottom w:val="single" w:sz="8" w:space="0" w:color="67B93E"/>
              <w:right w:val="single" w:sz="8" w:space="0" w:color="67B93E"/>
            </w:tcBorders>
            <w:vAlign w:val="center"/>
            <w:hideMark/>
          </w:tcPr>
          <w:p w14:paraId="616E95F4" w14:textId="77777777" w:rsidR="00273354" w:rsidRPr="00273354" w:rsidRDefault="00273354" w:rsidP="00273354">
            <w:pPr>
              <w:widowControl/>
              <w:autoSpaceDE/>
              <w:autoSpaceDN/>
              <w:rPr>
                <w:rFonts w:ascii="Humanst521 BT" w:eastAsia="Times New Roman" w:hAnsi="Humanst521 BT" w:cs="Calibri"/>
                <w:b/>
                <w:bCs/>
                <w:color w:val="000000"/>
                <w:sz w:val="20"/>
                <w:szCs w:val="20"/>
                <w:lang w:val="es-CO" w:eastAsia="es-CO"/>
              </w:rPr>
            </w:pPr>
          </w:p>
        </w:tc>
        <w:tc>
          <w:tcPr>
            <w:tcW w:w="980" w:type="dxa"/>
            <w:tcBorders>
              <w:top w:val="nil"/>
              <w:left w:val="nil"/>
              <w:bottom w:val="single" w:sz="8" w:space="0" w:color="67B93E"/>
              <w:right w:val="single" w:sz="8" w:space="0" w:color="67B93E"/>
            </w:tcBorders>
            <w:shd w:val="clear" w:color="000000" w:fill="C5E0B3"/>
            <w:vAlign w:val="center"/>
            <w:hideMark/>
          </w:tcPr>
          <w:p w14:paraId="6A7B9BA9"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Días</w:t>
            </w:r>
          </w:p>
        </w:tc>
        <w:tc>
          <w:tcPr>
            <w:tcW w:w="1300" w:type="dxa"/>
            <w:tcBorders>
              <w:top w:val="nil"/>
              <w:left w:val="nil"/>
              <w:bottom w:val="single" w:sz="8" w:space="0" w:color="67B93E"/>
              <w:right w:val="single" w:sz="8" w:space="0" w:color="67B93E"/>
            </w:tcBorders>
            <w:shd w:val="clear" w:color="000000" w:fill="C5E0B3"/>
            <w:vAlign w:val="center"/>
            <w:hideMark/>
          </w:tcPr>
          <w:p w14:paraId="230FA36C"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w:t>
            </w:r>
          </w:p>
        </w:tc>
        <w:tc>
          <w:tcPr>
            <w:tcW w:w="920" w:type="dxa"/>
            <w:tcBorders>
              <w:top w:val="nil"/>
              <w:left w:val="nil"/>
              <w:bottom w:val="single" w:sz="8" w:space="0" w:color="67B93E"/>
              <w:right w:val="single" w:sz="8" w:space="0" w:color="67B93E"/>
            </w:tcBorders>
            <w:shd w:val="clear" w:color="000000" w:fill="C5E0B3"/>
            <w:vAlign w:val="center"/>
            <w:hideMark/>
          </w:tcPr>
          <w:p w14:paraId="29FD37D5"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Días</w:t>
            </w:r>
          </w:p>
        </w:tc>
        <w:tc>
          <w:tcPr>
            <w:tcW w:w="1060" w:type="dxa"/>
            <w:tcBorders>
              <w:top w:val="nil"/>
              <w:left w:val="nil"/>
              <w:bottom w:val="single" w:sz="8" w:space="0" w:color="67B93E"/>
              <w:right w:val="nil"/>
            </w:tcBorders>
            <w:shd w:val="clear" w:color="000000" w:fill="C5E0B3"/>
            <w:vAlign w:val="center"/>
            <w:hideMark/>
          </w:tcPr>
          <w:p w14:paraId="7253B8CC"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w:t>
            </w:r>
          </w:p>
        </w:tc>
        <w:tc>
          <w:tcPr>
            <w:tcW w:w="1100" w:type="dxa"/>
            <w:vMerge/>
            <w:tcBorders>
              <w:top w:val="single" w:sz="8" w:space="0" w:color="67B93E"/>
              <w:left w:val="single" w:sz="8" w:space="0" w:color="67B93E"/>
              <w:bottom w:val="single" w:sz="8" w:space="0" w:color="67B93E"/>
              <w:right w:val="single" w:sz="8" w:space="0" w:color="67B93E"/>
            </w:tcBorders>
            <w:vAlign w:val="center"/>
            <w:hideMark/>
          </w:tcPr>
          <w:p w14:paraId="10E562D2" w14:textId="77777777" w:rsidR="00273354" w:rsidRPr="00273354" w:rsidRDefault="00273354" w:rsidP="00273354">
            <w:pPr>
              <w:widowControl/>
              <w:autoSpaceDE/>
              <w:autoSpaceDN/>
              <w:rPr>
                <w:rFonts w:ascii="Humanst521 BT" w:eastAsia="Times New Roman" w:hAnsi="Humanst521 BT" w:cs="Calibri"/>
                <w:b/>
                <w:bCs/>
                <w:color w:val="000000"/>
                <w:sz w:val="20"/>
                <w:szCs w:val="20"/>
                <w:lang w:val="es-CO" w:eastAsia="es-CO"/>
              </w:rPr>
            </w:pPr>
          </w:p>
        </w:tc>
      </w:tr>
      <w:tr w:rsidR="00273354" w:rsidRPr="00273354" w14:paraId="0C9C09E1"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FFFFF"/>
            <w:vAlign w:val="center"/>
            <w:hideMark/>
          </w:tcPr>
          <w:p w14:paraId="47A3987E"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Enfermedades musculoesqueléticas</w:t>
            </w:r>
          </w:p>
        </w:tc>
        <w:tc>
          <w:tcPr>
            <w:tcW w:w="980" w:type="dxa"/>
            <w:tcBorders>
              <w:top w:val="nil"/>
              <w:left w:val="nil"/>
              <w:bottom w:val="single" w:sz="8" w:space="0" w:color="67B93E"/>
              <w:right w:val="single" w:sz="8" w:space="0" w:color="67B93E"/>
            </w:tcBorders>
            <w:shd w:val="clear" w:color="000000" w:fill="FFFFFF"/>
            <w:vAlign w:val="center"/>
            <w:hideMark/>
          </w:tcPr>
          <w:p w14:paraId="6A1DE4C6"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328</w:t>
            </w:r>
          </w:p>
        </w:tc>
        <w:tc>
          <w:tcPr>
            <w:tcW w:w="1300" w:type="dxa"/>
            <w:tcBorders>
              <w:top w:val="nil"/>
              <w:left w:val="nil"/>
              <w:bottom w:val="single" w:sz="8" w:space="0" w:color="67B93E"/>
              <w:right w:val="single" w:sz="8" w:space="0" w:color="67B93E"/>
            </w:tcBorders>
            <w:shd w:val="clear" w:color="000000" w:fill="FFFFFF"/>
            <w:vAlign w:val="center"/>
            <w:hideMark/>
          </w:tcPr>
          <w:p w14:paraId="17DE7951"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14,70%</w:t>
            </w:r>
          </w:p>
        </w:tc>
        <w:tc>
          <w:tcPr>
            <w:tcW w:w="920" w:type="dxa"/>
            <w:tcBorders>
              <w:top w:val="nil"/>
              <w:left w:val="nil"/>
              <w:bottom w:val="single" w:sz="8" w:space="0" w:color="67B93E"/>
              <w:right w:val="single" w:sz="8" w:space="0" w:color="67B93E"/>
            </w:tcBorders>
            <w:shd w:val="clear" w:color="000000" w:fill="FFFFFF"/>
            <w:vAlign w:val="center"/>
            <w:hideMark/>
          </w:tcPr>
          <w:p w14:paraId="4CE0D5CB"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540</w:t>
            </w:r>
          </w:p>
        </w:tc>
        <w:tc>
          <w:tcPr>
            <w:tcW w:w="1060" w:type="dxa"/>
            <w:tcBorders>
              <w:top w:val="nil"/>
              <w:left w:val="nil"/>
              <w:bottom w:val="single" w:sz="8" w:space="0" w:color="67B93E"/>
              <w:right w:val="single" w:sz="8" w:space="0" w:color="67B93E"/>
            </w:tcBorders>
            <w:shd w:val="clear" w:color="000000" w:fill="FFFFFF"/>
            <w:vAlign w:val="center"/>
            <w:hideMark/>
          </w:tcPr>
          <w:p w14:paraId="68769D84"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20,33%</w:t>
            </w:r>
          </w:p>
        </w:tc>
        <w:tc>
          <w:tcPr>
            <w:tcW w:w="1100" w:type="dxa"/>
            <w:tcBorders>
              <w:top w:val="nil"/>
              <w:left w:val="nil"/>
              <w:bottom w:val="single" w:sz="8" w:space="0" w:color="67B93E"/>
              <w:right w:val="single" w:sz="8" w:space="0" w:color="67B93E"/>
            </w:tcBorders>
            <w:shd w:val="clear" w:color="000000" w:fill="FFFFFF"/>
            <w:vAlign w:val="center"/>
            <w:hideMark/>
          </w:tcPr>
          <w:p w14:paraId="2985C9D0"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5,63%</w:t>
            </w:r>
          </w:p>
        </w:tc>
      </w:tr>
      <w:tr w:rsidR="00273354" w:rsidRPr="00273354" w14:paraId="2F051665"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2F2F2"/>
            <w:vAlign w:val="center"/>
            <w:hideMark/>
          </w:tcPr>
          <w:p w14:paraId="5933C3FE"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Enfermedades digestivas</w:t>
            </w:r>
          </w:p>
        </w:tc>
        <w:tc>
          <w:tcPr>
            <w:tcW w:w="980" w:type="dxa"/>
            <w:tcBorders>
              <w:top w:val="nil"/>
              <w:left w:val="nil"/>
              <w:bottom w:val="single" w:sz="8" w:space="0" w:color="67B93E"/>
              <w:right w:val="single" w:sz="8" w:space="0" w:color="67B93E"/>
            </w:tcBorders>
            <w:shd w:val="clear" w:color="000000" w:fill="F2F2F2"/>
            <w:vAlign w:val="center"/>
            <w:hideMark/>
          </w:tcPr>
          <w:p w14:paraId="31F2DD83"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426</w:t>
            </w:r>
          </w:p>
        </w:tc>
        <w:tc>
          <w:tcPr>
            <w:tcW w:w="1300" w:type="dxa"/>
            <w:tcBorders>
              <w:top w:val="nil"/>
              <w:left w:val="nil"/>
              <w:bottom w:val="single" w:sz="8" w:space="0" w:color="67B93E"/>
              <w:right w:val="single" w:sz="8" w:space="0" w:color="67B93E"/>
            </w:tcBorders>
            <w:shd w:val="clear" w:color="000000" w:fill="F2F2F2"/>
            <w:vAlign w:val="center"/>
            <w:hideMark/>
          </w:tcPr>
          <w:p w14:paraId="4D28B631"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19,10%</w:t>
            </w:r>
          </w:p>
        </w:tc>
        <w:tc>
          <w:tcPr>
            <w:tcW w:w="920" w:type="dxa"/>
            <w:tcBorders>
              <w:top w:val="nil"/>
              <w:left w:val="nil"/>
              <w:bottom w:val="single" w:sz="8" w:space="0" w:color="67B93E"/>
              <w:right w:val="single" w:sz="8" w:space="0" w:color="67B93E"/>
            </w:tcBorders>
            <w:shd w:val="clear" w:color="000000" w:fill="F2F2F2"/>
            <w:vAlign w:val="center"/>
            <w:hideMark/>
          </w:tcPr>
          <w:p w14:paraId="2DE25A35"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404</w:t>
            </w:r>
          </w:p>
        </w:tc>
        <w:tc>
          <w:tcPr>
            <w:tcW w:w="1060" w:type="dxa"/>
            <w:tcBorders>
              <w:top w:val="nil"/>
              <w:left w:val="nil"/>
              <w:bottom w:val="single" w:sz="8" w:space="0" w:color="67B93E"/>
              <w:right w:val="single" w:sz="8" w:space="0" w:color="67B93E"/>
            </w:tcBorders>
            <w:shd w:val="clear" w:color="000000" w:fill="F2F2F2"/>
            <w:vAlign w:val="center"/>
            <w:hideMark/>
          </w:tcPr>
          <w:p w14:paraId="5FAB6603"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15,21%</w:t>
            </w:r>
          </w:p>
        </w:tc>
        <w:tc>
          <w:tcPr>
            <w:tcW w:w="1100" w:type="dxa"/>
            <w:tcBorders>
              <w:top w:val="nil"/>
              <w:left w:val="nil"/>
              <w:bottom w:val="single" w:sz="8" w:space="0" w:color="67B93E"/>
              <w:right w:val="single" w:sz="8" w:space="0" w:color="67B93E"/>
            </w:tcBorders>
            <w:shd w:val="clear" w:color="000000" w:fill="F2F2F2"/>
            <w:vAlign w:val="center"/>
            <w:hideMark/>
          </w:tcPr>
          <w:p w14:paraId="4D757B39"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-3,89%</w:t>
            </w:r>
          </w:p>
        </w:tc>
      </w:tr>
      <w:tr w:rsidR="00273354" w:rsidRPr="00273354" w14:paraId="23577E57"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FFFFF"/>
            <w:vAlign w:val="center"/>
            <w:hideMark/>
          </w:tcPr>
          <w:p w14:paraId="7138EE9D"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Condiciones neuropsiquiátricas</w:t>
            </w:r>
          </w:p>
        </w:tc>
        <w:tc>
          <w:tcPr>
            <w:tcW w:w="980" w:type="dxa"/>
            <w:tcBorders>
              <w:top w:val="nil"/>
              <w:left w:val="nil"/>
              <w:bottom w:val="single" w:sz="8" w:space="0" w:color="67B93E"/>
              <w:right w:val="single" w:sz="8" w:space="0" w:color="67B93E"/>
            </w:tcBorders>
            <w:shd w:val="clear" w:color="000000" w:fill="FFFFFF"/>
            <w:vAlign w:val="center"/>
            <w:hideMark/>
          </w:tcPr>
          <w:p w14:paraId="3026F9A4"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722</w:t>
            </w:r>
          </w:p>
        </w:tc>
        <w:tc>
          <w:tcPr>
            <w:tcW w:w="1300" w:type="dxa"/>
            <w:tcBorders>
              <w:top w:val="nil"/>
              <w:left w:val="nil"/>
              <w:bottom w:val="single" w:sz="8" w:space="0" w:color="67B93E"/>
              <w:right w:val="single" w:sz="8" w:space="0" w:color="67B93E"/>
            </w:tcBorders>
            <w:shd w:val="clear" w:color="000000" w:fill="FFFFFF"/>
            <w:vAlign w:val="center"/>
            <w:hideMark/>
          </w:tcPr>
          <w:p w14:paraId="6243E51D"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32,30%</w:t>
            </w:r>
          </w:p>
        </w:tc>
        <w:tc>
          <w:tcPr>
            <w:tcW w:w="920" w:type="dxa"/>
            <w:tcBorders>
              <w:top w:val="nil"/>
              <w:left w:val="nil"/>
              <w:bottom w:val="single" w:sz="8" w:space="0" w:color="67B93E"/>
              <w:right w:val="single" w:sz="8" w:space="0" w:color="67B93E"/>
            </w:tcBorders>
            <w:shd w:val="clear" w:color="000000" w:fill="FFFFFF"/>
            <w:vAlign w:val="center"/>
            <w:hideMark/>
          </w:tcPr>
          <w:p w14:paraId="61B96FE3"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348</w:t>
            </w:r>
          </w:p>
        </w:tc>
        <w:tc>
          <w:tcPr>
            <w:tcW w:w="1060" w:type="dxa"/>
            <w:tcBorders>
              <w:top w:val="nil"/>
              <w:left w:val="nil"/>
              <w:bottom w:val="single" w:sz="8" w:space="0" w:color="67B93E"/>
              <w:right w:val="single" w:sz="8" w:space="0" w:color="67B93E"/>
            </w:tcBorders>
            <w:shd w:val="clear" w:color="000000" w:fill="FFFFFF"/>
            <w:vAlign w:val="center"/>
            <w:hideMark/>
          </w:tcPr>
          <w:p w14:paraId="220635F4"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13,10%</w:t>
            </w:r>
          </w:p>
        </w:tc>
        <w:tc>
          <w:tcPr>
            <w:tcW w:w="1100" w:type="dxa"/>
            <w:tcBorders>
              <w:top w:val="nil"/>
              <w:left w:val="nil"/>
              <w:bottom w:val="single" w:sz="8" w:space="0" w:color="67B93E"/>
              <w:right w:val="single" w:sz="8" w:space="0" w:color="67B93E"/>
            </w:tcBorders>
            <w:shd w:val="clear" w:color="000000" w:fill="FFFFFF"/>
            <w:vAlign w:val="center"/>
            <w:hideMark/>
          </w:tcPr>
          <w:p w14:paraId="635086FD"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-19,20%</w:t>
            </w:r>
          </w:p>
        </w:tc>
      </w:tr>
      <w:tr w:rsidR="00273354" w:rsidRPr="00273354" w14:paraId="2521149C"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2F2F2"/>
            <w:vAlign w:val="center"/>
            <w:hideMark/>
          </w:tcPr>
          <w:p w14:paraId="6E968EB1"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Enfermedades de los órganos de los sentidos</w:t>
            </w:r>
          </w:p>
        </w:tc>
        <w:tc>
          <w:tcPr>
            <w:tcW w:w="980" w:type="dxa"/>
            <w:tcBorders>
              <w:top w:val="nil"/>
              <w:left w:val="nil"/>
              <w:bottom w:val="single" w:sz="8" w:space="0" w:color="67B93E"/>
              <w:right w:val="single" w:sz="8" w:space="0" w:color="67B93E"/>
            </w:tcBorders>
            <w:shd w:val="clear" w:color="000000" w:fill="F2F2F2"/>
            <w:vAlign w:val="center"/>
            <w:hideMark/>
          </w:tcPr>
          <w:p w14:paraId="20ED1A42"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234</w:t>
            </w:r>
          </w:p>
        </w:tc>
        <w:tc>
          <w:tcPr>
            <w:tcW w:w="1300" w:type="dxa"/>
            <w:tcBorders>
              <w:top w:val="nil"/>
              <w:left w:val="nil"/>
              <w:bottom w:val="single" w:sz="8" w:space="0" w:color="67B93E"/>
              <w:right w:val="single" w:sz="8" w:space="0" w:color="67B93E"/>
            </w:tcBorders>
            <w:shd w:val="clear" w:color="000000" w:fill="F2F2F2"/>
            <w:vAlign w:val="center"/>
            <w:hideMark/>
          </w:tcPr>
          <w:p w14:paraId="4315167D"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10,50%</w:t>
            </w:r>
          </w:p>
        </w:tc>
        <w:tc>
          <w:tcPr>
            <w:tcW w:w="920" w:type="dxa"/>
            <w:tcBorders>
              <w:top w:val="nil"/>
              <w:left w:val="nil"/>
              <w:bottom w:val="single" w:sz="8" w:space="0" w:color="67B93E"/>
              <w:right w:val="single" w:sz="8" w:space="0" w:color="67B93E"/>
            </w:tcBorders>
            <w:shd w:val="clear" w:color="000000" w:fill="F2F2F2"/>
            <w:vAlign w:val="center"/>
            <w:hideMark/>
          </w:tcPr>
          <w:p w14:paraId="1B0CA250"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337</w:t>
            </w:r>
          </w:p>
        </w:tc>
        <w:tc>
          <w:tcPr>
            <w:tcW w:w="1060" w:type="dxa"/>
            <w:tcBorders>
              <w:top w:val="nil"/>
              <w:left w:val="nil"/>
              <w:bottom w:val="single" w:sz="8" w:space="0" w:color="67B93E"/>
              <w:right w:val="single" w:sz="8" w:space="0" w:color="67B93E"/>
            </w:tcBorders>
            <w:shd w:val="clear" w:color="000000" w:fill="F2F2F2"/>
            <w:vAlign w:val="center"/>
            <w:hideMark/>
          </w:tcPr>
          <w:p w14:paraId="4EBB95ED"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12,69%</w:t>
            </w:r>
          </w:p>
        </w:tc>
        <w:tc>
          <w:tcPr>
            <w:tcW w:w="1100" w:type="dxa"/>
            <w:tcBorders>
              <w:top w:val="nil"/>
              <w:left w:val="nil"/>
              <w:bottom w:val="single" w:sz="8" w:space="0" w:color="67B93E"/>
              <w:right w:val="single" w:sz="8" w:space="0" w:color="67B93E"/>
            </w:tcBorders>
            <w:shd w:val="clear" w:color="000000" w:fill="F2F2F2"/>
            <w:vAlign w:val="center"/>
            <w:hideMark/>
          </w:tcPr>
          <w:p w14:paraId="0D738E27"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2,19%</w:t>
            </w:r>
          </w:p>
        </w:tc>
      </w:tr>
      <w:tr w:rsidR="00273354" w:rsidRPr="00273354" w14:paraId="527E4158"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FFFFF"/>
            <w:vAlign w:val="center"/>
            <w:hideMark/>
          </w:tcPr>
          <w:p w14:paraId="01205F1F"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Enfermedades genitourinarias</w:t>
            </w:r>
          </w:p>
        </w:tc>
        <w:tc>
          <w:tcPr>
            <w:tcW w:w="980" w:type="dxa"/>
            <w:tcBorders>
              <w:top w:val="nil"/>
              <w:left w:val="nil"/>
              <w:bottom w:val="single" w:sz="8" w:space="0" w:color="67B93E"/>
              <w:right w:val="single" w:sz="8" w:space="0" w:color="67B93E"/>
            </w:tcBorders>
            <w:shd w:val="clear" w:color="000000" w:fill="FFFFFF"/>
            <w:vAlign w:val="center"/>
            <w:hideMark/>
          </w:tcPr>
          <w:p w14:paraId="51EDCF73"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125</w:t>
            </w:r>
          </w:p>
        </w:tc>
        <w:tc>
          <w:tcPr>
            <w:tcW w:w="1300" w:type="dxa"/>
            <w:tcBorders>
              <w:top w:val="nil"/>
              <w:left w:val="nil"/>
              <w:bottom w:val="single" w:sz="8" w:space="0" w:color="67B93E"/>
              <w:right w:val="single" w:sz="8" w:space="0" w:color="67B93E"/>
            </w:tcBorders>
            <w:shd w:val="clear" w:color="000000" w:fill="FFFFFF"/>
            <w:vAlign w:val="center"/>
            <w:hideMark/>
          </w:tcPr>
          <w:p w14:paraId="2B3C488B"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5,60%</w:t>
            </w:r>
          </w:p>
        </w:tc>
        <w:tc>
          <w:tcPr>
            <w:tcW w:w="920" w:type="dxa"/>
            <w:tcBorders>
              <w:top w:val="nil"/>
              <w:left w:val="nil"/>
              <w:bottom w:val="single" w:sz="8" w:space="0" w:color="67B93E"/>
              <w:right w:val="single" w:sz="8" w:space="0" w:color="67B93E"/>
            </w:tcBorders>
            <w:shd w:val="clear" w:color="000000" w:fill="FFFFFF"/>
            <w:vAlign w:val="center"/>
            <w:hideMark/>
          </w:tcPr>
          <w:p w14:paraId="42B7D2AA"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281</w:t>
            </w:r>
          </w:p>
        </w:tc>
        <w:tc>
          <w:tcPr>
            <w:tcW w:w="1060" w:type="dxa"/>
            <w:tcBorders>
              <w:top w:val="nil"/>
              <w:left w:val="nil"/>
              <w:bottom w:val="single" w:sz="8" w:space="0" w:color="67B93E"/>
              <w:right w:val="single" w:sz="8" w:space="0" w:color="67B93E"/>
            </w:tcBorders>
            <w:shd w:val="clear" w:color="000000" w:fill="FFFFFF"/>
            <w:vAlign w:val="center"/>
            <w:hideMark/>
          </w:tcPr>
          <w:p w14:paraId="21199941"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10,58%</w:t>
            </w:r>
          </w:p>
        </w:tc>
        <w:tc>
          <w:tcPr>
            <w:tcW w:w="1100" w:type="dxa"/>
            <w:tcBorders>
              <w:top w:val="nil"/>
              <w:left w:val="nil"/>
              <w:bottom w:val="single" w:sz="8" w:space="0" w:color="67B93E"/>
              <w:right w:val="single" w:sz="8" w:space="0" w:color="67B93E"/>
            </w:tcBorders>
            <w:shd w:val="clear" w:color="000000" w:fill="FFFFFF"/>
            <w:vAlign w:val="center"/>
            <w:hideMark/>
          </w:tcPr>
          <w:p w14:paraId="6E190FC1"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4,98%</w:t>
            </w:r>
          </w:p>
        </w:tc>
      </w:tr>
      <w:tr w:rsidR="00273354" w:rsidRPr="00273354" w14:paraId="71CE8CF6"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2F2F2"/>
            <w:vAlign w:val="center"/>
            <w:hideMark/>
          </w:tcPr>
          <w:p w14:paraId="509DABE7"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Otras neoplasias</w:t>
            </w:r>
          </w:p>
        </w:tc>
        <w:tc>
          <w:tcPr>
            <w:tcW w:w="980" w:type="dxa"/>
            <w:tcBorders>
              <w:top w:val="nil"/>
              <w:left w:val="nil"/>
              <w:bottom w:val="single" w:sz="8" w:space="0" w:color="67B93E"/>
              <w:right w:val="single" w:sz="8" w:space="0" w:color="67B93E"/>
            </w:tcBorders>
            <w:shd w:val="clear" w:color="000000" w:fill="F2F2F2"/>
            <w:vAlign w:val="center"/>
            <w:hideMark/>
          </w:tcPr>
          <w:p w14:paraId="4BD89C14"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51</w:t>
            </w:r>
          </w:p>
        </w:tc>
        <w:tc>
          <w:tcPr>
            <w:tcW w:w="1300" w:type="dxa"/>
            <w:tcBorders>
              <w:top w:val="nil"/>
              <w:left w:val="nil"/>
              <w:bottom w:val="single" w:sz="8" w:space="0" w:color="67B93E"/>
              <w:right w:val="single" w:sz="8" w:space="0" w:color="67B93E"/>
            </w:tcBorders>
            <w:shd w:val="clear" w:color="000000" w:fill="F2F2F2"/>
            <w:vAlign w:val="center"/>
            <w:hideMark/>
          </w:tcPr>
          <w:p w14:paraId="4FE878F7"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2,30%</w:t>
            </w:r>
          </w:p>
        </w:tc>
        <w:tc>
          <w:tcPr>
            <w:tcW w:w="920" w:type="dxa"/>
            <w:tcBorders>
              <w:top w:val="nil"/>
              <w:left w:val="nil"/>
              <w:bottom w:val="single" w:sz="8" w:space="0" w:color="67B93E"/>
              <w:right w:val="single" w:sz="8" w:space="0" w:color="67B93E"/>
            </w:tcBorders>
            <w:shd w:val="clear" w:color="000000" w:fill="F2F2F2"/>
            <w:vAlign w:val="center"/>
            <w:hideMark/>
          </w:tcPr>
          <w:p w14:paraId="2475836F"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262</w:t>
            </w:r>
          </w:p>
        </w:tc>
        <w:tc>
          <w:tcPr>
            <w:tcW w:w="1060" w:type="dxa"/>
            <w:tcBorders>
              <w:top w:val="nil"/>
              <w:left w:val="nil"/>
              <w:bottom w:val="single" w:sz="8" w:space="0" w:color="67B93E"/>
              <w:right w:val="single" w:sz="8" w:space="0" w:color="67B93E"/>
            </w:tcBorders>
            <w:shd w:val="clear" w:color="000000" w:fill="F2F2F2"/>
            <w:vAlign w:val="center"/>
            <w:hideMark/>
          </w:tcPr>
          <w:p w14:paraId="4B3FFBC9"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9,86%</w:t>
            </w:r>
          </w:p>
        </w:tc>
        <w:tc>
          <w:tcPr>
            <w:tcW w:w="1100" w:type="dxa"/>
            <w:tcBorders>
              <w:top w:val="nil"/>
              <w:left w:val="nil"/>
              <w:bottom w:val="single" w:sz="8" w:space="0" w:color="67B93E"/>
              <w:right w:val="single" w:sz="8" w:space="0" w:color="67B93E"/>
            </w:tcBorders>
            <w:shd w:val="clear" w:color="000000" w:fill="F2F2F2"/>
            <w:vAlign w:val="center"/>
            <w:hideMark/>
          </w:tcPr>
          <w:p w14:paraId="70AB2C47"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7,56%</w:t>
            </w:r>
          </w:p>
        </w:tc>
      </w:tr>
      <w:tr w:rsidR="00273354" w:rsidRPr="00273354" w14:paraId="01F9B8AF"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FFFFF"/>
            <w:vAlign w:val="center"/>
            <w:hideMark/>
          </w:tcPr>
          <w:p w14:paraId="1C02AC3C"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Enfermedades cardiovasculares</w:t>
            </w:r>
          </w:p>
        </w:tc>
        <w:tc>
          <w:tcPr>
            <w:tcW w:w="980" w:type="dxa"/>
            <w:tcBorders>
              <w:top w:val="nil"/>
              <w:left w:val="nil"/>
              <w:bottom w:val="single" w:sz="8" w:space="0" w:color="67B93E"/>
              <w:right w:val="single" w:sz="8" w:space="0" w:color="67B93E"/>
            </w:tcBorders>
            <w:shd w:val="clear" w:color="000000" w:fill="FFFFFF"/>
            <w:vAlign w:val="center"/>
            <w:hideMark/>
          </w:tcPr>
          <w:p w14:paraId="2D963ECF"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160</w:t>
            </w:r>
          </w:p>
        </w:tc>
        <w:tc>
          <w:tcPr>
            <w:tcW w:w="1300" w:type="dxa"/>
            <w:tcBorders>
              <w:top w:val="nil"/>
              <w:left w:val="nil"/>
              <w:bottom w:val="single" w:sz="8" w:space="0" w:color="67B93E"/>
              <w:right w:val="single" w:sz="8" w:space="0" w:color="67B93E"/>
            </w:tcBorders>
            <w:shd w:val="clear" w:color="000000" w:fill="FFFFFF"/>
            <w:vAlign w:val="center"/>
            <w:hideMark/>
          </w:tcPr>
          <w:p w14:paraId="77F449D6"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7,20%</w:t>
            </w:r>
          </w:p>
        </w:tc>
        <w:tc>
          <w:tcPr>
            <w:tcW w:w="920" w:type="dxa"/>
            <w:tcBorders>
              <w:top w:val="nil"/>
              <w:left w:val="nil"/>
              <w:bottom w:val="single" w:sz="8" w:space="0" w:color="67B93E"/>
              <w:right w:val="single" w:sz="8" w:space="0" w:color="67B93E"/>
            </w:tcBorders>
            <w:shd w:val="clear" w:color="000000" w:fill="FFFFFF"/>
            <w:vAlign w:val="center"/>
            <w:hideMark/>
          </w:tcPr>
          <w:p w14:paraId="71C1913F"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245</w:t>
            </w:r>
          </w:p>
        </w:tc>
        <w:tc>
          <w:tcPr>
            <w:tcW w:w="1060" w:type="dxa"/>
            <w:tcBorders>
              <w:top w:val="nil"/>
              <w:left w:val="nil"/>
              <w:bottom w:val="single" w:sz="8" w:space="0" w:color="67B93E"/>
              <w:right w:val="single" w:sz="8" w:space="0" w:color="67B93E"/>
            </w:tcBorders>
            <w:shd w:val="clear" w:color="000000" w:fill="FFFFFF"/>
            <w:vAlign w:val="center"/>
            <w:hideMark/>
          </w:tcPr>
          <w:p w14:paraId="29EE1D7E"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9,22%</w:t>
            </w:r>
          </w:p>
        </w:tc>
        <w:tc>
          <w:tcPr>
            <w:tcW w:w="1100" w:type="dxa"/>
            <w:tcBorders>
              <w:top w:val="nil"/>
              <w:left w:val="nil"/>
              <w:bottom w:val="single" w:sz="8" w:space="0" w:color="67B93E"/>
              <w:right w:val="single" w:sz="8" w:space="0" w:color="67B93E"/>
            </w:tcBorders>
            <w:shd w:val="clear" w:color="000000" w:fill="FFFFFF"/>
            <w:vAlign w:val="center"/>
            <w:hideMark/>
          </w:tcPr>
          <w:p w14:paraId="2EEE2B23"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2,02%</w:t>
            </w:r>
          </w:p>
        </w:tc>
      </w:tr>
      <w:tr w:rsidR="00273354" w:rsidRPr="00273354" w14:paraId="77771696"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2F2F2"/>
            <w:vAlign w:val="center"/>
            <w:hideMark/>
          </w:tcPr>
          <w:p w14:paraId="642EB251"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Neoplasias malignas</w:t>
            </w:r>
          </w:p>
        </w:tc>
        <w:tc>
          <w:tcPr>
            <w:tcW w:w="980" w:type="dxa"/>
            <w:tcBorders>
              <w:top w:val="nil"/>
              <w:left w:val="nil"/>
              <w:bottom w:val="single" w:sz="8" w:space="0" w:color="67B93E"/>
              <w:right w:val="single" w:sz="8" w:space="0" w:color="67B93E"/>
            </w:tcBorders>
            <w:shd w:val="clear" w:color="000000" w:fill="F2F2F2"/>
            <w:vAlign w:val="center"/>
            <w:hideMark/>
          </w:tcPr>
          <w:p w14:paraId="6E7BB5BA"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48</w:t>
            </w:r>
          </w:p>
        </w:tc>
        <w:tc>
          <w:tcPr>
            <w:tcW w:w="1300" w:type="dxa"/>
            <w:tcBorders>
              <w:top w:val="nil"/>
              <w:left w:val="nil"/>
              <w:bottom w:val="single" w:sz="8" w:space="0" w:color="67B93E"/>
              <w:right w:val="single" w:sz="8" w:space="0" w:color="67B93E"/>
            </w:tcBorders>
            <w:shd w:val="clear" w:color="000000" w:fill="F2F2F2"/>
            <w:vAlign w:val="center"/>
            <w:hideMark/>
          </w:tcPr>
          <w:p w14:paraId="1AF78B6C"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2,10%</w:t>
            </w:r>
          </w:p>
        </w:tc>
        <w:tc>
          <w:tcPr>
            <w:tcW w:w="920" w:type="dxa"/>
            <w:tcBorders>
              <w:top w:val="nil"/>
              <w:left w:val="nil"/>
              <w:bottom w:val="single" w:sz="8" w:space="0" w:color="67B93E"/>
              <w:right w:val="single" w:sz="8" w:space="0" w:color="67B93E"/>
            </w:tcBorders>
            <w:shd w:val="clear" w:color="000000" w:fill="F2F2F2"/>
            <w:vAlign w:val="center"/>
            <w:hideMark/>
          </w:tcPr>
          <w:p w14:paraId="25AC629C"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118</w:t>
            </w:r>
          </w:p>
        </w:tc>
        <w:tc>
          <w:tcPr>
            <w:tcW w:w="1060" w:type="dxa"/>
            <w:tcBorders>
              <w:top w:val="nil"/>
              <w:left w:val="nil"/>
              <w:bottom w:val="single" w:sz="8" w:space="0" w:color="67B93E"/>
              <w:right w:val="single" w:sz="8" w:space="0" w:color="67B93E"/>
            </w:tcBorders>
            <w:shd w:val="clear" w:color="000000" w:fill="F2F2F2"/>
            <w:vAlign w:val="center"/>
            <w:hideMark/>
          </w:tcPr>
          <w:p w14:paraId="614FD33C"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4,44%</w:t>
            </w:r>
          </w:p>
        </w:tc>
        <w:tc>
          <w:tcPr>
            <w:tcW w:w="1100" w:type="dxa"/>
            <w:tcBorders>
              <w:top w:val="nil"/>
              <w:left w:val="nil"/>
              <w:bottom w:val="single" w:sz="8" w:space="0" w:color="67B93E"/>
              <w:right w:val="single" w:sz="8" w:space="0" w:color="67B93E"/>
            </w:tcBorders>
            <w:shd w:val="clear" w:color="000000" w:fill="F2F2F2"/>
            <w:vAlign w:val="center"/>
            <w:hideMark/>
          </w:tcPr>
          <w:p w14:paraId="4E679976"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2,34%</w:t>
            </w:r>
          </w:p>
        </w:tc>
      </w:tr>
      <w:tr w:rsidR="00273354" w:rsidRPr="00273354" w14:paraId="1C3BF95C"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FFFFF"/>
            <w:vAlign w:val="center"/>
            <w:hideMark/>
          </w:tcPr>
          <w:p w14:paraId="2EAA66B7"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Infecciones respiratorias</w:t>
            </w:r>
          </w:p>
        </w:tc>
        <w:tc>
          <w:tcPr>
            <w:tcW w:w="980" w:type="dxa"/>
            <w:tcBorders>
              <w:top w:val="nil"/>
              <w:left w:val="nil"/>
              <w:bottom w:val="single" w:sz="8" w:space="0" w:color="67B93E"/>
              <w:right w:val="single" w:sz="8" w:space="0" w:color="67B93E"/>
            </w:tcBorders>
            <w:shd w:val="clear" w:color="000000" w:fill="FFFFFF"/>
            <w:vAlign w:val="center"/>
            <w:hideMark/>
          </w:tcPr>
          <w:p w14:paraId="5A333573"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38</w:t>
            </w:r>
          </w:p>
        </w:tc>
        <w:tc>
          <w:tcPr>
            <w:tcW w:w="1300" w:type="dxa"/>
            <w:tcBorders>
              <w:top w:val="nil"/>
              <w:left w:val="nil"/>
              <w:bottom w:val="single" w:sz="8" w:space="0" w:color="67B93E"/>
              <w:right w:val="single" w:sz="8" w:space="0" w:color="67B93E"/>
            </w:tcBorders>
            <w:shd w:val="clear" w:color="000000" w:fill="FFFFFF"/>
            <w:vAlign w:val="center"/>
            <w:hideMark/>
          </w:tcPr>
          <w:p w14:paraId="799654BD"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1,70%</w:t>
            </w:r>
          </w:p>
        </w:tc>
        <w:tc>
          <w:tcPr>
            <w:tcW w:w="920" w:type="dxa"/>
            <w:tcBorders>
              <w:top w:val="nil"/>
              <w:left w:val="nil"/>
              <w:bottom w:val="single" w:sz="8" w:space="0" w:color="67B93E"/>
              <w:right w:val="single" w:sz="8" w:space="0" w:color="67B93E"/>
            </w:tcBorders>
            <w:shd w:val="clear" w:color="000000" w:fill="FFFFFF"/>
            <w:vAlign w:val="center"/>
            <w:hideMark/>
          </w:tcPr>
          <w:p w14:paraId="173DE04E"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38</w:t>
            </w:r>
          </w:p>
        </w:tc>
        <w:tc>
          <w:tcPr>
            <w:tcW w:w="1060" w:type="dxa"/>
            <w:tcBorders>
              <w:top w:val="nil"/>
              <w:left w:val="nil"/>
              <w:bottom w:val="single" w:sz="8" w:space="0" w:color="67B93E"/>
              <w:right w:val="single" w:sz="8" w:space="0" w:color="67B93E"/>
            </w:tcBorders>
            <w:shd w:val="clear" w:color="000000" w:fill="FFFFFF"/>
            <w:vAlign w:val="center"/>
            <w:hideMark/>
          </w:tcPr>
          <w:p w14:paraId="3BD2DDBD"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1,43%</w:t>
            </w:r>
          </w:p>
        </w:tc>
        <w:tc>
          <w:tcPr>
            <w:tcW w:w="1100" w:type="dxa"/>
            <w:tcBorders>
              <w:top w:val="nil"/>
              <w:left w:val="nil"/>
              <w:bottom w:val="single" w:sz="8" w:space="0" w:color="67B93E"/>
              <w:right w:val="single" w:sz="8" w:space="0" w:color="67B93E"/>
            </w:tcBorders>
            <w:shd w:val="clear" w:color="000000" w:fill="FFFFFF"/>
            <w:vAlign w:val="center"/>
            <w:hideMark/>
          </w:tcPr>
          <w:p w14:paraId="2391677D"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-0,27%</w:t>
            </w:r>
          </w:p>
        </w:tc>
      </w:tr>
      <w:tr w:rsidR="00273354" w:rsidRPr="00273354" w14:paraId="154DCDCF"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2F2F2"/>
            <w:vAlign w:val="center"/>
            <w:hideMark/>
          </w:tcPr>
          <w:p w14:paraId="43D9F4D2"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Enfermedades de la piel</w:t>
            </w:r>
          </w:p>
        </w:tc>
        <w:tc>
          <w:tcPr>
            <w:tcW w:w="980" w:type="dxa"/>
            <w:tcBorders>
              <w:top w:val="nil"/>
              <w:left w:val="nil"/>
              <w:bottom w:val="single" w:sz="8" w:space="0" w:color="67B93E"/>
              <w:right w:val="single" w:sz="8" w:space="0" w:color="67B93E"/>
            </w:tcBorders>
            <w:shd w:val="clear" w:color="000000" w:fill="F2F2F2"/>
            <w:vAlign w:val="center"/>
            <w:hideMark/>
          </w:tcPr>
          <w:p w14:paraId="1B91F12F"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46</w:t>
            </w:r>
          </w:p>
        </w:tc>
        <w:tc>
          <w:tcPr>
            <w:tcW w:w="1300" w:type="dxa"/>
            <w:tcBorders>
              <w:top w:val="nil"/>
              <w:left w:val="nil"/>
              <w:bottom w:val="single" w:sz="8" w:space="0" w:color="67B93E"/>
              <w:right w:val="single" w:sz="8" w:space="0" w:color="67B93E"/>
            </w:tcBorders>
            <w:shd w:val="clear" w:color="000000" w:fill="F2F2F2"/>
            <w:vAlign w:val="center"/>
            <w:hideMark/>
          </w:tcPr>
          <w:p w14:paraId="48DE6A32"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2,10%</w:t>
            </w:r>
          </w:p>
        </w:tc>
        <w:tc>
          <w:tcPr>
            <w:tcW w:w="920" w:type="dxa"/>
            <w:tcBorders>
              <w:top w:val="nil"/>
              <w:left w:val="nil"/>
              <w:bottom w:val="single" w:sz="8" w:space="0" w:color="67B93E"/>
              <w:right w:val="single" w:sz="8" w:space="0" w:color="67B93E"/>
            </w:tcBorders>
            <w:shd w:val="clear" w:color="000000" w:fill="F2F2F2"/>
            <w:vAlign w:val="center"/>
            <w:hideMark/>
          </w:tcPr>
          <w:p w14:paraId="179CDD01"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33</w:t>
            </w:r>
          </w:p>
        </w:tc>
        <w:tc>
          <w:tcPr>
            <w:tcW w:w="1060" w:type="dxa"/>
            <w:tcBorders>
              <w:top w:val="nil"/>
              <w:left w:val="nil"/>
              <w:bottom w:val="single" w:sz="8" w:space="0" w:color="67B93E"/>
              <w:right w:val="single" w:sz="8" w:space="0" w:color="67B93E"/>
            </w:tcBorders>
            <w:shd w:val="clear" w:color="000000" w:fill="F2F2F2"/>
            <w:vAlign w:val="center"/>
            <w:hideMark/>
          </w:tcPr>
          <w:p w14:paraId="77D724DC"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1,24%</w:t>
            </w:r>
          </w:p>
        </w:tc>
        <w:tc>
          <w:tcPr>
            <w:tcW w:w="1100" w:type="dxa"/>
            <w:tcBorders>
              <w:top w:val="nil"/>
              <w:left w:val="nil"/>
              <w:bottom w:val="single" w:sz="8" w:space="0" w:color="67B93E"/>
              <w:right w:val="single" w:sz="8" w:space="0" w:color="67B93E"/>
            </w:tcBorders>
            <w:shd w:val="clear" w:color="000000" w:fill="F2F2F2"/>
            <w:vAlign w:val="center"/>
            <w:hideMark/>
          </w:tcPr>
          <w:p w14:paraId="13AE004A"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-0,86%</w:t>
            </w:r>
          </w:p>
        </w:tc>
      </w:tr>
      <w:tr w:rsidR="00273354" w:rsidRPr="00273354" w14:paraId="01953D6B"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FFFFF"/>
            <w:vAlign w:val="center"/>
            <w:hideMark/>
          </w:tcPr>
          <w:p w14:paraId="64DD3725"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Desordenes endocrinos</w:t>
            </w:r>
          </w:p>
        </w:tc>
        <w:tc>
          <w:tcPr>
            <w:tcW w:w="980" w:type="dxa"/>
            <w:tcBorders>
              <w:top w:val="nil"/>
              <w:left w:val="nil"/>
              <w:bottom w:val="single" w:sz="8" w:space="0" w:color="67B93E"/>
              <w:right w:val="single" w:sz="8" w:space="0" w:color="67B93E"/>
            </w:tcBorders>
            <w:shd w:val="clear" w:color="000000" w:fill="FFFFFF"/>
            <w:vAlign w:val="center"/>
            <w:hideMark/>
          </w:tcPr>
          <w:p w14:paraId="15996215"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31</w:t>
            </w:r>
          </w:p>
        </w:tc>
        <w:tc>
          <w:tcPr>
            <w:tcW w:w="1300" w:type="dxa"/>
            <w:tcBorders>
              <w:top w:val="nil"/>
              <w:left w:val="nil"/>
              <w:bottom w:val="single" w:sz="8" w:space="0" w:color="67B93E"/>
              <w:right w:val="single" w:sz="8" w:space="0" w:color="67B93E"/>
            </w:tcBorders>
            <w:shd w:val="clear" w:color="000000" w:fill="FFFFFF"/>
            <w:vAlign w:val="center"/>
            <w:hideMark/>
          </w:tcPr>
          <w:p w14:paraId="385478BA"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1,40%</w:t>
            </w:r>
          </w:p>
        </w:tc>
        <w:tc>
          <w:tcPr>
            <w:tcW w:w="920" w:type="dxa"/>
            <w:tcBorders>
              <w:top w:val="nil"/>
              <w:left w:val="nil"/>
              <w:bottom w:val="single" w:sz="8" w:space="0" w:color="67B93E"/>
              <w:right w:val="single" w:sz="8" w:space="0" w:color="67B93E"/>
            </w:tcBorders>
            <w:shd w:val="clear" w:color="000000" w:fill="FFFFFF"/>
            <w:vAlign w:val="center"/>
            <w:hideMark/>
          </w:tcPr>
          <w:p w14:paraId="1BA83AC9"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31</w:t>
            </w:r>
          </w:p>
        </w:tc>
        <w:tc>
          <w:tcPr>
            <w:tcW w:w="1060" w:type="dxa"/>
            <w:tcBorders>
              <w:top w:val="nil"/>
              <w:left w:val="nil"/>
              <w:bottom w:val="single" w:sz="8" w:space="0" w:color="67B93E"/>
              <w:right w:val="single" w:sz="8" w:space="0" w:color="67B93E"/>
            </w:tcBorders>
            <w:shd w:val="clear" w:color="000000" w:fill="FFFFFF"/>
            <w:vAlign w:val="center"/>
            <w:hideMark/>
          </w:tcPr>
          <w:p w14:paraId="1FE3E1E0"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1,17%</w:t>
            </w:r>
          </w:p>
        </w:tc>
        <w:tc>
          <w:tcPr>
            <w:tcW w:w="1100" w:type="dxa"/>
            <w:tcBorders>
              <w:top w:val="nil"/>
              <w:left w:val="nil"/>
              <w:bottom w:val="single" w:sz="8" w:space="0" w:color="67B93E"/>
              <w:right w:val="single" w:sz="8" w:space="0" w:color="67B93E"/>
            </w:tcBorders>
            <w:shd w:val="clear" w:color="000000" w:fill="FFFFFF"/>
            <w:vAlign w:val="center"/>
            <w:hideMark/>
          </w:tcPr>
          <w:p w14:paraId="045D1257"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-0,23%</w:t>
            </w:r>
          </w:p>
        </w:tc>
      </w:tr>
      <w:tr w:rsidR="00273354" w:rsidRPr="00273354" w14:paraId="16D91182"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F2F2F2"/>
            <w:vAlign w:val="center"/>
            <w:hideMark/>
          </w:tcPr>
          <w:p w14:paraId="5561F2FC"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Condiciones orales</w:t>
            </w:r>
          </w:p>
        </w:tc>
        <w:tc>
          <w:tcPr>
            <w:tcW w:w="980" w:type="dxa"/>
            <w:tcBorders>
              <w:top w:val="nil"/>
              <w:left w:val="nil"/>
              <w:bottom w:val="single" w:sz="8" w:space="0" w:color="67B93E"/>
              <w:right w:val="single" w:sz="8" w:space="0" w:color="67B93E"/>
            </w:tcBorders>
            <w:shd w:val="clear" w:color="000000" w:fill="F2F2F2"/>
            <w:vAlign w:val="center"/>
            <w:hideMark/>
          </w:tcPr>
          <w:p w14:paraId="29B38178"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24</w:t>
            </w:r>
          </w:p>
        </w:tc>
        <w:tc>
          <w:tcPr>
            <w:tcW w:w="1300" w:type="dxa"/>
            <w:tcBorders>
              <w:top w:val="nil"/>
              <w:left w:val="nil"/>
              <w:bottom w:val="single" w:sz="8" w:space="0" w:color="67B93E"/>
              <w:right w:val="single" w:sz="8" w:space="0" w:color="67B93E"/>
            </w:tcBorders>
            <w:shd w:val="clear" w:color="000000" w:fill="F2F2F2"/>
            <w:vAlign w:val="center"/>
            <w:hideMark/>
          </w:tcPr>
          <w:p w14:paraId="667AA851"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1,10%</w:t>
            </w:r>
          </w:p>
        </w:tc>
        <w:tc>
          <w:tcPr>
            <w:tcW w:w="920" w:type="dxa"/>
            <w:tcBorders>
              <w:top w:val="nil"/>
              <w:left w:val="nil"/>
              <w:bottom w:val="single" w:sz="8" w:space="0" w:color="67B93E"/>
              <w:right w:val="single" w:sz="8" w:space="0" w:color="67B93E"/>
            </w:tcBorders>
            <w:shd w:val="clear" w:color="000000" w:fill="F2F2F2"/>
            <w:vAlign w:val="center"/>
            <w:hideMark/>
          </w:tcPr>
          <w:p w14:paraId="0A980F75"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14</w:t>
            </w:r>
          </w:p>
        </w:tc>
        <w:tc>
          <w:tcPr>
            <w:tcW w:w="1060" w:type="dxa"/>
            <w:tcBorders>
              <w:top w:val="nil"/>
              <w:left w:val="nil"/>
              <w:bottom w:val="single" w:sz="8" w:space="0" w:color="67B93E"/>
              <w:right w:val="single" w:sz="8" w:space="0" w:color="67B93E"/>
            </w:tcBorders>
            <w:shd w:val="clear" w:color="000000" w:fill="F2F2F2"/>
            <w:vAlign w:val="center"/>
            <w:hideMark/>
          </w:tcPr>
          <w:p w14:paraId="0695C1CA"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0,53%</w:t>
            </w:r>
          </w:p>
        </w:tc>
        <w:tc>
          <w:tcPr>
            <w:tcW w:w="1100" w:type="dxa"/>
            <w:tcBorders>
              <w:top w:val="nil"/>
              <w:left w:val="nil"/>
              <w:bottom w:val="single" w:sz="8" w:space="0" w:color="67B93E"/>
              <w:right w:val="single" w:sz="8" w:space="0" w:color="67B93E"/>
            </w:tcBorders>
            <w:shd w:val="clear" w:color="000000" w:fill="F2F2F2"/>
            <w:vAlign w:val="center"/>
            <w:hideMark/>
          </w:tcPr>
          <w:p w14:paraId="3A382465"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-0,57%</w:t>
            </w:r>
          </w:p>
        </w:tc>
      </w:tr>
      <w:tr w:rsidR="00273354" w:rsidRPr="00273354" w14:paraId="11A44891" w14:textId="77777777" w:rsidTr="00273354">
        <w:trPr>
          <w:trHeight w:val="435"/>
        </w:trPr>
        <w:tc>
          <w:tcPr>
            <w:tcW w:w="4120" w:type="dxa"/>
            <w:tcBorders>
              <w:top w:val="nil"/>
              <w:left w:val="single" w:sz="8" w:space="0" w:color="67B93E"/>
              <w:bottom w:val="single" w:sz="8" w:space="0" w:color="67B93E"/>
              <w:right w:val="single" w:sz="8" w:space="0" w:color="67B93E"/>
            </w:tcBorders>
            <w:shd w:val="clear" w:color="000000" w:fill="FFFFFF"/>
            <w:vAlign w:val="center"/>
            <w:hideMark/>
          </w:tcPr>
          <w:p w14:paraId="20816166" w14:textId="77777777" w:rsidR="00273354" w:rsidRPr="00273354" w:rsidRDefault="00273354" w:rsidP="00273354">
            <w:pPr>
              <w:widowControl/>
              <w:autoSpaceDE/>
              <w:autoSpaceDN/>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Diabetes</w:t>
            </w:r>
          </w:p>
        </w:tc>
        <w:tc>
          <w:tcPr>
            <w:tcW w:w="980" w:type="dxa"/>
            <w:tcBorders>
              <w:top w:val="nil"/>
              <w:left w:val="nil"/>
              <w:bottom w:val="single" w:sz="8" w:space="0" w:color="67B93E"/>
              <w:right w:val="single" w:sz="8" w:space="0" w:color="67B93E"/>
            </w:tcBorders>
            <w:shd w:val="clear" w:color="000000" w:fill="FFFFFF"/>
            <w:vAlign w:val="center"/>
            <w:hideMark/>
          </w:tcPr>
          <w:p w14:paraId="1E82503C"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2</w:t>
            </w:r>
          </w:p>
        </w:tc>
        <w:tc>
          <w:tcPr>
            <w:tcW w:w="1300" w:type="dxa"/>
            <w:tcBorders>
              <w:top w:val="nil"/>
              <w:left w:val="nil"/>
              <w:bottom w:val="single" w:sz="8" w:space="0" w:color="67B93E"/>
              <w:right w:val="single" w:sz="8" w:space="0" w:color="67B93E"/>
            </w:tcBorders>
            <w:shd w:val="clear" w:color="000000" w:fill="FFFFFF"/>
            <w:vAlign w:val="center"/>
            <w:hideMark/>
          </w:tcPr>
          <w:p w14:paraId="084CE0E5"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0,10%</w:t>
            </w:r>
          </w:p>
        </w:tc>
        <w:tc>
          <w:tcPr>
            <w:tcW w:w="920" w:type="dxa"/>
            <w:tcBorders>
              <w:top w:val="nil"/>
              <w:left w:val="nil"/>
              <w:bottom w:val="single" w:sz="8" w:space="0" w:color="67B93E"/>
              <w:right w:val="single" w:sz="8" w:space="0" w:color="67B93E"/>
            </w:tcBorders>
            <w:shd w:val="clear" w:color="000000" w:fill="FFFFFF"/>
            <w:vAlign w:val="center"/>
            <w:hideMark/>
          </w:tcPr>
          <w:p w14:paraId="085C7588"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5</w:t>
            </w:r>
          </w:p>
        </w:tc>
        <w:tc>
          <w:tcPr>
            <w:tcW w:w="1060" w:type="dxa"/>
            <w:tcBorders>
              <w:top w:val="nil"/>
              <w:left w:val="nil"/>
              <w:bottom w:val="single" w:sz="8" w:space="0" w:color="67B93E"/>
              <w:right w:val="single" w:sz="8" w:space="0" w:color="67B93E"/>
            </w:tcBorders>
            <w:shd w:val="clear" w:color="000000" w:fill="FFFFFF"/>
            <w:vAlign w:val="center"/>
            <w:hideMark/>
          </w:tcPr>
          <w:p w14:paraId="5E1588B1"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eastAsia="es-CO"/>
              </w:rPr>
              <w:t>0,19%</w:t>
            </w:r>
          </w:p>
        </w:tc>
        <w:tc>
          <w:tcPr>
            <w:tcW w:w="1100" w:type="dxa"/>
            <w:tcBorders>
              <w:top w:val="nil"/>
              <w:left w:val="nil"/>
              <w:bottom w:val="single" w:sz="8" w:space="0" w:color="67B93E"/>
              <w:right w:val="single" w:sz="8" w:space="0" w:color="67B93E"/>
            </w:tcBorders>
            <w:shd w:val="clear" w:color="000000" w:fill="FFFFFF"/>
            <w:vAlign w:val="center"/>
            <w:hideMark/>
          </w:tcPr>
          <w:p w14:paraId="7B29E788" w14:textId="77777777" w:rsidR="00273354" w:rsidRPr="00273354" w:rsidRDefault="00273354" w:rsidP="00273354">
            <w:pPr>
              <w:widowControl/>
              <w:autoSpaceDE/>
              <w:autoSpaceDN/>
              <w:jc w:val="center"/>
              <w:rPr>
                <w:rFonts w:ascii="Humanst521 BT" w:eastAsia="Times New Roman" w:hAnsi="Humanst521 BT" w:cs="Calibri"/>
                <w:color w:val="000000"/>
                <w:sz w:val="20"/>
                <w:szCs w:val="20"/>
                <w:lang w:val="es-CO" w:eastAsia="es-CO"/>
              </w:rPr>
            </w:pPr>
            <w:r w:rsidRPr="00273354">
              <w:rPr>
                <w:rFonts w:ascii="Humanst521 BT" w:eastAsia="Times New Roman" w:hAnsi="Humanst521 BT" w:cs="Calibri"/>
                <w:color w:val="000000"/>
                <w:sz w:val="20"/>
                <w:szCs w:val="20"/>
                <w:lang w:val="es-CO" w:eastAsia="es-CO"/>
              </w:rPr>
              <w:t>0,09%</w:t>
            </w:r>
          </w:p>
        </w:tc>
      </w:tr>
      <w:tr w:rsidR="00273354" w:rsidRPr="00273354" w14:paraId="732130B6" w14:textId="77777777" w:rsidTr="00273354">
        <w:trPr>
          <w:trHeight w:val="375"/>
        </w:trPr>
        <w:tc>
          <w:tcPr>
            <w:tcW w:w="4120" w:type="dxa"/>
            <w:tcBorders>
              <w:top w:val="nil"/>
              <w:left w:val="single" w:sz="8" w:space="0" w:color="67B93E"/>
              <w:bottom w:val="single" w:sz="8" w:space="0" w:color="67B93E"/>
              <w:right w:val="single" w:sz="8" w:space="0" w:color="67B93E"/>
            </w:tcBorders>
            <w:shd w:val="clear" w:color="000000" w:fill="C5E0B3"/>
            <w:vAlign w:val="center"/>
            <w:hideMark/>
          </w:tcPr>
          <w:p w14:paraId="66809566"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Total</w:t>
            </w:r>
          </w:p>
        </w:tc>
        <w:tc>
          <w:tcPr>
            <w:tcW w:w="980" w:type="dxa"/>
            <w:tcBorders>
              <w:top w:val="nil"/>
              <w:left w:val="nil"/>
              <w:bottom w:val="single" w:sz="8" w:space="0" w:color="67B93E"/>
              <w:right w:val="single" w:sz="8" w:space="0" w:color="67B93E"/>
            </w:tcBorders>
            <w:shd w:val="clear" w:color="000000" w:fill="C5E0B3"/>
            <w:vAlign w:val="center"/>
            <w:hideMark/>
          </w:tcPr>
          <w:p w14:paraId="6DF06921"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2.235</w:t>
            </w:r>
          </w:p>
        </w:tc>
        <w:tc>
          <w:tcPr>
            <w:tcW w:w="1300" w:type="dxa"/>
            <w:tcBorders>
              <w:top w:val="nil"/>
              <w:left w:val="nil"/>
              <w:bottom w:val="single" w:sz="8" w:space="0" w:color="67B93E"/>
              <w:right w:val="single" w:sz="8" w:space="0" w:color="67B93E"/>
            </w:tcBorders>
            <w:shd w:val="clear" w:color="000000" w:fill="C5E0B3"/>
            <w:vAlign w:val="center"/>
            <w:hideMark/>
          </w:tcPr>
          <w:p w14:paraId="3AFE1997"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100%</w:t>
            </w:r>
          </w:p>
        </w:tc>
        <w:tc>
          <w:tcPr>
            <w:tcW w:w="920" w:type="dxa"/>
            <w:tcBorders>
              <w:top w:val="nil"/>
              <w:left w:val="nil"/>
              <w:bottom w:val="single" w:sz="8" w:space="0" w:color="67B93E"/>
              <w:right w:val="single" w:sz="8" w:space="0" w:color="67B93E"/>
            </w:tcBorders>
            <w:shd w:val="clear" w:color="000000" w:fill="C5E0B3"/>
            <w:vAlign w:val="center"/>
            <w:hideMark/>
          </w:tcPr>
          <w:p w14:paraId="41288069"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2.656</w:t>
            </w:r>
          </w:p>
        </w:tc>
        <w:tc>
          <w:tcPr>
            <w:tcW w:w="1060" w:type="dxa"/>
            <w:tcBorders>
              <w:top w:val="nil"/>
              <w:left w:val="nil"/>
              <w:bottom w:val="single" w:sz="8" w:space="0" w:color="67B93E"/>
              <w:right w:val="single" w:sz="8" w:space="0" w:color="67B93E"/>
            </w:tcBorders>
            <w:shd w:val="clear" w:color="000000" w:fill="C5E0B3"/>
            <w:vAlign w:val="center"/>
            <w:hideMark/>
          </w:tcPr>
          <w:p w14:paraId="49D30BB8"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eastAsia="es-CO"/>
              </w:rPr>
              <w:t>100%</w:t>
            </w:r>
          </w:p>
        </w:tc>
        <w:tc>
          <w:tcPr>
            <w:tcW w:w="1100" w:type="dxa"/>
            <w:tcBorders>
              <w:top w:val="nil"/>
              <w:left w:val="nil"/>
              <w:bottom w:val="single" w:sz="8" w:space="0" w:color="67B93E"/>
              <w:right w:val="single" w:sz="8" w:space="0" w:color="67B93E"/>
            </w:tcBorders>
            <w:shd w:val="clear" w:color="000000" w:fill="C5E0B3"/>
            <w:vAlign w:val="center"/>
            <w:hideMark/>
          </w:tcPr>
          <w:p w14:paraId="407567F0" w14:textId="77777777" w:rsidR="00273354" w:rsidRPr="00273354" w:rsidRDefault="00273354" w:rsidP="00273354">
            <w:pPr>
              <w:widowControl/>
              <w:autoSpaceDE/>
              <w:autoSpaceDN/>
              <w:jc w:val="center"/>
              <w:rPr>
                <w:rFonts w:ascii="Humanst521 BT" w:eastAsia="Times New Roman" w:hAnsi="Humanst521 BT" w:cs="Calibri"/>
                <w:b/>
                <w:bCs/>
                <w:color w:val="000000"/>
                <w:sz w:val="20"/>
                <w:szCs w:val="20"/>
                <w:lang w:val="es-CO" w:eastAsia="es-CO"/>
              </w:rPr>
            </w:pPr>
            <w:r w:rsidRPr="00273354">
              <w:rPr>
                <w:rFonts w:ascii="Humanst521 BT" w:eastAsia="Times New Roman" w:hAnsi="Humanst521 BT" w:cs="Calibri"/>
                <w:b/>
                <w:bCs/>
                <w:color w:val="000000"/>
                <w:sz w:val="20"/>
                <w:szCs w:val="20"/>
                <w:lang w:val="es-CO" w:eastAsia="es-CO"/>
              </w:rPr>
              <w:t> </w:t>
            </w:r>
          </w:p>
        </w:tc>
      </w:tr>
    </w:tbl>
    <w:p w14:paraId="47E59E50" w14:textId="5A0B9EC2" w:rsidR="002D0DFB" w:rsidRPr="00CE4C20" w:rsidRDefault="002D0DFB" w:rsidP="002D0DFB">
      <w:pPr>
        <w:jc w:val="both"/>
        <w:rPr>
          <w:rFonts w:ascii="Humanst521 BT" w:hAnsi="Humanst521 BT" w:cstheme="minorHAnsi"/>
        </w:rPr>
      </w:pPr>
      <w:r w:rsidRPr="00CE4C20">
        <w:rPr>
          <w:rFonts w:ascii="Humanst521 BT" w:hAnsi="Humanst521 BT" w:cstheme="minorHAnsi"/>
        </w:rPr>
        <w:t>Fuente: UISALUD, 202</w:t>
      </w:r>
      <w:r w:rsidR="00B12E0B">
        <w:rPr>
          <w:rFonts w:ascii="Humanst521 BT" w:hAnsi="Humanst521 BT" w:cstheme="minorHAnsi"/>
        </w:rPr>
        <w:t>5</w:t>
      </w:r>
    </w:p>
    <w:p w14:paraId="4EF74B83" w14:textId="77777777" w:rsidR="002D0DFB" w:rsidRDefault="002D0DFB" w:rsidP="002D0DFB">
      <w:pPr>
        <w:jc w:val="both"/>
        <w:rPr>
          <w:rFonts w:ascii="Humanst521 BT" w:hAnsi="Humanst521 BT" w:cstheme="minorHAnsi"/>
        </w:rPr>
      </w:pPr>
    </w:p>
    <w:p w14:paraId="3E731D65" w14:textId="77777777" w:rsidR="006C5A50" w:rsidRPr="00BA4104" w:rsidRDefault="006C5A50" w:rsidP="006C5A50">
      <w:pPr>
        <w:jc w:val="both"/>
        <w:rPr>
          <w:rFonts w:ascii="Humanst521 BT" w:hAnsi="Humanst521 BT" w:cstheme="minorBidi"/>
        </w:rPr>
      </w:pPr>
      <w:r w:rsidRPr="00BA4104">
        <w:rPr>
          <w:rFonts w:ascii="Humanst521 BT" w:hAnsi="Humanst521 BT" w:cstheme="minorBidi"/>
        </w:rPr>
        <w:t xml:space="preserve">El análisis de los días de incapacidad por subgrupos de enfermedades no transmisibles entre 2024 y 2025 muestra cambios relevantes en su composición, destacándose el incremento de las enfermedades musculoesqueléticas (+5,63 </w:t>
      </w:r>
      <w:proofErr w:type="spellStart"/>
      <w:r w:rsidRPr="00BA4104">
        <w:rPr>
          <w:rFonts w:ascii="Humanst521 BT" w:hAnsi="Humanst521 BT" w:cstheme="minorBidi"/>
        </w:rPr>
        <w:t>pp</w:t>
      </w:r>
      <w:proofErr w:type="spellEnd"/>
      <w:r w:rsidRPr="00BA4104">
        <w:rPr>
          <w:rFonts w:ascii="Humanst521 BT" w:hAnsi="Humanst521 BT" w:cstheme="minorBidi"/>
        </w:rPr>
        <w:t xml:space="preserve">), que pasan a ser una de las principales causas de incapacidad, así como el aumento de las enfermedades genitourinarias (+4,98 </w:t>
      </w:r>
      <w:proofErr w:type="spellStart"/>
      <w:r w:rsidRPr="00BA4104">
        <w:rPr>
          <w:rFonts w:ascii="Humanst521 BT" w:hAnsi="Humanst521 BT" w:cstheme="minorBidi"/>
        </w:rPr>
        <w:t>pp</w:t>
      </w:r>
      <w:proofErr w:type="spellEnd"/>
      <w:r w:rsidRPr="00BA4104">
        <w:rPr>
          <w:rFonts w:ascii="Humanst521 BT" w:hAnsi="Humanst521 BT" w:cstheme="minorBidi"/>
        </w:rPr>
        <w:t xml:space="preserve">), órganos de los sentidos (+2,19 </w:t>
      </w:r>
      <w:proofErr w:type="spellStart"/>
      <w:r w:rsidRPr="00BA4104">
        <w:rPr>
          <w:rFonts w:ascii="Humanst521 BT" w:hAnsi="Humanst521 BT" w:cstheme="minorBidi"/>
        </w:rPr>
        <w:t>pp</w:t>
      </w:r>
      <w:proofErr w:type="spellEnd"/>
      <w:r w:rsidRPr="00BA4104">
        <w:rPr>
          <w:rFonts w:ascii="Humanst521 BT" w:hAnsi="Humanst521 BT" w:cstheme="minorBidi"/>
        </w:rPr>
        <w:t xml:space="preserve">) y enfermedades cardiovasculares (+2,02 </w:t>
      </w:r>
      <w:proofErr w:type="spellStart"/>
      <w:r w:rsidRPr="00BA4104">
        <w:rPr>
          <w:rFonts w:ascii="Humanst521 BT" w:hAnsi="Humanst521 BT" w:cstheme="minorBidi"/>
        </w:rPr>
        <w:t>pp</w:t>
      </w:r>
      <w:proofErr w:type="spellEnd"/>
      <w:r w:rsidRPr="00BA4104">
        <w:rPr>
          <w:rFonts w:ascii="Humanst521 BT" w:hAnsi="Humanst521 BT" w:cstheme="minorBidi"/>
        </w:rPr>
        <w:t xml:space="preserve">). Llama especialmente la atención el crecimiento de otras neoplasias (+7,56 </w:t>
      </w:r>
      <w:proofErr w:type="spellStart"/>
      <w:r w:rsidRPr="00BA4104">
        <w:rPr>
          <w:rFonts w:ascii="Humanst521 BT" w:hAnsi="Humanst521 BT" w:cstheme="minorBidi"/>
        </w:rPr>
        <w:t>pp</w:t>
      </w:r>
      <w:proofErr w:type="spellEnd"/>
      <w:r w:rsidRPr="00BA4104">
        <w:rPr>
          <w:rFonts w:ascii="Humanst521 BT" w:hAnsi="Humanst521 BT" w:cstheme="minorBidi"/>
        </w:rPr>
        <w:t xml:space="preserve">) y de las neoplasias malignas (+2,34 </w:t>
      </w:r>
      <w:proofErr w:type="spellStart"/>
      <w:r w:rsidRPr="00BA4104">
        <w:rPr>
          <w:rFonts w:ascii="Humanst521 BT" w:hAnsi="Humanst521 BT" w:cstheme="minorBidi"/>
        </w:rPr>
        <w:t>pp</w:t>
      </w:r>
      <w:proofErr w:type="spellEnd"/>
      <w:r w:rsidRPr="00BA4104">
        <w:rPr>
          <w:rFonts w:ascii="Humanst521 BT" w:hAnsi="Humanst521 BT" w:cstheme="minorBidi"/>
        </w:rPr>
        <w:t xml:space="preserve">), lo que sugiere un mayor impacto de estas </w:t>
      </w:r>
      <w:r w:rsidRPr="00BA4104">
        <w:rPr>
          <w:rFonts w:ascii="Humanst521 BT" w:hAnsi="Humanst521 BT" w:cstheme="minorBidi"/>
        </w:rPr>
        <w:lastRenderedPageBreak/>
        <w:t xml:space="preserve">patologías en la generación de incapacidades. En contraste, se observa una disminución marcada en las condiciones neuropsiquiátricas (-19,20 </w:t>
      </w:r>
      <w:proofErr w:type="spellStart"/>
      <w:r w:rsidRPr="00BA4104">
        <w:rPr>
          <w:rFonts w:ascii="Humanst521 BT" w:hAnsi="Humanst521 BT" w:cstheme="minorBidi"/>
        </w:rPr>
        <w:t>pp</w:t>
      </w:r>
      <w:proofErr w:type="spellEnd"/>
      <w:r w:rsidRPr="00BA4104">
        <w:rPr>
          <w:rFonts w:ascii="Humanst521 BT" w:hAnsi="Humanst521 BT" w:cstheme="minorBidi"/>
        </w:rPr>
        <w:t>), que en 2024 representaban la principal causa</w:t>
      </w:r>
      <w:r>
        <w:rPr>
          <w:rFonts w:ascii="Humanst521 BT" w:hAnsi="Humanst521 BT" w:cstheme="minorBidi"/>
        </w:rPr>
        <w:t>, dado por tres pacientes que se pensionaron por invalidez</w:t>
      </w:r>
      <w:r w:rsidRPr="00BA4104">
        <w:rPr>
          <w:rFonts w:ascii="Humanst521 BT" w:hAnsi="Humanst521 BT" w:cstheme="minorBidi"/>
        </w:rPr>
        <w:t xml:space="preserve">, así como en las enfermedades digestivas (-3,89 </w:t>
      </w:r>
      <w:proofErr w:type="spellStart"/>
      <w:r w:rsidRPr="00BA4104">
        <w:rPr>
          <w:rFonts w:ascii="Humanst521 BT" w:hAnsi="Humanst521 BT" w:cstheme="minorBidi"/>
        </w:rPr>
        <w:t>pp</w:t>
      </w:r>
      <w:proofErr w:type="spellEnd"/>
      <w:r w:rsidRPr="00BA4104">
        <w:rPr>
          <w:rFonts w:ascii="Humanst521 BT" w:hAnsi="Humanst521 BT" w:cstheme="minorBidi"/>
        </w:rPr>
        <w:t>). En conjunto, estos resultados evidencian variaciones importantes dentro de las enfermedades no transmisibles, con un desplazamiento hacia causas de tipo musculoesquelético, neoplásico y cardiovascular, lo que orienta la necesidad de fortalecer estrategias de prevención, diagnóstico oportuno, rehabilitación y manejo integral, enfocadas en reducir la duración y recurrencia de las incapacidades y su impacto en la productividad.</w:t>
      </w:r>
    </w:p>
    <w:p w14:paraId="74FBD131" w14:textId="77777777" w:rsidR="006C5A50" w:rsidRDefault="006C5A50" w:rsidP="002D0DFB">
      <w:pPr>
        <w:jc w:val="both"/>
        <w:rPr>
          <w:rFonts w:ascii="Humanst521 BT" w:hAnsi="Humanst521 BT" w:cstheme="minorHAnsi"/>
        </w:rPr>
      </w:pPr>
    </w:p>
    <w:p w14:paraId="293F4D6F" w14:textId="77777777" w:rsidR="007325D7" w:rsidRDefault="007325D7" w:rsidP="002D0DFB">
      <w:pPr>
        <w:jc w:val="both"/>
        <w:rPr>
          <w:rFonts w:ascii="Humanst521 BT" w:hAnsi="Humanst521 BT" w:cstheme="minorHAnsi"/>
        </w:rPr>
      </w:pPr>
    </w:p>
    <w:p w14:paraId="67C3536E" w14:textId="4D2B946A" w:rsidR="00852C53" w:rsidRDefault="007325D7" w:rsidP="007325D7">
      <w:pPr>
        <w:pStyle w:val="Prrafodelista"/>
        <w:tabs>
          <w:tab w:val="left" w:pos="2465"/>
        </w:tabs>
        <w:ind w:left="1782" w:right="385" w:firstLine="0"/>
        <w:outlineLvl w:val="2"/>
        <w:rPr>
          <w:rFonts w:ascii="Humanst521 BT" w:hAnsi="Humanst521 BT"/>
          <w:b/>
          <w:bCs/>
          <w:color w:val="2F5496" w:themeColor="accent1" w:themeShade="BF"/>
          <w:sz w:val="24"/>
          <w:szCs w:val="24"/>
        </w:rPr>
      </w:pPr>
      <w:bookmarkStart w:id="142" w:name="_Toc161297453"/>
      <w:bookmarkStart w:id="143" w:name="_Toc231286807"/>
      <w:r>
        <w:rPr>
          <w:rFonts w:ascii="Humanst521 BT" w:hAnsi="Humanst521 BT"/>
          <w:b/>
          <w:bCs/>
          <w:color w:val="2F5496" w:themeColor="accent1" w:themeShade="BF"/>
          <w:sz w:val="24"/>
          <w:szCs w:val="24"/>
        </w:rPr>
        <w:t>5.2.</w:t>
      </w:r>
      <w:proofErr w:type="gramStart"/>
      <w:r>
        <w:rPr>
          <w:rFonts w:ascii="Humanst521 BT" w:hAnsi="Humanst521 BT"/>
          <w:b/>
          <w:bCs/>
          <w:color w:val="2F5496" w:themeColor="accent1" w:themeShade="BF"/>
          <w:sz w:val="24"/>
          <w:szCs w:val="24"/>
        </w:rPr>
        <w:t>2.</w:t>
      </w:r>
      <w:r w:rsidR="00852C53" w:rsidRPr="007325D7">
        <w:rPr>
          <w:rFonts w:ascii="Humanst521 BT" w:hAnsi="Humanst521 BT"/>
          <w:b/>
          <w:bCs/>
          <w:color w:val="2F5496" w:themeColor="accent1" w:themeShade="BF"/>
          <w:sz w:val="24"/>
          <w:szCs w:val="24"/>
        </w:rPr>
        <w:t>Conclusiones</w:t>
      </w:r>
      <w:proofErr w:type="gramEnd"/>
      <w:r w:rsidR="00852C53" w:rsidRPr="007325D7">
        <w:rPr>
          <w:rFonts w:ascii="Humanst521 BT" w:hAnsi="Humanst521 BT"/>
          <w:b/>
          <w:bCs/>
          <w:color w:val="2F5496" w:themeColor="accent1" w:themeShade="BF"/>
          <w:sz w:val="24"/>
          <w:szCs w:val="24"/>
        </w:rPr>
        <w:t xml:space="preserve"> </w:t>
      </w:r>
      <w:r w:rsidR="0002437C">
        <w:rPr>
          <w:rFonts w:ascii="Humanst521 BT" w:hAnsi="Humanst521 BT"/>
          <w:b/>
          <w:bCs/>
          <w:color w:val="2F5496" w:themeColor="accent1" w:themeShade="BF"/>
          <w:sz w:val="24"/>
          <w:szCs w:val="24"/>
        </w:rPr>
        <w:t>capítulo 2. M</w:t>
      </w:r>
      <w:r w:rsidR="00852C53" w:rsidRPr="007325D7">
        <w:rPr>
          <w:rFonts w:ascii="Humanst521 BT" w:hAnsi="Humanst521 BT"/>
          <w:b/>
          <w:bCs/>
          <w:color w:val="2F5496" w:themeColor="accent1" w:themeShade="BF"/>
          <w:sz w:val="24"/>
          <w:szCs w:val="24"/>
        </w:rPr>
        <w:t>orbilidad</w:t>
      </w:r>
      <w:bookmarkEnd w:id="142"/>
      <w:bookmarkEnd w:id="143"/>
    </w:p>
    <w:p w14:paraId="63148817" w14:textId="77777777" w:rsidR="007325D7" w:rsidRPr="007325D7" w:rsidRDefault="007325D7" w:rsidP="007325D7">
      <w:pPr>
        <w:pStyle w:val="Prrafodelista"/>
        <w:tabs>
          <w:tab w:val="left" w:pos="2465"/>
        </w:tabs>
        <w:ind w:left="1782" w:right="385" w:firstLine="0"/>
        <w:outlineLvl w:val="2"/>
        <w:rPr>
          <w:rFonts w:ascii="Humanst521 BT" w:hAnsi="Humanst521 BT"/>
          <w:b/>
          <w:bCs/>
          <w:color w:val="2F5496" w:themeColor="accent1" w:themeShade="BF"/>
          <w:sz w:val="24"/>
          <w:szCs w:val="24"/>
        </w:rPr>
      </w:pPr>
    </w:p>
    <w:p w14:paraId="75D3BD03" w14:textId="4C00745B" w:rsidR="00634B56" w:rsidRPr="007F0FA7" w:rsidRDefault="00FF21B6" w:rsidP="00093B44">
      <w:pPr>
        <w:jc w:val="both"/>
        <w:rPr>
          <w:rFonts w:ascii="Humanst521 BT" w:hAnsi="Humanst521 BT"/>
        </w:rPr>
      </w:pPr>
      <w:r w:rsidRPr="007F0FA7">
        <w:rPr>
          <w:rFonts w:ascii="Humanst521 BT" w:hAnsi="Humanst521 BT"/>
        </w:rPr>
        <w:t>Morbilidad Atendida: El predominio son las enfermedades no transmisibles, especialmente en la población adulta y mayor, quienes concentran el mayor porcentaje de consultas en 2024. Aunque estas enfermedades han disminuido ligeramente en porcentaje, aún constituyen la principal causa de morbilidad, en contraste con el aumento de condiciones transmisibles y nutricionales. Las enfermedades cardiovasculares, musculoesqueléticas e infecciones respiratorias destacan como los subgrupos de mayor atención, lo cual sugiere áreas críticas de intervención en salud para los afiliados de UISALUD.</w:t>
      </w:r>
    </w:p>
    <w:p w14:paraId="33D9FFF0" w14:textId="77777777" w:rsidR="0068546E" w:rsidRPr="007F0FA7" w:rsidRDefault="0068546E" w:rsidP="00093B44">
      <w:pPr>
        <w:jc w:val="both"/>
        <w:rPr>
          <w:rFonts w:ascii="Humanst521 BT" w:hAnsi="Humanst521 BT"/>
        </w:rPr>
      </w:pPr>
    </w:p>
    <w:p w14:paraId="2247AD36" w14:textId="36B884AA" w:rsidR="0068546E" w:rsidRPr="007F0FA7" w:rsidRDefault="0068546E" w:rsidP="00093B44">
      <w:pPr>
        <w:jc w:val="both"/>
        <w:rPr>
          <w:rFonts w:ascii="Humanst521 BT" w:hAnsi="Humanst521 BT"/>
        </w:rPr>
      </w:pPr>
      <w:r w:rsidRPr="007F0FA7">
        <w:rPr>
          <w:rFonts w:ascii="Humanst521 BT" w:hAnsi="Humanst521 BT"/>
        </w:rPr>
        <w:t xml:space="preserve">Eventos de Interés en salud pública: El evento prioritario mayor notificado </w:t>
      </w:r>
      <w:r w:rsidR="004F2786" w:rsidRPr="007F0FA7">
        <w:rPr>
          <w:rFonts w:ascii="Humanst521 BT" w:hAnsi="Humanst521 BT"/>
        </w:rPr>
        <w:t>es el</w:t>
      </w:r>
      <w:r w:rsidRPr="007F0FA7">
        <w:rPr>
          <w:rFonts w:ascii="Humanst521 BT" w:hAnsi="Humanst521 BT"/>
        </w:rPr>
        <w:t xml:space="preserve"> dengue, representando el 83% de los eventos de interés en salud pública en el de 2024. La positividad del 32,8% en las pruebas realizadas destaca la necesidad de fortalecer las acciones de prevención y control de esta enfermedad. Otros eventos, como agresiones por animales transmisores de rabia, intentos de suicidio e infecciones respiratorias agudas graves, aunque menos frecuentes, también requieren atención continua en las estrategias de intervención y vigilancia.</w:t>
      </w:r>
    </w:p>
    <w:p w14:paraId="3267E2BA" w14:textId="77777777" w:rsidR="00235B24" w:rsidRPr="007F0FA7" w:rsidRDefault="00235B24" w:rsidP="00093B44">
      <w:pPr>
        <w:jc w:val="both"/>
        <w:rPr>
          <w:rFonts w:ascii="Humanst521 BT" w:hAnsi="Humanst521 BT"/>
        </w:rPr>
      </w:pPr>
    </w:p>
    <w:p w14:paraId="11F06D50" w14:textId="77777777" w:rsidR="00032E3C" w:rsidRPr="007F0FA7" w:rsidRDefault="00032E3C" w:rsidP="00093B44">
      <w:pPr>
        <w:pStyle w:val="NormalWeb"/>
        <w:jc w:val="both"/>
        <w:rPr>
          <w:rFonts w:ascii="Humanst521 BT" w:eastAsia="Verdana" w:hAnsi="Humanst521 BT" w:cs="Verdana"/>
          <w:sz w:val="22"/>
          <w:szCs w:val="22"/>
          <w:lang w:val="es-ES" w:eastAsia="en-US"/>
        </w:rPr>
      </w:pPr>
      <w:r w:rsidRPr="007F0FA7">
        <w:rPr>
          <w:rFonts w:ascii="Humanst521 BT" w:eastAsia="Verdana" w:hAnsi="Humanst521 BT" w:cs="Verdana"/>
          <w:sz w:val="22"/>
          <w:szCs w:val="22"/>
          <w:lang w:val="es-ES" w:eastAsia="en-US"/>
        </w:rPr>
        <w:t>Morbilidad Trazadora: El análisis de morbilidad trazadora en UISALUD muestra resultados favorables, ya que no se presentan casos reportados en indicadores clave como insuficiencia renal aguda secundaria a obstrucción, cáncer invasivo de cérvix, pie diabético, entre otros. Esta ausencia de casos podría reflejar el éxito de los programas de detección temprana y prevención implementados, los cuales estarían contribuyendo a mantener bajos niveles de incidencia en estas patologías críticas en la población afiliada.</w:t>
      </w:r>
    </w:p>
    <w:p w14:paraId="1FDE3D62" w14:textId="4F5257EC" w:rsidR="0014720E" w:rsidRPr="007F0FA7" w:rsidRDefault="006619EB" w:rsidP="00093B44">
      <w:pPr>
        <w:jc w:val="both"/>
        <w:rPr>
          <w:rFonts w:ascii="Humanst521 BT" w:hAnsi="Humanst521 BT"/>
        </w:rPr>
      </w:pPr>
      <w:r w:rsidRPr="007F0FA7">
        <w:rPr>
          <w:rFonts w:ascii="Humanst521 BT" w:hAnsi="Humanst521 BT"/>
        </w:rPr>
        <w:t xml:space="preserve">Patologías </w:t>
      </w:r>
      <w:r w:rsidR="002C34C7" w:rsidRPr="007F0FA7">
        <w:rPr>
          <w:rFonts w:ascii="Humanst521 BT" w:hAnsi="Humanst521 BT"/>
        </w:rPr>
        <w:t>cohortes de la Cuenta de Alto Costo</w:t>
      </w:r>
      <w:r w:rsidR="00E941CB" w:rsidRPr="007F0FA7">
        <w:rPr>
          <w:rFonts w:ascii="Humanst521 BT" w:hAnsi="Humanst521 BT"/>
        </w:rPr>
        <w:t xml:space="preserve"> en el análisis de la morbilidad en la población de UISALUD es la alta prevalencia de enfermedades crónicas no transmisibles, como la hipertensión arterial (HTA), diabetes mellitus (DM) y obesidad, con un énfasis particular en la hipertensión y diabetes en los grupos de 18 a 69 años. A pesar de los esfuerzos para reducir las tasas de prevalencia en 2024, los valores de prevalencia de HTA (21%) y DM (5,9%) siguen siendo elevados, estando por encima de los promedios nacionales y regionales. Estas condiciones, que afectan a una porción significativa de la población, son factores de riesgo importantes para otras patologías graves como la enfermedad renal crónica y el cáncer. Estrategias de intervención deben enfocarse en mejorar la detección temprana, el tratamiento adecuado y la educación en estilos de vida saludables para reducir la carga de estas enfermedades crónicas, promoviendo un enfoque integral que incluya la prevención, el control y el seguimiento continuo.</w:t>
      </w:r>
    </w:p>
    <w:p w14:paraId="775CEBC9" w14:textId="77777777" w:rsidR="00BD1CE2" w:rsidRPr="007F0FA7" w:rsidRDefault="00BD1CE2" w:rsidP="00093B44">
      <w:pPr>
        <w:rPr>
          <w:rFonts w:ascii="Humanst521 BT" w:hAnsi="Humanst521 BT"/>
        </w:rPr>
      </w:pPr>
    </w:p>
    <w:p w14:paraId="08205332" w14:textId="4D217B80" w:rsidR="00BD1CE2" w:rsidRPr="007F0FA7" w:rsidRDefault="007A2219" w:rsidP="00093B44">
      <w:pPr>
        <w:jc w:val="both"/>
        <w:rPr>
          <w:rFonts w:ascii="Humanst521 BT" w:hAnsi="Humanst521 BT"/>
        </w:rPr>
      </w:pPr>
      <w:r w:rsidRPr="007F0FA7">
        <w:rPr>
          <w:rFonts w:ascii="Humanst521 BT" w:hAnsi="Humanst521 BT"/>
        </w:rPr>
        <w:t>P</w:t>
      </w:r>
      <w:r w:rsidR="00BD1CE2" w:rsidRPr="007F0FA7">
        <w:rPr>
          <w:rFonts w:ascii="Humanst521 BT" w:hAnsi="Humanst521 BT"/>
        </w:rPr>
        <w:t xml:space="preserve">atologías y eventos de alto consumo en UISALUD, se destaca que las neoplasias, particularmente los tumores malignos, constituyen el problema prioritario que justifica una intervención. Este grupo, que incluye </w:t>
      </w:r>
      <w:r w:rsidR="00BD1CE2" w:rsidRPr="007F0FA7">
        <w:rPr>
          <w:rFonts w:ascii="Humanst521 BT" w:hAnsi="Humanst521 BT"/>
        </w:rPr>
        <w:lastRenderedPageBreak/>
        <w:t>cánceres de próstata, mama, colon y otros, representa el 34% del costo total, con un costo elevado promedio por paciente y una incidencia creciente en la población de edad avanzada. Es crucial implementar estrategias de prevención, diagnóstico temprano y optimización en los tratamientos para reducir la carga financiera y mejorar la calidad de vida de los pacientes afectados. Además, las enfermedades cardiovasculares y neurológicas también merecen atención prioritaria debido a su alta participación en los costos, lo que requiere fortalecer los programas de manejo integral y seguimiento de estas condiciones crónicas.</w:t>
      </w:r>
    </w:p>
    <w:p w14:paraId="494DE7A3" w14:textId="48A6238C" w:rsidR="001A6203" w:rsidRPr="007F0FA7" w:rsidRDefault="001A6203" w:rsidP="001A6203">
      <w:pPr>
        <w:pStyle w:val="NormalWeb"/>
        <w:rPr>
          <w:rFonts w:ascii="Humanst521 BT" w:hAnsi="Humanst521 BT"/>
        </w:rPr>
      </w:pPr>
      <w:r w:rsidRPr="007F0FA7">
        <w:rPr>
          <w:rFonts w:ascii="Humanst521 BT" w:hAnsi="Humanst521 BT"/>
        </w:rPr>
        <w:t xml:space="preserve">Con base en la información sobre la morbilidad atendida, los eventos de interés en salud pública y las patologías de alto consumo, </w:t>
      </w:r>
      <w:r w:rsidR="00EF6DBF">
        <w:rPr>
          <w:rFonts w:ascii="Humanst521 BT" w:hAnsi="Humanst521 BT"/>
        </w:rPr>
        <w:t xml:space="preserve">y la morbilidad dada por incapacidades </w:t>
      </w:r>
      <w:r w:rsidRPr="007F0FA7">
        <w:rPr>
          <w:rFonts w:ascii="Humanst521 BT" w:hAnsi="Humanst521 BT"/>
        </w:rPr>
        <w:t xml:space="preserve">se pueden identificar las principales problemáticas de salud para los afiliados a UISALUD. </w:t>
      </w:r>
    </w:p>
    <w:p w14:paraId="0CA3AD8B" w14:textId="140AFCE8" w:rsidR="00244200" w:rsidRPr="00EF6DBF" w:rsidRDefault="001A6203" w:rsidP="0076711B">
      <w:pPr>
        <w:pStyle w:val="NormalWeb"/>
        <w:jc w:val="both"/>
        <w:rPr>
          <w:rFonts w:ascii="Humanst521 BT" w:hAnsi="Humanst521 BT"/>
          <w:sz w:val="22"/>
          <w:szCs w:val="22"/>
        </w:rPr>
      </w:pPr>
      <w:r w:rsidRPr="00EF6DBF">
        <w:rPr>
          <w:rFonts w:ascii="Humanst521 BT" w:hAnsi="Humanst521 BT"/>
        </w:rPr>
        <w:t>La</w:t>
      </w:r>
      <w:r w:rsidRPr="00EF6DBF">
        <w:rPr>
          <w:rFonts w:ascii="Humanst521 BT" w:hAnsi="Humanst521 BT"/>
          <w:b/>
          <w:bCs/>
        </w:rPr>
        <w:t xml:space="preserve"> </w:t>
      </w:r>
      <w:r w:rsidRPr="00EF6DBF">
        <w:rPr>
          <w:rStyle w:val="Textoennegrita"/>
          <w:rFonts w:ascii="Humanst521 BT" w:hAnsi="Humanst521 BT"/>
          <w:b w:val="0"/>
          <w:bCs w:val="0"/>
        </w:rPr>
        <w:t>alta prevalencia de enfermedades crónicas no transmisibles</w:t>
      </w:r>
      <w:r w:rsidRPr="00EF6DBF">
        <w:rPr>
          <w:rFonts w:ascii="Humanst521 BT" w:hAnsi="Humanst521 BT"/>
          <w:b/>
          <w:bCs/>
        </w:rPr>
        <w:t xml:space="preserve"> </w:t>
      </w:r>
      <w:r w:rsidRPr="00EF6DBF">
        <w:rPr>
          <w:rFonts w:ascii="Humanst521 BT" w:hAnsi="Humanst521 BT"/>
        </w:rPr>
        <w:t>y las</w:t>
      </w:r>
      <w:r w:rsidRPr="00EF6DBF">
        <w:rPr>
          <w:rFonts w:ascii="Humanst521 BT" w:hAnsi="Humanst521 BT"/>
          <w:b/>
          <w:bCs/>
        </w:rPr>
        <w:t xml:space="preserve"> </w:t>
      </w:r>
      <w:r w:rsidRPr="00EF6DBF">
        <w:rPr>
          <w:rStyle w:val="Textoennegrita"/>
          <w:rFonts w:ascii="Humanst521 BT" w:hAnsi="Humanst521 BT"/>
          <w:b w:val="0"/>
          <w:bCs w:val="0"/>
        </w:rPr>
        <w:t>enfermedades no transmisibles predominantes</w:t>
      </w:r>
      <w:r w:rsidRPr="00EF6DBF">
        <w:rPr>
          <w:rFonts w:ascii="Humanst521 BT" w:hAnsi="Humanst521 BT"/>
        </w:rPr>
        <w:t xml:space="preserve"> deben ser abordadas como prioridades de intervención debido a su alta carga de morbilidad y costos asociados. Además, la </w:t>
      </w:r>
      <w:r w:rsidRPr="00EF6DBF">
        <w:rPr>
          <w:rStyle w:val="Textoennegrita"/>
          <w:rFonts w:ascii="Humanst521 BT" w:hAnsi="Humanst521 BT"/>
          <w:b w:val="0"/>
          <w:bCs w:val="0"/>
        </w:rPr>
        <w:t>prevención y control del dengue</w:t>
      </w:r>
      <w:r w:rsidRPr="00EF6DBF">
        <w:rPr>
          <w:rFonts w:ascii="Humanst521 BT" w:hAnsi="Humanst521 BT"/>
        </w:rPr>
        <w:t xml:space="preserve"> debe recibir atención inmediata, dado el alto porcentaje de eventos notificados y la positividad en las pruebas. Las </w:t>
      </w:r>
      <w:r w:rsidRPr="00EF6DBF">
        <w:rPr>
          <w:rStyle w:val="Textoennegrita"/>
          <w:rFonts w:ascii="Humanst521 BT" w:hAnsi="Humanst521 BT"/>
          <w:b w:val="0"/>
          <w:bCs w:val="0"/>
        </w:rPr>
        <w:t>neoplasias</w:t>
      </w:r>
      <w:r w:rsidRPr="00EF6DBF">
        <w:rPr>
          <w:rFonts w:ascii="Humanst521 BT" w:hAnsi="Humanst521 BT"/>
        </w:rPr>
        <w:t xml:space="preserve"> también requieren acciones urgentes debido a su alta carga social y económica.</w:t>
      </w:r>
      <w:r w:rsidR="007C1956" w:rsidRPr="00EF6DBF">
        <w:rPr>
          <w:rFonts w:ascii="Humanst521 BT" w:hAnsi="Humanst521 BT"/>
          <w:noProof/>
          <w:sz w:val="22"/>
          <w:szCs w:val="22"/>
        </w:rPr>
        <mc:AlternateContent>
          <mc:Choice Requires="wpg">
            <w:drawing>
              <wp:anchor distT="0" distB="0" distL="0" distR="0" simplePos="0" relativeHeight="251443712" behindDoc="0" locked="0" layoutInCell="1" allowOverlap="1" wp14:anchorId="4D104F45" wp14:editId="71B44F81">
                <wp:simplePos x="0" y="0"/>
                <wp:positionH relativeFrom="page">
                  <wp:posOffset>7636509</wp:posOffset>
                </wp:positionH>
                <wp:positionV relativeFrom="page">
                  <wp:posOffset>0</wp:posOffset>
                </wp:positionV>
                <wp:extent cx="135890" cy="196342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963420"/>
                          <a:chOff x="0" y="0"/>
                          <a:chExt cx="135890" cy="1963420"/>
                        </a:xfrm>
                      </wpg:grpSpPr>
                      <wps:wsp>
                        <wps:cNvPr id="156" name="Graphic 156"/>
                        <wps:cNvSpPr/>
                        <wps:spPr>
                          <a:xfrm>
                            <a:off x="0" y="0"/>
                            <a:ext cx="135890" cy="473709"/>
                          </a:xfrm>
                          <a:custGeom>
                            <a:avLst/>
                            <a:gdLst/>
                            <a:ahLst/>
                            <a:cxnLst/>
                            <a:rect l="l" t="t" r="r" b="b"/>
                            <a:pathLst>
                              <a:path w="135890" h="473709">
                                <a:moveTo>
                                  <a:pt x="0" y="473467"/>
                                </a:moveTo>
                                <a:lnTo>
                                  <a:pt x="135889" y="473468"/>
                                </a:lnTo>
                                <a:lnTo>
                                  <a:pt x="135889" y="0"/>
                                </a:lnTo>
                                <a:lnTo>
                                  <a:pt x="0" y="0"/>
                                </a:lnTo>
                                <a:lnTo>
                                  <a:pt x="0" y="473467"/>
                                </a:lnTo>
                                <a:close/>
                              </a:path>
                            </a:pathLst>
                          </a:custGeom>
                          <a:solidFill>
                            <a:srgbClr val="33AEA3"/>
                          </a:solidFill>
                        </wps:spPr>
                        <wps:bodyPr wrap="square" lIns="0" tIns="0" rIns="0" bIns="0" rtlCol="0">
                          <a:prstTxWarp prst="textNoShape">
                            <a:avLst/>
                          </a:prstTxWarp>
                          <a:noAutofit/>
                        </wps:bodyPr>
                      </wps:wsp>
                      <wps:wsp>
                        <wps:cNvPr id="157" name="Graphic 157"/>
                        <wps:cNvSpPr/>
                        <wps:spPr>
                          <a:xfrm>
                            <a:off x="0" y="471558"/>
                            <a:ext cx="135890" cy="499109"/>
                          </a:xfrm>
                          <a:custGeom>
                            <a:avLst/>
                            <a:gdLst/>
                            <a:ahLst/>
                            <a:cxnLst/>
                            <a:rect l="l" t="t" r="r" b="b"/>
                            <a:pathLst>
                              <a:path w="135890" h="499109">
                                <a:moveTo>
                                  <a:pt x="0" y="0"/>
                                </a:moveTo>
                                <a:lnTo>
                                  <a:pt x="0" y="498641"/>
                                </a:lnTo>
                                <a:lnTo>
                                  <a:pt x="135889" y="498641"/>
                                </a:lnTo>
                                <a:lnTo>
                                  <a:pt x="135889" y="0"/>
                                </a:lnTo>
                                <a:lnTo>
                                  <a:pt x="0" y="0"/>
                                </a:lnTo>
                                <a:close/>
                              </a:path>
                            </a:pathLst>
                          </a:custGeom>
                          <a:solidFill>
                            <a:srgbClr val="5CBEB6"/>
                          </a:solidFill>
                        </wps:spPr>
                        <wps:bodyPr wrap="square" lIns="0" tIns="0" rIns="0" bIns="0" rtlCol="0">
                          <a:prstTxWarp prst="textNoShape">
                            <a:avLst/>
                          </a:prstTxWarp>
                          <a:noAutofit/>
                        </wps:bodyPr>
                      </wps:wsp>
                      <wps:wsp>
                        <wps:cNvPr id="158" name="Graphic 158"/>
                        <wps:cNvSpPr/>
                        <wps:spPr>
                          <a:xfrm>
                            <a:off x="0" y="968289"/>
                            <a:ext cx="135890" cy="499109"/>
                          </a:xfrm>
                          <a:custGeom>
                            <a:avLst/>
                            <a:gdLst/>
                            <a:ahLst/>
                            <a:cxnLst/>
                            <a:rect l="l" t="t" r="r" b="b"/>
                            <a:pathLst>
                              <a:path w="135890" h="499109">
                                <a:moveTo>
                                  <a:pt x="0" y="0"/>
                                </a:moveTo>
                                <a:lnTo>
                                  <a:pt x="0" y="498615"/>
                                </a:lnTo>
                                <a:lnTo>
                                  <a:pt x="135889" y="498616"/>
                                </a:lnTo>
                                <a:lnTo>
                                  <a:pt x="135889" y="0"/>
                                </a:lnTo>
                                <a:lnTo>
                                  <a:pt x="0" y="0"/>
                                </a:lnTo>
                                <a:close/>
                              </a:path>
                            </a:pathLst>
                          </a:custGeom>
                          <a:solidFill>
                            <a:srgbClr val="85CFC7"/>
                          </a:solidFill>
                        </wps:spPr>
                        <wps:bodyPr wrap="square" lIns="0" tIns="0" rIns="0" bIns="0" rtlCol="0">
                          <a:prstTxWarp prst="textNoShape">
                            <a:avLst/>
                          </a:prstTxWarp>
                          <a:noAutofit/>
                        </wps:bodyPr>
                      </wps:wsp>
                      <wps:wsp>
                        <wps:cNvPr id="159" name="Graphic 159"/>
                        <wps:cNvSpPr/>
                        <wps:spPr>
                          <a:xfrm>
                            <a:off x="0" y="1464995"/>
                            <a:ext cx="135890" cy="498475"/>
                          </a:xfrm>
                          <a:custGeom>
                            <a:avLst/>
                            <a:gdLst/>
                            <a:ahLst/>
                            <a:cxnLst/>
                            <a:rect l="l" t="t" r="r" b="b"/>
                            <a:pathLst>
                              <a:path w="135890" h="498475">
                                <a:moveTo>
                                  <a:pt x="0" y="498424"/>
                                </a:moveTo>
                                <a:lnTo>
                                  <a:pt x="135889" y="498424"/>
                                </a:lnTo>
                                <a:lnTo>
                                  <a:pt x="135889" y="0"/>
                                </a:lnTo>
                                <a:lnTo>
                                  <a:pt x="0" y="0"/>
                                </a:lnTo>
                                <a:lnTo>
                                  <a:pt x="0" y="498424"/>
                                </a:lnTo>
                                <a:close/>
                              </a:path>
                            </a:pathLst>
                          </a:custGeom>
                          <a:solidFill>
                            <a:srgbClr val="D5EEEC"/>
                          </a:solidFill>
                        </wps:spPr>
                        <wps:bodyPr wrap="square" lIns="0" tIns="0" rIns="0" bIns="0" rtlCol="0">
                          <a:prstTxWarp prst="textNoShape">
                            <a:avLst/>
                          </a:prstTxWarp>
                          <a:noAutofit/>
                        </wps:bodyPr>
                      </wps:wsp>
                    </wpg:wgp>
                  </a:graphicData>
                </a:graphic>
              </wp:anchor>
            </w:drawing>
          </mc:Choice>
          <mc:Fallback>
            <w:pict>
              <v:group w14:anchorId="568BBA93" id="Group 155" o:spid="_x0000_s1026" style="position:absolute;margin-left:601.3pt;margin-top:0;width:10.7pt;height:154.6pt;z-index:251443712;mso-wrap-distance-left:0;mso-wrap-distance-right:0;mso-position-horizontal-relative:page;mso-position-vertical-relative:page" coordsize="1358,19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">
                <v:shape id="Graphic 156" o:spid="_x0000_s1027" style="position:absolute;width:1358;height:4737;visibility:visible;mso-wrap-style:square;v-text-anchor:top" coordsize="13589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" path="m,473467r135889,1l135889,,,,,473467xe" fillcolor="#33aea3" stroked="f">
                  <v:path arrowok="t"/>
                </v:shape>
                <v:shape id="Graphic 157" o:spid="_x0000_s1028" style="position:absolute;top:4715;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" path="m,l,498641r135889,l135889,,,xe" fillcolor="#5cbeb6" stroked="f">
                  <v:path arrowok="t"/>
                </v:shape>
                <v:shape id="Graphic 158" o:spid="_x0000_s1029" style="position:absolute;top:9682;width:1358;height:4991;visibility:visible;mso-wrap-style:square;v-text-anchor:top" coordsize="135890,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" path="m,l,498615r135889,1l135889,,,xe" fillcolor="#85cfc7" stroked="f">
                  <v:path arrowok="t"/>
                </v:shape>
                <v:shape id="Graphic 159" o:spid="_x0000_s1030" style="position:absolute;top:14649;width:1358;height:4985;visibility:visible;mso-wrap-style:square;v-text-anchor:top" coordsize="135890,498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" path="m,498424r135889,l135889,,,,,498424xe" fillcolor="#d5eeec" stroked="f">
                  <v:path arrowok="t"/>
                </v:shape>
                <w10:wrap anchorx="page" anchory="page"/>
              </v:group>
            </w:pict>
          </mc:Fallback>
        </mc:AlternateContent>
      </w:r>
    </w:p>
    <w:p w14:paraId="7E455AAD" w14:textId="3D90058E" w:rsidR="00244200" w:rsidRPr="007F0FA7" w:rsidRDefault="00244200" w:rsidP="00093B44">
      <w:pPr>
        <w:pStyle w:val="Textoindependiente"/>
        <w:rPr>
          <w:rFonts w:ascii="Humanst521 BT" w:hAnsi="Humanst521 BT"/>
          <w:b/>
          <w:sz w:val="22"/>
          <w:szCs w:val="22"/>
        </w:rPr>
      </w:pPr>
    </w:p>
    <w:p w14:paraId="6BB5C11A" w14:textId="3338D627" w:rsidR="00244200" w:rsidRPr="0002437C" w:rsidRDefault="001050AA" w:rsidP="00093B44">
      <w:pPr>
        <w:tabs>
          <w:tab w:val="left" w:pos="1061"/>
        </w:tabs>
        <w:spacing w:before="1"/>
        <w:ind w:left="1062" w:right="379"/>
        <w:outlineLvl w:val="2"/>
        <w:rPr>
          <w:rFonts w:ascii="Humanst521 BT" w:hAnsi="Humanst521 BT"/>
          <w:b/>
          <w:bCs/>
          <w:color w:val="2F5496" w:themeColor="accent1" w:themeShade="BF"/>
          <w:sz w:val="24"/>
          <w:szCs w:val="24"/>
        </w:rPr>
      </w:pPr>
      <w:bookmarkStart w:id="144" w:name="_Toc231286808"/>
      <w:r w:rsidRPr="0002437C">
        <w:rPr>
          <w:rFonts w:ascii="Humanst521 BT" w:hAnsi="Humanst521 BT"/>
          <w:b/>
          <w:bCs/>
          <w:color w:val="2F5496" w:themeColor="accent1" w:themeShade="BF"/>
          <w:sz w:val="24"/>
          <w:szCs w:val="24"/>
        </w:rPr>
        <w:t>5.2.</w:t>
      </w:r>
      <w:r w:rsidR="00C93AFE">
        <w:rPr>
          <w:rFonts w:ascii="Humanst521 BT" w:hAnsi="Humanst521 BT"/>
          <w:b/>
          <w:bCs/>
          <w:color w:val="2F5496" w:themeColor="accent1" w:themeShade="BF"/>
          <w:sz w:val="24"/>
          <w:szCs w:val="24"/>
        </w:rPr>
        <w:t>3</w:t>
      </w:r>
      <w:r w:rsidRPr="0002437C">
        <w:rPr>
          <w:rFonts w:ascii="Humanst521 BT" w:hAnsi="Humanst521 BT"/>
          <w:b/>
          <w:bCs/>
          <w:color w:val="2F5496" w:themeColor="accent1" w:themeShade="BF"/>
          <w:sz w:val="24"/>
          <w:szCs w:val="24"/>
        </w:rPr>
        <w:t>.</w:t>
      </w:r>
      <w:r w:rsidR="007C3110" w:rsidRPr="0002437C">
        <w:rPr>
          <w:rFonts w:ascii="Humanst521 BT" w:hAnsi="Humanst521 BT"/>
          <w:b/>
          <w:bCs/>
          <w:color w:val="2F5496" w:themeColor="accent1" w:themeShade="BF"/>
          <w:sz w:val="24"/>
          <w:szCs w:val="24"/>
        </w:rPr>
        <w:t xml:space="preserve"> </w:t>
      </w:r>
      <w:r w:rsidR="00C6603B" w:rsidRPr="0002437C">
        <w:rPr>
          <w:rFonts w:ascii="Humanst521 BT" w:hAnsi="Humanst521 BT"/>
          <w:b/>
          <w:bCs/>
          <w:color w:val="2F5496" w:themeColor="accent1" w:themeShade="BF"/>
          <w:sz w:val="24"/>
          <w:szCs w:val="24"/>
        </w:rPr>
        <w:t>M</w:t>
      </w:r>
      <w:r w:rsidR="002F568F" w:rsidRPr="0002437C">
        <w:rPr>
          <w:rFonts w:ascii="Humanst521 BT" w:hAnsi="Humanst521 BT"/>
          <w:b/>
          <w:bCs/>
          <w:color w:val="2F5496" w:themeColor="accent1" w:themeShade="BF"/>
          <w:sz w:val="24"/>
          <w:szCs w:val="24"/>
        </w:rPr>
        <w:t>ortalidad</w:t>
      </w:r>
      <w:bookmarkEnd w:id="144"/>
    </w:p>
    <w:p w14:paraId="0F06C04A" w14:textId="77777777" w:rsidR="00074E05" w:rsidRPr="007F0FA7" w:rsidRDefault="00074E05" w:rsidP="00093B44">
      <w:pPr>
        <w:rPr>
          <w:rFonts w:ascii="Humanst521 BT" w:hAnsi="Humanst521 BT" w:cs="Arial"/>
          <w:lang w:val="x-none" w:eastAsia="x-none"/>
        </w:rPr>
      </w:pPr>
    </w:p>
    <w:p w14:paraId="15115655" w14:textId="42B0AB9F" w:rsidR="006C2241" w:rsidRPr="007F0FA7" w:rsidRDefault="006C2241" w:rsidP="00093B44">
      <w:pPr>
        <w:adjustRightInd w:val="0"/>
        <w:jc w:val="both"/>
        <w:rPr>
          <w:rFonts w:ascii="Humanst521 BT" w:hAnsi="Humanst521 BT"/>
        </w:rPr>
      </w:pPr>
      <w:r w:rsidRPr="007F0FA7">
        <w:rPr>
          <w:rFonts w:ascii="Humanst521 BT" w:hAnsi="Humanst521 BT"/>
        </w:rPr>
        <w:t>La mortalidad se refiere al número de muertes en una población durante un periodo específico, siendo un indicador clave del estado de salud de los usuarios en UISALUD. Incluye muertes por enfermedades, accidentes y otros factores, y su análisis ayuda a identificar tendencias que pueden guiar políticas de salud pública.</w:t>
      </w:r>
    </w:p>
    <w:p w14:paraId="33DADEFC" w14:textId="77777777" w:rsidR="006C2241" w:rsidRPr="007F0FA7" w:rsidRDefault="006C2241" w:rsidP="00093B44">
      <w:pPr>
        <w:adjustRightInd w:val="0"/>
        <w:jc w:val="both"/>
        <w:rPr>
          <w:rFonts w:ascii="Humanst521 BT" w:hAnsi="Humanst521 BT" w:cs="Arial"/>
        </w:rPr>
      </w:pPr>
    </w:p>
    <w:p w14:paraId="110B8378" w14:textId="048CF4FD" w:rsidR="00074E05" w:rsidRPr="007F0FA7" w:rsidRDefault="00074E05" w:rsidP="00093B44">
      <w:pPr>
        <w:adjustRightInd w:val="0"/>
        <w:jc w:val="both"/>
        <w:rPr>
          <w:rFonts w:ascii="Humanst521 BT" w:hAnsi="Humanst521 BT" w:cs="Arial"/>
        </w:rPr>
      </w:pPr>
      <w:r w:rsidRPr="007F0FA7">
        <w:rPr>
          <w:rFonts w:ascii="Humanst521 BT" w:hAnsi="Humanst521 BT" w:cs="Arial"/>
        </w:rPr>
        <w:t xml:space="preserve">Para el desarrollo del análisis de mortalidad de UISALUD se toma como fuente de información los datos suministrados por la plataforma SISPRO </w:t>
      </w:r>
      <w:r w:rsidR="00E517A7" w:rsidRPr="007F0FA7">
        <w:rPr>
          <w:rFonts w:ascii="Humanst521 BT" w:hAnsi="Humanst521 BT" w:cs="Arial"/>
        </w:rPr>
        <w:t xml:space="preserve">del Ministerio de Salud </w:t>
      </w:r>
      <w:r w:rsidRPr="007F0FA7">
        <w:rPr>
          <w:rFonts w:ascii="Humanst521 BT" w:hAnsi="Humanst521 BT" w:cs="Arial"/>
        </w:rPr>
        <w:t>a fecha de corte de 202</w:t>
      </w:r>
      <w:r w:rsidR="00E517A7" w:rsidRPr="007F0FA7">
        <w:rPr>
          <w:rFonts w:ascii="Humanst521 BT" w:hAnsi="Humanst521 BT" w:cs="Arial"/>
        </w:rPr>
        <w:t>3</w:t>
      </w:r>
      <w:r w:rsidRPr="007F0FA7">
        <w:rPr>
          <w:rFonts w:ascii="Humanst521 BT" w:hAnsi="Humanst521 BT" w:cs="Arial"/>
        </w:rPr>
        <w:t xml:space="preserve"> para la EAPB y entes territoriales. Este análisis se desarrolla por departamentos y municipios donde se presentaron eventos de mortalidad a la fecha de corte e incluye:</w:t>
      </w:r>
    </w:p>
    <w:p w14:paraId="01BF48FF" w14:textId="77777777" w:rsidR="00074E05" w:rsidRPr="007F0FA7" w:rsidRDefault="00074E05" w:rsidP="00093B44">
      <w:pPr>
        <w:adjustRightInd w:val="0"/>
        <w:rPr>
          <w:rFonts w:ascii="Humanst521 BT" w:hAnsi="Humanst521 BT" w:cs="Arial"/>
        </w:rPr>
      </w:pPr>
    </w:p>
    <w:p w14:paraId="22600D2B" w14:textId="77777777" w:rsidR="00074E05" w:rsidRPr="007F0FA7" w:rsidRDefault="00074E05" w:rsidP="00B6007F">
      <w:pPr>
        <w:pStyle w:val="Prrafodelista"/>
        <w:numPr>
          <w:ilvl w:val="0"/>
          <w:numId w:val="4"/>
        </w:numPr>
        <w:adjustRightInd w:val="0"/>
        <w:contextualSpacing/>
        <w:rPr>
          <w:rFonts w:ascii="Humanst521 BT" w:eastAsiaTheme="minorHAnsi" w:hAnsi="Humanst521 BT" w:cs="Arial"/>
        </w:rPr>
      </w:pPr>
      <w:r w:rsidRPr="007F0FA7">
        <w:rPr>
          <w:rFonts w:ascii="Humanst521 BT" w:eastAsiaTheme="minorHAnsi" w:hAnsi="Humanst521 BT" w:cs="Arial"/>
        </w:rPr>
        <w:t>Mortalidad por grandes causas.</w:t>
      </w:r>
    </w:p>
    <w:p w14:paraId="59E5FCBE" w14:textId="77777777" w:rsidR="00074E05" w:rsidRPr="007F0FA7" w:rsidRDefault="00074E05" w:rsidP="00B6007F">
      <w:pPr>
        <w:pStyle w:val="Prrafodelista"/>
        <w:numPr>
          <w:ilvl w:val="0"/>
          <w:numId w:val="4"/>
        </w:numPr>
        <w:adjustRightInd w:val="0"/>
        <w:contextualSpacing/>
        <w:rPr>
          <w:rFonts w:ascii="Humanst521 BT" w:eastAsiaTheme="minorHAnsi" w:hAnsi="Humanst521 BT" w:cs="Arial"/>
        </w:rPr>
      </w:pPr>
      <w:r w:rsidRPr="007F0FA7">
        <w:rPr>
          <w:rFonts w:ascii="Humanst521 BT" w:eastAsiaTheme="minorHAnsi" w:hAnsi="Humanst521 BT" w:cs="Arial"/>
        </w:rPr>
        <w:t xml:space="preserve">Mortalidad por subcausas. </w:t>
      </w:r>
    </w:p>
    <w:p w14:paraId="671DF8DC" w14:textId="77777777" w:rsidR="00074E05" w:rsidRPr="007F0FA7" w:rsidRDefault="00074E05" w:rsidP="00B6007F">
      <w:pPr>
        <w:pStyle w:val="Prrafodelista"/>
        <w:numPr>
          <w:ilvl w:val="0"/>
          <w:numId w:val="4"/>
        </w:numPr>
        <w:adjustRightInd w:val="0"/>
        <w:contextualSpacing/>
        <w:rPr>
          <w:rFonts w:ascii="Humanst521 BT" w:eastAsiaTheme="minorHAnsi" w:hAnsi="Humanst521 BT" w:cs="Arial"/>
        </w:rPr>
      </w:pPr>
      <w:r w:rsidRPr="007F0FA7">
        <w:rPr>
          <w:rFonts w:ascii="Humanst521 BT" w:eastAsiaTheme="minorHAnsi" w:hAnsi="Humanst521 BT" w:cs="Arial"/>
        </w:rPr>
        <w:t>Mortalidad de años de vida potencialmente perdidos – AVPP.</w:t>
      </w:r>
    </w:p>
    <w:p w14:paraId="03E10916" w14:textId="77777777" w:rsidR="00074E05" w:rsidRPr="007F0FA7" w:rsidRDefault="00074E05" w:rsidP="00B6007F">
      <w:pPr>
        <w:pStyle w:val="Prrafodelista"/>
        <w:numPr>
          <w:ilvl w:val="0"/>
          <w:numId w:val="4"/>
        </w:numPr>
        <w:adjustRightInd w:val="0"/>
        <w:contextualSpacing/>
        <w:rPr>
          <w:rFonts w:ascii="Humanst521 BT" w:eastAsiaTheme="minorHAnsi" w:hAnsi="Humanst521 BT" w:cs="Arial"/>
        </w:rPr>
      </w:pPr>
      <w:r w:rsidRPr="007F0FA7">
        <w:rPr>
          <w:rFonts w:ascii="Humanst521 BT" w:eastAsiaTheme="minorHAnsi" w:hAnsi="Humanst521 BT" w:cs="Arial"/>
        </w:rPr>
        <w:t xml:space="preserve">Mortalidad trazadora. </w:t>
      </w:r>
    </w:p>
    <w:p w14:paraId="6B263973" w14:textId="77777777" w:rsidR="00074E05" w:rsidRPr="007F0FA7" w:rsidRDefault="00074E05" w:rsidP="00B6007F">
      <w:pPr>
        <w:pStyle w:val="Prrafodelista"/>
        <w:numPr>
          <w:ilvl w:val="0"/>
          <w:numId w:val="4"/>
        </w:numPr>
        <w:adjustRightInd w:val="0"/>
        <w:contextualSpacing/>
        <w:rPr>
          <w:rFonts w:ascii="Humanst521 BT" w:eastAsiaTheme="minorHAnsi" w:hAnsi="Humanst521 BT" w:cs="Arial"/>
        </w:rPr>
      </w:pPr>
      <w:r w:rsidRPr="007F0FA7">
        <w:rPr>
          <w:rFonts w:ascii="Humanst521 BT" w:eastAsiaTheme="minorHAnsi" w:hAnsi="Humanst521 BT" w:cs="Arial"/>
        </w:rPr>
        <w:t>Mortalidad materno infantil y niñez.</w:t>
      </w:r>
    </w:p>
    <w:p w14:paraId="7C8D1B07" w14:textId="4788EE3B" w:rsidR="007552E4" w:rsidRPr="007F0FA7" w:rsidRDefault="007552E4" w:rsidP="00B6007F">
      <w:pPr>
        <w:pStyle w:val="Prrafodelista"/>
        <w:numPr>
          <w:ilvl w:val="0"/>
          <w:numId w:val="4"/>
        </w:numPr>
        <w:adjustRightInd w:val="0"/>
        <w:contextualSpacing/>
        <w:rPr>
          <w:rFonts w:ascii="Humanst521 BT" w:eastAsiaTheme="minorHAnsi" w:hAnsi="Humanst521 BT" w:cs="Arial"/>
        </w:rPr>
      </w:pPr>
      <w:r w:rsidRPr="007F0FA7">
        <w:rPr>
          <w:rFonts w:ascii="Humanst521 BT" w:eastAsiaTheme="minorHAnsi" w:hAnsi="Humanst521 BT" w:cs="Arial"/>
        </w:rPr>
        <w:t>Letalidad</w:t>
      </w:r>
    </w:p>
    <w:p w14:paraId="3476F447" w14:textId="77777777" w:rsidR="00074E05" w:rsidRPr="007F0FA7" w:rsidRDefault="00074E05" w:rsidP="00093B44">
      <w:pPr>
        <w:pStyle w:val="Prrafodelista"/>
        <w:adjustRightInd w:val="0"/>
        <w:rPr>
          <w:rFonts w:ascii="Humanst521 BT" w:eastAsiaTheme="minorHAnsi" w:hAnsi="Humanst521 BT" w:cs="Arial"/>
        </w:rPr>
      </w:pPr>
    </w:p>
    <w:p w14:paraId="5286193D" w14:textId="77777777" w:rsidR="00074E05" w:rsidRPr="007F0FA7" w:rsidRDefault="00074E05" w:rsidP="00093B44">
      <w:pPr>
        <w:adjustRightInd w:val="0"/>
        <w:jc w:val="both"/>
        <w:rPr>
          <w:rFonts w:ascii="Humanst521 BT" w:hAnsi="Humanst521 BT" w:cs="Arial"/>
        </w:rPr>
      </w:pPr>
      <w:r w:rsidRPr="007F0FA7">
        <w:rPr>
          <w:rFonts w:ascii="Humanst521 BT" w:hAnsi="Humanst521 BT" w:cs="Arial"/>
        </w:rPr>
        <w:t xml:space="preserve">Para realizar el análisis de la mortalidad por grandes causas y subcausas se hace uso de la lista corta 6/67 de la OMS, la cual agrupa los diagnósticos de la Décima Clasificación Internacional de Enfermedades (CIE10) en seis grandes grupos que se dividen en 67 grupos detallados de causas de muerte. Se utilizan las tasas ajustadas, teniendo en cuenta que son medidas de resumen que buscan corregir las diferencias entre las estructuras poblacionales, causadas por variables de confusión como la edad y de esta manera poder realizar comparaciones más equitativas. </w:t>
      </w:r>
    </w:p>
    <w:p w14:paraId="7D832401" w14:textId="77777777" w:rsidR="00074E05" w:rsidRPr="007F0FA7" w:rsidRDefault="00074E05" w:rsidP="00093B44">
      <w:pPr>
        <w:adjustRightInd w:val="0"/>
        <w:rPr>
          <w:rFonts w:ascii="Humanst521 BT" w:hAnsi="Humanst521 BT" w:cs="Arial"/>
        </w:rPr>
      </w:pPr>
    </w:p>
    <w:p w14:paraId="2B093B51" w14:textId="309F959C" w:rsidR="00074E05" w:rsidRPr="007F0FA7" w:rsidRDefault="00074E05" w:rsidP="00093B44">
      <w:pPr>
        <w:adjustRightInd w:val="0"/>
        <w:jc w:val="both"/>
        <w:rPr>
          <w:rFonts w:ascii="Humanst521 BT" w:hAnsi="Humanst521 BT" w:cs="Arial"/>
        </w:rPr>
      </w:pPr>
      <w:r w:rsidRPr="007F0FA7">
        <w:rPr>
          <w:rFonts w:ascii="Humanst521 BT" w:hAnsi="Humanst521 BT" w:cs="Arial"/>
        </w:rPr>
        <w:lastRenderedPageBreak/>
        <w:t xml:space="preserve">En lo resultados de los indicadores de mortalidad se observa una semaforización donde una marcación de color </w:t>
      </w:r>
      <w:r w:rsidRPr="007F0FA7">
        <w:rPr>
          <w:rFonts w:ascii="Humanst521 BT" w:hAnsi="Humanst521 BT" w:cs="Arial"/>
          <w:b/>
          <w:bCs/>
        </w:rPr>
        <w:t>Rojo</w:t>
      </w:r>
      <w:r w:rsidRPr="007F0FA7">
        <w:rPr>
          <w:rFonts w:ascii="Humanst521 BT" w:hAnsi="Humanst521 BT" w:cs="Arial"/>
        </w:rPr>
        <w:t>:</w:t>
      </w:r>
      <w:r w:rsidRPr="007F0FA7">
        <w:rPr>
          <w:rFonts w:ascii="Humanst521 BT" w:hAnsi="Humanst521 BT"/>
        </w:rPr>
        <w:t xml:space="preserve"> </w:t>
      </w:r>
      <w:r w:rsidRPr="007F0FA7">
        <w:rPr>
          <w:rFonts w:ascii="Humanst521 BT" w:hAnsi="Humanst521 BT" w:cs="Arial"/>
        </w:rPr>
        <w:t xml:space="preserve">Cuando la diferencia relativa es mayor de uno y el intervalo de confianza 95% no atraviesa el uno, indica que el indicador es significativamente más alto para UISALUD comparado con el indicador nacional o departamental o municipal.  Marcación color </w:t>
      </w:r>
      <w:r w:rsidRPr="007F0FA7">
        <w:rPr>
          <w:rFonts w:ascii="Humanst521 BT" w:hAnsi="Humanst521 BT" w:cs="Arial"/>
          <w:b/>
          <w:bCs/>
        </w:rPr>
        <w:t>Verde:</w:t>
      </w:r>
      <w:r w:rsidRPr="007F0FA7">
        <w:rPr>
          <w:rFonts w:ascii="Humanst521 BT" w:hAnsi="Humanst521 BT" w:cs="Arial"/>
        </w:rPr>
        <w:t xml:space="preserve"> Cuando la diferencia relativa es menor de uno y el intervalo de confianza 95% no atraviesa el uno, indica que el indicador es significativamente más bajo en   UISALUD comparado con indicador nacional o departamental o municipal.  Marcación color </w:t>
      </w:r>
      <w:r w:rsidRPr="007F0FA7">
        <w:rPr>
          <w:rFonts w:ascii="Humanst521 BT" w:hAnsi="Humanst521 BT" w:cs="Arial"/>
          <w:b/>
          <w:bCs/>
        </w:rPr>
        <w:t>Amarilla:</w:t>
      </w:r>
      <w:r w:rsidRPr="007F0FA7">
        <w:rPr>
          <w:rFonts w:ascii="Humanst521 BT" w:hAnsi="Humanst521 BT" w:cs="Arial"/>
        </w:rPr>
        <w:t xml:space="preserve"> Nos indica que no hay una diferencia estadística en la comparación con el indicador reportado por UISALUD comparado con indicador nacional o departamental o municipal.</w:t>
      </w:r>
    </w:p>
    <w:p w14:paraId="1C355D22" w14:textId="77777777" w:rsidR="00074E05" w:rsidRPr="007F0FA7" w:rsidRDefault="00074E05" w:rsidP="00093B44">
      <w:pPr>
        <w:adjustRightInd w:val="0"/>
        <w:rPr>
          <w:rFonts w:ascii="Humanst521 BT" w:hAnsi="Humanst521 BT" w:cs="Arial"/>
        </w:rPr>
      </w:pPr>
    </w:p>
    <w:p w14:paraId="03E1345B" w14:textId="2934CC42" w:rsidR="00074E05" w:rsidRPr="0002437C" w:rsidRDefault="0050190D" w:rsidP="00CF2550">
      <w:pPr>
        <w:pStyle w:val="Descripcin"/>
        <w:spacing w:line="240" w:lineRule="auto"/>
        <w:outlineLvl w:val="3"/>
        <w:rPr>
          <w:rFonts w:ascii="Humanst521 BT" w:eastAsia="Verdana" w:hAnsi="Humanst521 BT" w:cs="Verdana"/>
          <w:sz w:val="22"/>
          <w:szCs w:val="22"/>
          <w:lang w:val="es-ES"/>
        </w:rPr>
      </w:pPr>
      <w:bookmarkStart w:id="145" w:name="_Toc161297418"/>
      <w:bookmarkStart w:id="146" w:name="_Toc231286809"/>
      <w:bookmarkStart w:id="147" w:name="_Toc126052042"/>
      <w:r w:rsidRPr="0002437C">
        <w:rPr>
          <w:rFonts w:ascii="Humanst521 BT" w:eastAsia="Verdana" w:hAnsi="Humanst521 BT" w:cs="Verdana"/>
          <w:sz w:val="22"/>
          <w:szCs w:val="22"/>
          <w:lang w:val="es-ES"/>
        </w:rPr>
        <w:t>5.</w:t>
      </w:r>
      <w:r w:rsidR="003A2198" w:rsidRPr="0002437C">
        <w:rPr>
          <w:rFonts w:ascii="Humanst521 BT" w:eastAsia="Verdana" w:hAnsi="Humanst521 BT" w:cs="Verdana"/>
          <w:sz w:val="22"/>
          <w:szCs w:val="22"/>
          <w:lang w:val="es-ES"/>
        </w:rPr>
        <w:t xml:space="preserve">2.2.1. </w:t>
      </w:r>
      <w:r w:rsidR="00074E05" w:rsidRPr="0002437C">
        <w:rPr>
          <w:rFonts w:ascii="Humanst521 BT" w:eastAsia="Verdana" w:hAnsi="Humanst521 BT" w:cs="Verdana"/>
          <w:sz w:val="22"/>
          <w:szCs w:val="22"/>
          <w:lang w:val="es-ES"/>
        </w:rPr>
        <w:t>Mortalidad ajustada por grandes causas</w:t>
      </w:r>
      <w:bookmarkEnd w:id="145"/>
      <w:bookmarkEnd w:id="146"/>
    </w:p>
    <w:p w14:paraId="71A22FF7" w14:textId="266F3F27" w:rsidR="00074E05" w:rsidRPr="0002437C" w:rsidRDefault="00074E05" w:rsidP="0002437C">
      <w:pPr>
        <w:rPr>
          <w:rFonts w:ascii="Humanst521 BT" w:hAnsi="Humanst521 BT"/>
        </w:rPr>
      </w:pPr>
      <w:bookmarkStart w:id="148" w:name="_Toc161297419"/>
      <w:r w:rsidRPr="0002437C">
        <w:rPr>
          <w:rFonts w:ascii="Humanst521 BT" w:hAnsi="Humanst521 BT"/>
        </w:rPr>
        <w:t>Tasa de mortalidad ajustada por grandes causas</w:t>
      </w:r>
      <w:bookmarkEnd w:id="147"/>
      <w:r w:rsidRPr="0002437C">
        <w:rPr>
          <w:rFonts w:ascii="Humanst521 BT" w:hAnsi="Humanst521 BT"/>
        </w:rPr>
        <w:t xml:space="preserve"> en toda la población según lista 6/67 OPS-OMS</w:t>
      </w:r>
      <w:bookmarkEnd w:id="148"/>
    </w:p>
    <w:p w14:paraId="76171DAC" w14:textId="77777777" w:rsidR="00074E05" w:rsidRPr="0002437C" w:rsidRDefault="00074E05" w:rsidP="00093B44">
      <w:pPr>
        <w:jc w:val="both"/>
        <w:rPr>
          <w:rFonts w:ascii="Humanst521 BT" w:hAnsi="Humanst521 BT"/>
        </w:rPr>
      </w:pPr>
    </w:p>
    <w:p w14:paraId="09E9AF7A" w14:textId="7B8AC67F" w:rsidR="00AA41E8" w:rsidRPr="0002437C" w:rsidRDefault="00074E05" w:rsidP="00093B44">
      <w:pPr>
        <w:jc w:val="both"/>
        <w:rPr>
          <w:rFonts w:ascii="Humanst521 BT" w:hAnsi="Humanst521 BT"/>
        </w:rPr>
      </w:pPr>
      <w:r w:rsidRPr="0002437C">
        <w:rPr>
          <w:rFonts w:ascii="Humanst521 BT" w:hAnsi="Humanst521 BT"/>
        </w:rPr>
        <w:t>Para el año 202</w:t>
      </w:r>
      <w:r w:rsidR="003B6462" w:rsidRPr="0002437C">
        <w:rPr>
          <w:rFonts w:ascii="Humanst521 BT" w:hAnsi="Humanst521 BT"/>
        </w:rPr>
        <w:t>5</w:t>
      </w:r>
      <w:r w:rsidR="00270872" w:rsidRPr="0002437C">
        <w:rPr>
          <w:rFonts w:ascii="Humanst521 BT" w:hAnsi="Humanst521 BT"/>
        </w:rPr>
        <w:t>,</w:t>
      </w:r>
      <w:r w:rsidRPr="0002437C">
        <w:rPr>
          <w:rFonts w:ascii="Humanst521 BT" w:hAnsi="Humanst521 BT"/>
        </w:rPr>
        <w:t xml:space="preserve"> </w:t>
      </w:r>
      <w:r w:rsidR="00486C8E" w:rsidRPr="0002437C">
        <w:rPr>
          <w:rFonts w:ascii="Humanst521 BT" w:hAnsi="Humanst521 BT"/>
        </w:rPr>
        <w:t xml:space="preserve">a nivel nacional </w:t>
      </w:r>
      <w:r w:rsidRPr="0002437C">
        <w:rPr>
          <w:rFonts w:ascii="Humanst521 BT" w:hAnsi="Humanst521 BT"/>
        </w:rPr>
        <w:t>las primeras causas fueron las</w:t>
      </w:r>
      <w:r w:rsidR="00E2534A" w:rsidRPr="0002437C">
        <w:rPr>
          <w:rFonts w:ascii="Humanst521 BT" w:hAnsi="Humanst521 BT"/>
        </w:rPr>
        <w:t xml:space="preserve"> </w:t>
      </w:r>
      <w:r w:rsidR="002E104B" w:rsidRPr="0002437C">
        <w:rPr>
          <w:rFonts w:ascii="Humanst521 BT" w:hAnsi="Humanst521 BT"/>
        </w:rPr>
        <w:t xml:space="preserve">Neoplasias, seguidas de las </w:t>
      </w:r>
      <w:r w:rsidR="00D16825" w:rsidRPr="0002437C">
        <w:rPr>
          <w:rFonts w:ascii="Humanst521 BT" w:hAnsi="Humanst521 BT"/>
        </w:rPr>
        <w:t>E</w:t>
      </w:r>
      <w:r w:rsidR="002E104B" w:rsidRPr="0002437C">
        <w:rPr>
          <w:rFonts w:ascii="Humanst521 BT" w:hAnsi="Humanst521 BT"/>
        </w:rPr>
        <w:t xml:space="preserve">nfermedades del </w:t>
      </w:r>
      <w:r w:rsidR="00D16825" w:rsidRPr="0002437C">
        <w:rPr>
          <w:rFonts w:ascii="Humanst521 BT" w:hAnsi="Humanst521 BT"/>
        </w:rPr>
        <w:t>S</w:t>
      </w:r>
      <w:r w:rsidR="002E104B" w:rsidRPr="0002437C">
        <w:rPr>
          <w:rFonts w:ascii="Humanst521 BT" w:hAnsi="Humanst521 BT"/>
        </w:rPr>
        <w:t xml:space="preserve">istema </w:t>
      </w:r>
      <w:r w:rsidR="00D16825" w:rsidRPr="0002437C">
        <w:rPr>
          <w:rFonts w:ascii="Humanst521 BT" w:hAnsi="Humanst521 BT"/>
        </w:rPr>
        <w:t>C</w:t>
      </w:r>
      <w:r w:rsidR="002E104B" w:rsidRPr="0002437C">
        <w:rPr>
          <w:rFonts w:ascii="Humanst521 BT" w:hAnsi="Humanst521 BT"/>
        </w:rPr>
        <w:t xml:space="preserve">irculatorio, en tercer </w:t>
      </w:r>
      <w:r w:rsidR="00831381" w:rsidRPr="0002437C">
        <w:rPr>
          <w:rFonts w:ascii="Humanst521 BT" w:hAnsi="Humanst521 BT"/>
        </w:rPr>
        <w:t>lugar,</w:t>
      </w:r>
      <w:r w:rsidR="002E104B" w:rsidRPr="0002437C">
        <w:rPr>
          <w:rFonts w:ascii="Humanst521 BT" w:hAnsi="Humanst521 BT"/>
        </w:rPr>
        <w:t xml:space="preserve"> </w:t>
      </w:r>
      <w:r w:rsidR="00D16825" w:rsidRPr="0002437C">
        <w:rPr>
          <w:rFonts w:ascii="Humanst521 BT" w:hAnsi="Humanst521 BT"/>
        </w:rPr>
        <w:t>Todas las Demás Enfermedades</w:t>
      </w:r>
      <w:r w:rsidR="000306E1" w:rsidRPr="0002437C">
        <w:rPr>
          <w:rFonts w:ascii="Humanst521 BT" w:hAnsi="Humanst521 BT"/>
        </w:rPr>
        <w:t xml:space="preserve"> </w:t>
      </w:r>
      <w:r w:rsidR="00831381" w:rsidRPr="0002437C">
        <w:rPr>
          <w:rFonts w:ascii="Humanst521 BT" w:hAnsi="Humanst521 BT"/>
        </w:rPr>
        <w:t>y,</w:t>
      </w:r>
      <w:r w:rsidR="000306E1" w:rsidRPr="0002437C">
        <w:rPr>
          <w:rFonts w:ascii="Humanst521 BT" w:hAnsi="Humanst521 BT"/>
        </w:rPr>
        <w:t xml:space="preserve"> por </w:t>
      </w:r>
      <w:r w:rsidR="00C9468C" w:rsidRPr="0002437C">
        <w:rPr>
          <w:rFonts w:ascii="Humanst521 BT" w:hAnsi="Humanst521 BT"/>
        </w:rPr>
        <w:t>último,</w:t>
      </w:r>
      <w:r w:rsidR="000306E1" w:rsidRPr="0002437C">
        <w:rPr>
          <w:rFonts w:ascii="Humanst521 BT" w:hAnsi="Humanst521 BT"/>
        </w:rPr>
        <w:t xml:space="preserve"> las </w:t>
      </w:r>
      <w:r w:rsidR="00934999" w:rsidRPr="0002437C">
        <w:rPr>
          <w:rFonts w:ascii="Humanst521 BT" w:hAnsi="Humanst521 BT"/>
        </w:rPr>
        <w:t>e</w:t>
      </w:r>
      <w:r w:rsidR="000306E1" w:rsidRPr="0002437C">
        <w:rPr>
          <w:rFonts w:ascii="Humanst521 BT" w:hAnsi="Humanst521 BT"/>
        </w:rPr>
        <w:t>nfermedades transmisibles.</w:t>
      </w:r>
    </w:p>
    <w:p w14:paraId="28AFA8AC" w14:textId="77777777" w:rsidR="005F3CB1" w:rsidRPr="007F0FA7" w:rsidRDefault="005F3CB1" w:rsidP="00093B44">
      <w:pPr>
        <w:jc w:val="both"/>
        <w:rPr>
          <w:rFonts w:ascii="Humanst521 BT" w:hAnsi="Humanst521 BT"/>
        </w:rPr>
      </w:pPr>
    </w:p>
    <w:p w14:paraId="5444CED1" w14:textId="77777777" w:rsidR="00406CB5" w:rsidRPr="007F0FA7" w:rsidRDefault="00406CB5" w:rsidP="00093B44">
      <w:pPr>
        <w:jc w:val="both"/>
        <w:rPr>
          <w:rFonts w:ascii="Humanst521 BT" w:hAnsi="Humanst521 BT"/>
        </w:rPr>
      </w:pPr>
      <w:r w:rsidRPr="007F0FA7">
        <w:rPr>
          <w:rFonts w:ascii="Humanst521 BT" w:hAnsi="Humanst521 BT"/>
          <w:b/>
          <w:bCs/>
          <w:u w:val="single"/>
        </w:rPr>
        <w:t>Santander:</w:t>
      </w:r>
      <w:r w:rsidRPr="007F0FA7">
        <w:rPr>
          <w:rFonts w:ascii="Humanst521 BT" w:hAnsi="Humanst521 BT"/>
        </w:rPr>
        <w:t xml:space="preserve">  En el periodo evaluado, la tasa ajustada de mortalidad por enfermedades del sistema circulatorio fue la más alta, seguida por las neoplasias. En tercer lugar, se situaron todas las demás enfermedades. Además, la tasa de mortalidad por enfermedades del sistema circulatorio en Santander fue significativamente inferior a la registrada en el departamento.</w:t>
      </w:r>
    </w:p>
    <w:p w14:paraId="6EBF1C36" w14:textId="77777777" w:rsidR="00406CB5" w:rsidRPr="007F0FA7" w:rsidRDefault="00406CB5" w:rsidP="00093B44">
      <w:pPr>
        <w:jc w:val="both"/>
        <w:rPr>
          <w:rFonts w:ascii="Humanst521 BT" w:hAnsi="Humanst521 BT"/>
        </w:rPr>
      </w:pPr>
    </w:p>
    <w:p w14:paraId="34AA4039" w14:textId="5212E0F4" w:rsidR="00406CB5" w:rsidRPr="007F0FA7" w:rsidRDefault="00406CB5" w:rsidP="00093B44">
      <w:pPr>
        <w:jc w:val="both"/>
        <w:rPr>
          <w:rFonts w:ascii="Humanst521 BT" w:hAnsi="Humanst521 BT"/>
        </w:rPr>
      </w:pPr>
      <w:r w:rsidRPr="007F0FA7">
        <w:rPr>
          <w:rFonts w:ascii="Humanst521 BT" w:hAnsi="Humanst521 BT"/>
          <w:b/>
          <w:bCs/>
          <w:u w:val="single"/>
        </w:rPr>
        <w:t>Bucaramanga:</w:t>
      </w:r>
      <w:r w:rsidRPr="007F0FA7">
        <w:rPr>
          <w:rFonts w:ascii="Humanst521 BT" w:hAnsi="Humanst521 BT"/>
        </w:rPr>
        <w:t xml:space="preserve"> En el año analizado, la tasa ajustada de mortalidad por neoplasias ocupó el primer lugar, seguida de las enfermedades del sistema circulatorio. En tercer lugar, se encuentran todas las demás enfermedades. La tasa de mortalidad por Neoplasias fue inferior comparada con la del municipio de Bucaramanga con una diferencia significativa. </w:t>
      </w:r>
    </w:p>
    <w:p w14:paraId="026EA73F" w14:textId="77777777" w:rsidR="00406CB5" w:rsidRPr="007F0FA7" w:rsidRDefault="00406CB5" w:rsidP="00093B44">
      <w:pPr>
        <w:jc w:val="both"/>
        <w:rPr>
          <w:rFonts w:ascii="Humanst521 BT" w:hAnsi="Humanst521 BT"/>
        </w:rPr>
      </w:pPr>
    </w:p>
    <w:p w14:paraId="6A12DBE0" w14:textId="77777777" w:rsidR="00406CB5" w:rsidRPr="007F0FA7" w:rsidRDefault="00406CB5" w:rsidP="00093B44">
      <w:pPr>
        <w:jc w:val="both"/>
        <w:rPr>
          <w:rFonts w:ascii="Humanst521 BT" w:hAnsi="Humanst521 BT"/>
        </w:rPr>
      </w:pPr>
      <w:r w:rsidRPr="007F0FA7">
        <w:rPr>
          <w:rFonts w:ascii="Humanst521 BT" w:hAnsi="Humanst521 BT"/>
          <w:b/>
          <w:bCs/>
          <w:u w:val="single"/>
        </w:rPr>
        <w:t>Floridablanca:</w:t>
      </w:r>
      <w:r w:rsidRPr="007F0FA7">
        <w:rPr>
          <w:rFonts w:ascii="Humanst521 BT" w:hAnsi="Humanst521 BT"/>
        </w:rPr>
        <w:t xml:space="preserve"> En este municipio, la principal causa de mortalidad fueron todas las demás enfermedades, con un valor también inferior al del municipio. En segundo lugar, se sitúan las enfermedades del sistema circulatorio, seguidas por las neoplasias, que presentaron un valor inferior y una diferencia significativa.</w:t>
      </w:r>
    </w:p>
    <w:p w14:paraId="7089FEDC" w14:textId="77777777" w:rsidR="00406CB5" w:rsidRPr="007F0FA7" w:rsidRDefault="00406CB5" w:rsidP="00093B44">
      <w:pPr>
        <w:jc w:val="both"/>
        <w:rPr>
          <w:rFonts w:ascii="Humanst521 BT" w:hAnsi="Humanst521 BT"/>
        </w:rPr>
      </w:pPr>
    </w:p>
    <w:p w14:paraId="1740A8C6" w14:textId="56A874D9" w:rsidR="00F8401E" w:rsidRPr="007F0FA7" w:rsidRDefault="00406CB5" w:rsidP="00093B44">
      <w:pPr>
        <w:jc w:val="both"/>
        <w:rPr>
          <w:rFonts w:ascii="Humanst521 BT" w:hAnsi="Humanst521 BT"/>
        </w:rPr>
      </w:pPr>
      <w:r w:rsidRPr="007F0FA7">
        <w:rPr>
          <w:rFonts w:ascii="Humanst521 BT" w:hAnsi="Humanst521 BT"/>
          <w:b/>
          <w:bCs/>
          <w:u w:val="single"/>
        </w:rPr>
        <w:t>Bogotá:</w:t>
      </w:r>
      <w:r w:rsidRPr="007F0FA7">
        <w:rPr>
          <w:rFonts w:ascii="Humanst521 BT" w:hAnsi="Humanst521 BT"/>
        </w:rPr>
        <w:t xml:space="preserve"> La única y principal causa de mortalidad fueron las neoplasias, cuya tasa fue inferior a la del departamento en general</w:t>
      </w:r>
      <w:r w:rsidR="003506F0" w:rsidRPr="007F0FA7">
        <w:rPr>
          <w:rFonts w:ascii="Humanst521 BT" w:hAnsi="Humanst521 BT"/>
        </w:rPr>
        <w:t>, con una diferencia significativa</w:t>
      </w:r>
    </w:p>
    <w:p w14:paraId="1BA5B897" w14:textId="77777777" w:rsidR="00F8401E" w:rsidRPr="007F0FA7" w:rsidRDefault="00F8401E" w:rsidP="00093B44">
      <w:pPr>
        <w:jc w:val="both"/>
        <w:rPr>
          <w:rFonts w:ascii="Humanst521 BT" w:hAnsi="Humanst521 BT"/>
        </w:rPr>
      </w:pPr>
    </w:p>
    <w:p w14:paraId="77A000CA" w14:textId="230A8479" w:rsidR="00074E05" w:rsidRPr="007F0FA7" w:rsidRDefault="00C44E12" w:rsidP="00093B44">
      <w:pPr>
        <w:jc w:val="both"/>
        <w:rPr>
          <w:rFonts w:ascii="Humanst521 BT" w:hAnsi="Humanst521 BT"/>
        </w:rPr>
      </w:pPr>
      <w:r w:rsidRPr="007F0FA7">
        <w:rPr>
          <w:rFonts w:ascii="Humanst521 BT" w:hAnsi="Humanst521 BT"/>
        </w:rPr>
        <w:t xml:space="preserve">En la </w:t>
      </w:r>
      <w:r w:rsidR="00C33913">
        <w:rPr>
          <w:rFonts w:ascii="Humanst521 BT" w:hAnsi="Humanst521 BT"/>
        </w:rPr>
        <w:t xml:space="preserve">siguiente tabla, </w:t>
      </w:r>
      <w:r w:rsidRPr="007F0FA7">
        <w:rPr>
          <w:rFonts w:ascii="Humanst521 BT" w:hAnsi="Humanst521 BT"/>
        </w:rPr>
        <w:t>se muestran las tasas de mortalidad para</w:t>
      </w:r>
      <w:r w:rsidR="00053E55" w:rsidRPr="007F0FA7">
        <w:rPr>
          <w:rFonts w:ascii="Humanst521 BT" w:hAnsi="Humanst521 BT"/>
        </w:rPr>
        <w:t xml:space="preserve"> </w:t>
      </w:r>
      <w:r w:rsidRPr="007F0FA7">
        <w:rPr>
          <w:rFonts w:ascii="Humanst521 BT" w:hAnsi="Humanst521 BT"/>
        </w:rPr>
        <w:t>departamento de Santander y Bogotá, incluyendo los municipios que reportaron casos.</w:t>
      </w:r>
    </w:p>
    <w:p w14:paraId="504B4702" w14:textId="6B89B9F3" w:rsidR="00074E05" w:rsidRPr="00D92A24"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149" w:name="_Toc161298176"/>
      <w:bookmarkStart w:id="150" w:name="_Toc161318796"/>
      <w:bookmarkStart w:id="151" w:name="_Toc231286279"/>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D92A24" w:rsidRPr="00D92A24">
        <w:rPr>
          <w:rFonts w:ascii="Humanst521 BT" w:eastAsia="Verdana" w:hAnsi="Humanst521 BT" w:cs="Verdana"/>
          <w:b w:val="0"/>
          <w:bCs w:val="0"/>
          <w:noProof/>
          <w:color w:val="auto"/>
          <w:sz w:val="22"/>
          <w:szCs w:val="22"/>
          <w:lang w:val="es-ES"/>
        </w:rPr>
        <w:t>34</w:t>
      </w:r>
      <w:r w:rsidRPr="00D92A24">
        <w:rPr>
          <w:rFonts w:ascii="Humanst521 BT" w:eastAsia="Verdana" w:hAnsi="Humanst521 BT" w:cs="Verdana"/>
          <w:b w:val="0"/>
          <w:bCs w:val="0"/>
          <w:color w:val="auto"/>
          <w:sz w:val="22"/>
          <w:szCs w:val="22"/>
          <w:lang w:val="es-ES"/>
        </w:rPr>
        <w:fldChar w:fldCharType="end"/>
      </w:r>
      <w:r w:rsidR="0086788D">
        <w:rPr>
          <w:rFonts w:ascii="Humanst521 BT" w:eastAsia="Verdana" w:hAnsi="Humanst521 BT" w:cs="Verdana"/>
          <w:b w:val="0"/>
          <w:bCs w:val="0"/>
          <w:color w:val="auto"/>
          <w:sz w:val="22"/>
          <w:szCs w:val="22"/>
          <w:lang w:val="es-ES"/>
        </w:rPr>
        <w:t>.</w:t>
      </w:r>
      <w:r w:rsidRPr="00D92A24">
        <w:rPr>
          <w:rFonts w:ascii="Humanst521 BT" w:eastAsia="Verdana" w:hAnsi="Humanst521 BT" w:cs="Verdana"/>
          <w:b w:val="0"/>
          <w:bCs w:val="0"/>
          <w:color w:val="auto"/>
          <w:sz w:val="22"/>
          <w:szCs w:val="22"/>
          <w:lang w:val="es-ES"/>
        </w:rPr>
        <w:t xml:space="preserve"> Tasa ajustada de mortalidad por grandes causas UISALUD</w:t>
      </w:r>
      <w:bookmarkEnd w:id="149"/>
      <w:bookmarkEnd w:id="150"/>
      <w:r w:rsidR="00BF14CB" w:rsidRPr="00D92A24">
        <w:rPr>
          <w:rFonts w:ascii="Humanst521 BT" w:eastAsia="Verdana" w:hAnsi="Humanst521 BT" w:cs="Verdana"/>
          <w:b w:val="0"/>
          <w:bCs w:val="0"/>
          <w:color w:val="auto"/>
          <w:sz w:val="22"/>
          <w:szCs w:val="22"/>
          <w:lang w:val="es-ES"/>
        </w:rPr>
        <w:t>, 2024</w:t>
      </w:r>
      <w:bookmarkEnd w:id="151"/>
    </w:p>
    <w:tbl>
      <w:tblPr>
        <w:tblStyle w:val="Tablaconcuadrcula4-nfasis2"/>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0"/>
        <w:gridCol w:w="3679"/>
        <w:gridCol w:w="1505"/>
        <w:gridCol w:w="1566"/>
      </w:tblGrid>
      <w:tr w:rsidR="00E32CB0" w:rsidRPr="007F0FA7" w14:paraId="02DA86F1" w14:textId="77777777" w:rsidTr="00735F2B">
        <w:trPr>
          <w:cnfStyle w:val="100000000000" w:firstRow="1" w:lastRow="0" w:firstColumn="0" w:lastColumn="0" w:oddVBand="0" w:evenVBand="0" w:oddHBand="0" w:evenHBand="0" w:firstRowFirstColumn="0" w:firstRowLastColumn="0" w:lastRowFirstColumn="0" w:lastRowLastColumn="0"/>
          <w:trHeight w:val="509"/>
          <w:tblHeader/>
        </w:trPr>
        <w:tc>
          <w:tcPr>
            <w:cnfStyle w:val="001000000000" w:firstRow="0" w:lastRow="0" w:firstColumn="1" w:lastColumn="0" w:oddVBand="0" w:evenVBand="0" w:oddHBand="0" w:evenHBand="0" w:firstRowFirstColumn="0" w:firstRowLastColumn="0" w:lastRowFirstColumn="0" w:lastRowLastColumn="0"/>
            <w:tcW w:w="1417"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72EFFADB" w14:textId="77777777" w:rsidR="00074E05" w:rsidRPr="007F0FA7" w:rsidRDefault="00074E05" w:rsidP="00093B44">
            <w:pPr>
              <w:jc w:val="both"/>
              <w:rPr>
                <w:rFonts w:ascii="Humanst521 BT" w:hAnsi="Humanst521 BT" w:cs="Arial"/>
                <w:color w:val="auto"/>
                <w:sz w:val="22"/>
                <w:szCs w:val="22"/>
              </w:rPr>
            </w:pPr>
            <w:bookmarkStart w:id="152" w:name="_Hlk156506556"/>
            <w:r w:rsidRPr="007F0FA7">
              <w:rPr>
                <w:rFonts w:ascii="Humanst521 BT" w:hAnsi="Humanst521 BT" w:cs="Arial"/>
                <w:color w:val="auto"/>
                <w:sz w:val="22"/>
                <w:szCs w:val="22"/>
              </w:rPr>
              <w:t>Entidad territorial donde residen los afiliados a</w:t>
            </w:r>
          </w:p>
          <w:p w14:paraId="7B77894F" w14:textId="77777777" w:rsidR="00074E05" w:rsidRPr="007F0FA7" w:rsidRDefault="00074E05" w:rsidP="00093B44">
            <w:pPr>
              <w:jc w:val="both"/>
              <w:rPr>
                <w:rFonts w:ascii="Humanst521 BT" w:hAnsi="Humanst521 BT" w:cs="Arial"/>
                <w:color w:val="auto"/>
                <w:sz w:val="22"/>
                <w:szCs w:val="22"/>
              </w:rPr>
            </w:pPr>
            <w:r w:rsidRPr="007F0FA7">
              <w:rPr>
                <w:rFonts w:ascii="Humanst521 BT" w:hAnsi="Humanst521 BT" w:cs="Arial"/>
                <w:color w:val="auto"/>
                <w:sz w:val="22"/>
                <w:szCs w:val="22"/>
              </w:rPr>
              <w:t>UISALUD</w:t>
            </w:r>
          </w:p>
        </w:tc>
        <w:tc>
          <w:tcPr>
            <w:tcW w:w="1953"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33DB8F51"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Grupos de muerte según lista 6/67 OPS-OMS</w:t>
            </w:r>
          </w:p>
        </w:tc>
        <w:tc>
          <w:tcPr>
            <w:tcW w:w="799"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0915D465"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b w:val="0"/>
                <w:bCs w:val="0"/>
                <w:color w:val="auto"/>
                <w:sz w:val="22"/>
                <w:szCs w:val="22"/>
              </w:rPr>
            </w:pPr>
            <w:r w:rsidRPr="007F0FA7">
              <w:rPr>
                <w:rFonts w:ascii="Humanst521 BT" w:hAnsi="Humanst521 BT" w:cs="Arial"/>
                <w:color w:val="auto"/>
                <w:sz w:val="22"/>
                <w:szCs w:val="22"/>
              </w:rPr>
              <w:t xml:space="preserve">Tasa ajustada de mortalidad UISALUD </w:t>
            </w:r>
          </w:p>
        </w:tc>
        <w:tc>
          <w:tcPr>
            <w:tcW w:w="831"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2581E27C"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mortalidad ente territorial  </w:t>
            </w:r>
          </w:p>
        </w:tc>
      </w:tr>
      <w:tr w:rsidR="00E32CB0" w:rsidRPr="007F0FA7" w14:paraId="0F8B9407" w14:textId="77777777" w:rsidTr="00735F2B">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417" w:type="pct"/>
            <w:vMerge/>
            <w:shd w:val="clear" w:color="auto" w:fill="C5E0B3" w:themeFill="accent6" w:themeFillTint="66"/>
            <w:hideMark/>
          </w:tcPr>
          <w:p w14:paraId="14778181" w14:textId="77777777" w:rsidR="00074E05" w:rsidRPr="007F0FA7" w:rsidRDefault="00074E05" w:rsidP="00093B44">
            <w:pPr>
              <w:jc w:val="both"/>
              <w:rPr>
                <w:rFonts w:ascii="Humanst521 BT" w:hAnsi="Humanst521 BT" w:cs="Arial"/>
                <w:sz w:val="22"/>
                <w:szCs w:val="22"/>
              </w:rPr>
            </w:pPr>
          </w:p>
        </w:tc>
        <w:tc>
          <w:tcPr>
            <w:tcW w:w="1953" w:type="pct"/>
            <w:vMerge/>
            <w:shd w:val="clear" w:color="auto" w:fill="C5E0B3" w:themeFill="accent6" w:themeFillTint="66"/>
            <w:hideMark/>
          </w:tcPr>
          <w:p w14:paraId="47AFDCF3"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c>
          <w:tcPr>
            <w:tcW w:w="799" w:type="pct"/>
            <w:vMerge/>
            <w:shd w:val="clear" w:color="auto" w:fill="C5E0B3" w:themeFill="accent6" w:themeFillTint="66"/>
            <w:hideMark/>
          </w:tcPr>
          <w:p w14:paraId="40BC31C4"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c>
          <w:tcPr>
            <w:tcW w:w="831" w:type="pct"/>
            <w:vMerge/>
            <w:shd w:val="clear" w:color="auto" w:fill="C5E0B3" w:themeFill="accent6" w:themeFillTint="66"/>
            <w:hideMark/>
          </w:tcPr>
          <w:p w14:paraId="0ECDFDBA"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r>
      <w:tr w:rsidR="00E32CB0" w:rsidRPr="007F0FA7" w14:paraId="7AD8A810" w14:textId="77777777" w:rsidTr="00735F2B">
        <w:trPr>
          <w:trHeight w:val="381"/>
        </w:trPr>
        <w:tc>
          <w:tcPr>
            <w:cnfStyle w:val="001000000000" w:firstRow="0" w:lastRow="0" w:firstColumn="1" w:lastColumn="0" w:oddVBand="0" w:evenVBand="0" w:oddHBand="0" w:evenHBand="0" w:firstRowFirstColumn="0" w:firstRowLastColumn="0" w:lastRowFirstColumn="0" w:lastRowLastColumn="0"/>
            <w:tcW w:w="1417" w:type="pct"/>
            <w:vMerge w:val="restart"/>
            <w:noWrap/>
            <w:hideMark/>
          </w:tcPr>
          <w:p w14:paraId="78BA80A5" w14:textId="77777777" w:rsidR="00082304" w:rsidRPr="007F0FA7" w:rsidRDefault="00082304" w:rsidP="00093B44">
            <w:pPr>
              <w:jc w:val="both"/>
              <w:rPr>
                <w:rFonts w:ascii="Humanst521 BT" w:hAnsi="Humanst521 BT" w:cs="Arial"/>
                <w:sz w:val="22"/>
                <w:szCs w:val="22"/>
              </w:rPr>
            </w:pPr>
            <w:r w:rsidRPr="007F0FA7">
              <w:rPr>
                <w:rFonts w:ascii="Humanst521 BT" w:hAnsi="Humanst521 BT" w:cs="Arial"/>
                <w:sz w:val="22"/>
                <w:szCs w:val="22"/>
              </w:rPr>
              <w:t>SANTANDER</w:t>
            </w:r>
          </w:p>
        </w:tc>
        <w:tc>
          <w:tcPr>
            <w:tcW w:w="1953" w:type="pct"/>
            <w:shd w:val="clear" w:color="auto" w:fill="auto"/>
            <w:noWrap/>
            <w:hideMark/>
          </w:tcPr>
          <w:p w14:paraId="25E62B4F" w14:textId="77777777"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799" w:type="pct"/>
            <w:shd w:val="clear" w:color="000000" w:fill="92D050"/>
            <w:noWrap/>
            <w:vAlign w:val="top"/>
            <w:hideMark/>
          </w:tcPr>
          <w:p w14:paraId="0A1848CC" w14:textId="675F0BAD"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sz w:val="22"/>
                <w:szCs w:val="22"/>
              </w:rPr>
              <w:t>5,39</w:t>
            </w:r>
          </w:p>
        </w:tc>
        <w:tc>
          <w:tcPr>
            <w:tcW w:w="831" w:type="pct"/>
            <w:shd w:val="clear" w:color="000000" w:fill="FFFFFF"/>
            <w:noWrap/>
            <w:hideMark/>
          </w:tcPr>
          <w:p w14:paraId="60AD7E71" w14:textId="29489564"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124,63</w:t>
            </w:r>
          </w:p>
        </w:tc>
      </w:tr>
      <w:tr w:rsidR="00E32CB0" w:rsidRPr="007F0FA7" w14:paraId="3095DECC"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64B4670B" w14:textId="77777777" w:rsidR="00082304" w:rsidRPr="007F0FA7" w:rsidRDefault="00082304" w:rsidP="00093B44">
            <w:pPr>
              <w:jc w:val="both"/>
              <w:rPr>
                <w:rFonts w:ascii="Humanst521 BT" w:hAnsi="Humanst521 BT" w:cs="Arial"/>
                <w:sz w:val="22"/>
                <w:szCs w:val="22"/>
              </w:rPr>
            </w:pPr>
          </w:p>
        </w:tc>
        <w:tc>
          <w:tcPr>
            <w:tcW w:w="1953" w:type="pct"/>
            <w:shd w:val="clear" w:color="auto" w:fill="auto"/>
            <w:noWrap/>
            <w:hideMark/>
          </w:tcPr>
          <w:p w14:paraId="77E20D4D" w14:textId="77777777" w:rsidR="00082304" w:rsidRPr="007F0FA7" w:rsidRDefault="0008230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799" w:type="pct"/>
            <w:shd w:val="clear" w:color="000000" w:fill="92D050"/>
            <w:noWrap/>
            <w:vAlign w:val="top"/>
            <w:hideMark/>
          </w:tcPr>
          <w:p w14:paraId="362529ED" w14:textId="472E36C5" w:rsidR="00082304" w:rsidRPr="007F0FA7" w:rsidRDefault="0008230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sz w:val="22"/>
                <w:szCs w:val="22"/>
              </w:rPr>
              <w:t>39,92</w:t>
            </w:r>
          </w:p>
        </w:tc>
        <w:tc>
          <w:tcPr>
            <w:tcW w:w="831" w:type="pct"/>
            <w:shd w:val="clear" w:color="000000" w:fill="FFFFFF"/>
            <w:noWrap/>
            <w:hideMark/>
          </w:tcPr>
          <w:p w14:paraId="4AC632C0" w14:textId="3FAA4D09" w:rsidR="00082304" w:rsidRPr="007F0FA7" w:rsidRDefault="0008230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88,70</w:t>
            </w:r>
          </w:p>
        </w:tc>
      </w:tr>
      <w:tr w:rsidR="00E32CB0" w:rsidRPr="007F0FA7" w14:paraId="3E783C89"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0090F2EF" w14:textId="77777777" w:rsidR="00082304" w:rsidRPr="007F0FA7" w:rsidRDefault="00082304" w:rsidP="00093B44">
            <w:pPr>
              <w:jc w:val="both"/>
              <w:rPr>
                <w:rFonts w:ascii="Humanst521 BT" w:hAnsi="Humanst521 BT" w:cs="Arial"/>
                <w:sz w:val="22"/>
                <w:szCs w:val="22"/>
              </w:rPr>
            </w:pPr>
          </w:p>
        </w:tc>
        <w:tc>
          <w:tcPr>
            <w:tcW w:w="1953" w:type="pct"/>
            <w:shd w:val="clear" w:color="auto" w:fill="FBE4D5" w:themeFill="accent2" w:themeFillTint="33"/>
            <w:noWrap/>
            <w:hideMark/>
          </w:tcPr>
          <w:p w14:paraId="53C45E7D" w14:textId="77777777"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799" w:type="pct"/>
            <w:shd w:val="clear" w:color="000000" w:fill="92D050"/>
            <w:noWrap/>
            <w:vAlign w:val="top"/>
            <w:hideMark/>
          </w:tcPr>
          <w:p w14:paraId="2F69CCEF" w14:textId="0C4BCCC7"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sz w:val="22"/>
                <w:szCs w:val="22"/>
              </w:rPr>
              <w:t>43,27</w:t>
            </w:r>
          </w:p>
        </w:tc>
        <w:tc>
          <w:tcPr>
            <w:tcW w:w="831" w:type="pct"/>
            <w:shd w:val="clear" w:color="000000" w:fill="FFFFFF"/>
            <w:noWrap/>
            <w:hideMark/>
          </w:tcPr>
          <w:p w14:paraId="08E7C4DE" w14:textId="36B3F053"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132,92</w:t>
            </w:r>
          </w:p>
        </w:tc>
      </w:tr>
      <w:tr w:rsidR="00E32CB0" w:rsidRPr="007F0FA7" w14:paraId="00426B04"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25B71CFA" w14:textId="77777777" w:rsidR="00082304" w:rsidRPr="007F0FA7" w:rsidRDefault="00082304" w:rsidP="00093B44">
            <w:pPr>
              <w:jc w:val="both"/>
              <w:rPr>
                <w:rFonts w:ascii="Humanst521 BT" w:hAnsi="Humanst521 BT" w:cs="Arial"/>
                <w:sz w:val="22"/>
                <w:szCs w:val="22"/>
              </w:rPr>
            </w:pPr>
          </w:p>
        </w:tc>
        <w:tc>
          <w:tcPr>
            <w:tcW w:w="1953" w:type="pct"/>
            <w:shd w:val="clear" w:color="auto" w:fill="auto"/>
            <w:noWrap/>
            <w:hideMark/>
          </w:tcPr>
          <w:p w14:paraId="7CDF680D" w14:textId="77777777" w:rsidR="00082304" w:rsidRPr="007F0FA7" w:rsidRDefault="0008230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799" w:type="pct"/>
            <w:shd w:val="clear" w:color="auto" w:fill="92D050"/>
            <w:noWrap/>
            <w:vAlign w:val="top"/>
            <w:hideMark/>
          </w:tcPr>
          <w:p w14:paraId="21A7B4A2" w14:textId="1D6DD23A" w:rsidR="00082304" w:rsidRPr="007F0FA7" w:rsidRDefault="0008230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sz w:val="22"/>
                <w:szCs w:val="22"/>
              </w:rPr>
              <w:t>0,00</w:t>
            </w:r>
          </w:p>
        </w:tc>
        <w:tc>
          <w:tcPr>
            <w:tcW w:w="831" w:type="pct"/>
            <w:shd w:val="clear" w:color="000000" w:fill="FFFFFF"/>
            <w:noWrap/>
            <w:hideMark/>
          </w:tcPr>
          <w:p w14:paraId="39C972B5" w14:textId="103F907B" w:rsidR="00082304" w:rsidRPr="007F0FA7" w:rsidRDefault="0008230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43,33</w:t>
            </w:r>
          </w:p>
        </w:tc>
      </w:tr>
      <w:tr w:rsidR="00E32CB0" w:rsidRPr="007F0FA7" w14:paraId="3E1030F7"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0F102317" w14:textId="77777777" w:rsidR="00082304" w:rsidRPr="007F0FA7" w:rsidRDefault="00082304" w:rsidP="00093B44">
            <w:pPr>
              <w:jc w:val="both"/>
              <w:rPr>
                <w:rFonts w:ascii="Humanst521 BT" w:hAnsi="Humanst521 BT" w:cs="Arial"/>
                <w:sz w:val="22"/>
                <w:szCs w:val="22"/>
              </w:rPr>
            </w:pPr>
          </w:p>
        </w:tc>
        <w:tc>
          <w:tcPr>
            <w:tcW w:w="1953" w:type="pct"/>
            <w:shd w:val="clear" w:color="auto" w:fill="auto"/>
            <w:noWrap/>
            <w:hideMark/>
          </w:tcPr>
          <w:p w14:paraId="791EEA64" w14:textId="77777777"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799" w:type="pct"/>
            <w:shd w:val="clear" w:color="auto" w:fill="92D050"/>
            <w:noWrap/>
            <w:vAlign w:val="top"/>
            <w:hideMark/>
          </w:tcPr>
          <w:p w14:paraId="32130003" w14:textId="003EB1C8"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sz w:val="22"/>
                <w:szCs w:val="22"/>
              </w:rPr>
              <w:t>29,73</w:t>
            </w:r>
          </w:p>
        </w:tc>
        <w:tc>
          <w:tcPr>
            <w:tcW w:w="831" w:type="pct"/>
            <w:shd w:val="clear" w:color="000000" w:fill="FFFFFF"/>
            <w:noWrap/>
            <w:hideMark/>
          </w:tcPr>
          <w:p w14:paraId="1DF43E8C" w14:textId="3732B7B3" w:rsidR="00082304" w:rsidRPr="007F0FA7" w:rsidRDefault="0008230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107,85</w:t>
            </w:r>
          </w:p>
        </w:tc>
      </w:tr>
      <w:tr w:rsidR="00E32CB0" w:rsidRPr="007F0FA7" w14:paraId="6745CDD4"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0E333EBD" w14:textId="77777777" w:rsidR="00082304" w:rsidRPr="007F0FA7" w:rsidRDefault="00082304" w:rsidP="00093B44">
            <w:pPr>
              <w:jc w:val="both"/>
              <w:rPr>
                <w:rFonts w:ascii="Humanst521 BT" w:hAnsi="Humanst521 BT" w:cs="Arial"/>
                <w:sz w:val="22"/>
                <w:szCs w:val="22"/>
              </w:rPr>
            </w:pPr>
          </w:p>
        </w:tc>
        <w:tc>
          <w:tcPr>
            <w:tcW w:w="1953" w:type="pct"/>
            <w:shd w:val="clear" w:color="auto" w:fill="auto"/>
            <w:noWrap/>
            <w:hideMark/>
          </w:tcPr>
          <w:p w14:paraId="5EFA8551" w14:textId="6B73EA37" w:rsidR="00082304" w:rsidRPr="007F0FA7" w:rsidRDefault="007876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w:t>
            </w:r>
            <w:r w:rsidR="00082304" w:rsidRPr="007F0FA7">
              <w:rPr>
                <w:rFonts w:ascii="Humanst521 BT" w:hAnsi="Humanst521 BT" w:cs="Arial"/>
                <w:sz w:val="22"/>
                <w:szCs w:val="22"/>
              </w:rPr>
              <w:t>ignos y síntomas mal definidos</w:t>
            </w:r>
          </w:p>
        </w:tc>
        <w:tc>
          <w:tcPr>
            <w:tcW w:w="799" w:type="pct"/>
            <w:shd w:val="clear" w:color="auto" w:fill="92D050"/>
            <w:noWrap/>
            <w:hideMark/>
          </w:tcPr>
          <w:p w14:paraId="4BD95828" w14:textId="64156070" w:rsidR="00082304" w:rsidRPr="007F0FA7" w:rsidRDefault="00DC6A7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hideMark/>
          </w:tcPr>
          <w:p w14:paraId="6C17C74D" w14:textId="7F2907B0" w:rsidR="00082304" w:rsidRPr="007F0FA7" w:rsidRDefault="0008230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62A09633"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val="restart"/>
            <w:noWrap/>
            <w:hideMark/>
          </w:tcPr>
          <w:p w14:paraId="7BF63DC4" w14:textId="77777777" w:rsidR="00140C47" w:rsidRPr="007F0FA7" w:rsidRDefault="00140C47" w:rsidP="00093B44">
            <w:pPr>
              <w:jc w:val="both"/>
              <w:rPr>
                <w:rFonts w:ascii="Humanst521 BT" w:hAnsi="Humanst521 BT" w:cs="Arial"/>
                <w:sz w:val="22"/>
                <w:szCs w:val="22"/>
              </w:rPr>
            </w:pPr>
            <w:r w:rsidRPr="007F0FA7">
              <w:rPr>
                <w:rFonts w:ascii="Humanst521 BT" w:hAnsi="Humanst521 BT" w:cs="Arial"/>
                <w:sz w:val="22"/>
                <w:szCs w:val="22"/>
              </w:rPr>
              <w:t>BUCARAMANGA</w:t>
            </w:r>
          </w:p>
        </w:tc>
        <w:tc>
          <w:tcPr>
            <w:tcW w:w="1953" w:type="pct"/>
            <w:shd w:val="clear" w:color="auto" w:fill="auto"/>
            <w:noWrap/>
            <w:hideMark/>
          </w:tcPr>
          <w:p w14:paraId="30AC7CCB" w14:textId="77777777"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799" w:type="pct"/>
            <w:shd w:val="clear" w:color="auto" w:fill="92D050"/>
            <w:noWrap/>
            <w:vAlign w:val="bottom"/>
            <w:hideMark/>
          </w:tcPr>
          <w:p w14:paraId="643C437F" w14:textId="44F35168"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7,26</w:t>
            </w:r>
          </w:p>
        </w:tc>
        <w:tc>
          <w:tcPr>
            <w:tcW w:w="831" w:type="pct"/>
            <w:shd w:val="clear" w:color="auto" w:fill="auto"/>
            <w:noWrap/>
            <w:hideMark/>
          </w:tcPr>
          <w:p w14:paraId="76F65179" w14:textId="488A6717"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23,37</w:t>
            </w:r>
          </w:p>
        </w:tc>
      </w:tr>
      <w:tr w:rsidR="00E32CB0" w:rsidRPr="007F0FA7" w14:paraId="682E0289"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45AF1D7C" w14:textId="77777777" w:rsidR="00140C47" w:rsidRPr="007F0FA7" w:rsidRDefault="00140C47" w:rsidP="00093B44">
            <w:pPr>
              <w:jc w:val="both"/>
              <w:rPr>
                <w:rFonts w:ascii="Humanst521 BT" w:hAnsi="Humanst521 BT" w:cs="Arial"/>
                <w:sz w:val="22"/>
                <w:szCs w:val="22"/>
              </w:rPr>
            </w:pPr>
          </w:p>
        </w:tc>
        <w:tc>
          <w:tcPr>
            <w:tcW w:w="1953" w:type="pct"/>
            <w:noWrap/>
            <w:hideMark/>
          </w:tcPr>
          <w:p w14:paraId="6A0AFAA8" w14:textId="77777777" w:rsidR="00140C47" w:rsidRPr="007F0FA7" w:rsidRDefault="00140C4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799" w:type="pct"/>
            <w:shd w:val="clear" w:color="auto" w:fill="92D050"/>
            <w:noWrap/>
            <w:vAlign w:val="bottom"/>
            <w:hideMark/>
          </w:tcPr>
          <w:p w14:paraId="423EEC5A" w14:textId="5FBF68F8" w:rsidR="00140C47" w:rsidRPr="007F0FA7" w:rsidRDefault="00140C4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47,90</w:t>
            </w:r>
          </w:p>
        </w:tc>
        <w:tc>
          <w:tcPr>
            <w:tcW w:w="831" w:type="pct"/>
            <w:shd w:val="clear" w:color="auto" w:fill="auto"/>
            <w:noWrap/>
            <w:hideMark/>
          </w:tcPr>
          <w:p w14:paraId="02FE1310" w14:textId="59876D9B" w:rsidR="00140C47" w:rsidRPr="007F0FA7" w:rsidRDefault="00140C4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77,23</w:t>
            </w:r>
          </w:p>
        </w:tc>
      </w:tr>
      <w:tr w:rsidR="00E32CB0" w:rsidRPr="007F0FA7" w14:paraId="04F496F5"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482424AD" w14:textId="77777777" w:rsidR="00140C47" w:rsidRPr="007F0FA7" w:rsidRDefault="00140C47" w:rsidP="00093B44">
            <w:pPr>
              <w:jc w:val="both"/>
              <w:rPr>
                <w:rFonts w:ascii="Humanst521 BT" w:hAnsi="Humanst521 BT" w:cs="Arial"/>
                <w:sz w:val="22"/>
                <w:szCs w:val="22"/>
              </w:rPr>
            </w:pPr>
          </w:p>
        </w:tc>
        <w:tc>
          <w:tcPr>
            <w:tcW w:w="1953" w:type="pct"/>
            <w:shd w:val="clear" w:color="auto" w:fill="auto"/>
            <w:noWrap/>
            <w:hideMark/>
          </w:tcPr>
          <w:p w14:paraId="2D9FE8B3" w14:textId="77777777"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799" w:type="pct"/>
            <w:shd w:val="clear" w:color="auto" w:fill="92D050"/>
            <w:noWrap/>
            <w:vAlign w:val="bottom"/>
            <w:hideMark/>
          </w:tcPr>
          <w:p w14:paraId="6AAEEB6C" w14:textId="00F7BDCE"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40,26</w:t>
            </w:r>
          </w:p>
        </w:tc>
        <w:tc>
          <w:tcPr>
            <w:tcW w:w="831" w:type="pct"/>
            <w:shd w:val="clear" w:color="auto" w:fill="auto"/>
            <w:noWrap/>
            <w:hideMark/>
          </w:tcPr>
          <w:p w14:paraId="538A8A9D" w14:textId="7009B8DD"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87,97</w:t>
            </w:r>
          </w:p>
        </w:tc>
      </w:tr>
      <w:tr w:rsidR="00E32CB0" w:rsidRPr="007F0FA7" w14:paraId="2323A94F"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364FFA63" w14:textId="77777777" w:rsidR="00140C47" w:rsidRPr="007F0FA7" w:rsidRDefault="00140C47" w:rsidP="00093B44">
            <w:pPr>
              <w:jc w:val="both"/>
              <w:rPr>
                <w:rFonts w:ascii="Humanst521 BT" w:hAnsi="Humanst521 BT" w:cs="Arial"/>
                <w:sz w:val="22"/>
                <w:szCs w:val="22"/>
              </w:rPr>
            </w:pPr>
          </w:p>
        </w:tc>
        <w:tc>
          <w:tcPr>
            <w:tcW w:w="1953" w:type="pct"/>
            <w:shd w:val="clear" w:color="auto" w:fill="auto"/>
            <w:noWrap/>
            <w:hideMark/>
          </w:tcPr>
          <w:p w14:paraId="35458973" w14:textId="77777777" w:rsidR="00140C47" w:rsidRPr="007F0FA7" w:rsidRDefault="00140C4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799" w:type="pct"/>
            <w:shd w:val="clear" w:color="auto" w:fill="92D050"/>
            <w:noWrap/>
            <w:vAlign w:val="bottom"/>
            <w:hideMark/>
          </w:tcPr>
          <w:p w14:paraId="47B6C051" w14:textId="1F99673C" w:rsidR="00140C47" w:rsidRPr="007F0FA7" w:rsidRDefault="00140C4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hideMark/>
          </w:tcPr>
          <w:p w14:paraId="48FCBE77" w14:textId="3DF3A092" w:rsidR="00140C47" w:rsidRPr="007F0FA7" w:rsidRDefault="00140C4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42,65</w:t>
            </w:r>
          </w:p>
        </w:tc>
      </w:tr>
      <w:tr w:rsidR="00E32CB0" w:rsidRPr="007F0FA7" w14:paraId="5BE8C682"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2A22F984" w14:textId="77777777" w:rsidR="00140C47" w:rsidRPr="007F0FA7" w:rsidRDefault="00140C47" w:rsidP="00093B44">
            <w:pPr>
              <w:jc w:val="both"/>
              <w:rPr>
                <w:rFonts w:ascii="Humanst521 BT" w:hAnsi="Humanst521 BT" w:cs="Arial"/>
                <w:sz w:val="22"/>
                <w:szCs w:val="22"/>
              </w:rPr>
            </w:pPr>
          </w:p>
        </w:tc>
        <w:tc>
          <w:tcPr>
            <w:tcW w:w="1953" w:type="pct"/>
            <w:shd w:val="clear" w:color="auto" w:fill="auto"/>
            <w:noWrap/>
            <w:hideMark/>
          </w:tcPr>
          <w:p w14:paraId="1ACB112D" w14:textId="77777777"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799" w:type="pct"/>
            <w:shd w:val="clear" w:color="auto" w:fill="92D050"/>
            <w:noWrap/>
            <w:vAlign w:val="bottom"/>
            <w:hideMark/>
          </w:tcPr>
          <w:p w14:paraId="7B5EA51D" w14:textId="172833A9"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14,52</w:t>
            </w:r>
          </w:p>
        </w:tc>
        <w:tc>
          <w:tcPr>
            <w:tcW w:w="831" w:type="pct"/>
            <w:shd w:val="clear" w:color="auto" w:fill="auto"/>
            <w:noWrap/>
            <w:hideMark/>
          </w:tcPr>
          <w:p w14:paraId="78F14B75" w14:textId="0040D65F" w:rsidR="00140C47" w:rsidRPr="007F0FA7" w:rsidRDefault="00140C4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89,68</w:t>
            </w:r>
          </w:p>
        </w:tc>
      </w:tr>
      <w:tr w:rsidR="00E32CB0" w:rsidRPr="007F0FA7" w14:paraId="18CB4C4F"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0C143E93" w14:textId="77777777" w:rsidR="00140C47" w:rsidRPr="007F0FA7" w:rsidRDefault="00140C47" w:rsidP="00093B44">
            <w:pPr>
              <w:jc w:val="both"/>
              <w:rPr>
                <w:rFonts w:ascii="Humanst521 BT" w:hAnsi="Humanst521 BT" w:cs="Arial"/>
                <w:sz w:val="22"/>
                <w:szCs w:val="22"/>
              </w:rPr>
            </w:pPr>
          </w:p>
        </w:tc>
        <w:tc>
          <w:tcPr>
            <w:tcW w:w="1953" w:type="pct"/>
            <w:shd w:val="clear" w:color="auto" w:fill="auto"/>
            <w:noWrap/>
            <w:hideMark/>
          </w:tcPr>
          <w:p w14:paraId="7FB13C9B" w14:textId="20C6FC9E" w:rsidR="00140C47" w:rsidRPr="007F0FA7" w:rsidRDefault="007876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w:t>
            </w:r>
            <w:r w:rsidR="00140C47" w:rsidRPr="007F0FA7">
              <w:rPr>
                <w:rFonts w:ascii="Humanst521 BT" w:hAnsi="Humanst521 BT" w:cs="Arial"/>
                <w:sz w:val="22"/>
                <w:szCs w:val="22"/>
              </w:rPr>
              <w:t>ignos y síntomas mal definidos</w:t>
            </w:r>
          </w:p>
        </w:tc>
        <w:tc>
          <w:tcPr>
            <w:tcW w:w="799" w:type="pct"/>
            <w:shd w:val="clear" w:color="auto" w:fill="92D050"/>
            <w:noWrap/>
            <w:hideMark/>
          </w:tcPr>
          <w:p w14:paraId="4D6EF0C8" w14:textId="097D3ED5" w:rsidR="00140C47" w:rsidRPr="007F0FA7" w:rsidRDefault="00DC6A7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hideMark/>
          </w:tcPr>
          <w:p w14:paraId="341806D8" w14:textId="2D3381E8" w:rsidR="00140C47" w:rsidRPr="007F0FA7" w:rsidRDefault="00140C4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23,37</w:t>
            </w:r>
          </w:p>
        </w:tc>
      </w:tr>
      <w:tr w:rsidR="00E32CB0" w:rsidRPr="007F0FA7" w14:paraId="26E0FF9C"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val="restart"/>
            <w:noWrap/>
            <w:hideMark/>
          </w:tcPr>
          <w:p w14:paraId="4A3B433F" w14:textId="77777777" w:rsidR="002103F0" w:rsidRPr="007F0FA7" w:rsidRDefault="002103F0" w:rsidP="00093B44">
            <w:pPr>
              <w:jc w:val="both"/>
              <w:rPr>
                <w:rFonts w:ascii="Humanst521 BT" w:hAnsi="Humanst521 BT" w:cs="Arial"/>
                <w:sz w:val="22"/>
                <w:szCs w:val="22"/>
              </w:rPr>
            </w:pPr>
            <w:r w:rsidRPr="007F0FA7">
              <w:rPr>
                <w:rFonts w:ascii="Humanst521 BT" w:hAnsi="Humanst521 BT" w:cs="Arial"/>
                <w:sz w:val="22"/>
                <w:szCs w:val="22"/>
              </w:rPr>
              <w:t>FLORIDABLANCA</w:t>
            </w:r>
          </w:p>
        </w:tc>
        <w:tc>
          <w:tcPr>
            <w:tcW w:w="1953" w:type="pct"/>
            <w:shd w:val="clear" w:color="auto" w:fill="auto"/>
            <w:noWrap/>
            <w:hideMark/>
          </w:tcPr>
          <w:p w14:paraId="5E8FABD7" w14:textId="77777777"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799" w:type="pct"/>
            <w:shd w:val="clear" w:color="auto" w:fill="92D050"/>
            <w:noWrap/>
            <w:vAlign w:val="bottom"/>
            <w:hideMark/>
          </w:tcPr>
          <w:p w14:paraId="48C03CC8" w14:textId="1CBAB07C"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hideMark/>
          </w:tcPr>
          <w:p w14:paraId="11E8B128" w14:textId="7B995C52"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18,02</w:t>
            </w:r>
          </w:p>
        </w:tc>
      </w:tr>
      <w:tr w:rsidR="00E32CB0" w:rsidRPr="007F0FA7" w14:paraId="2F7B991C"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20BAC05E" w14:textId="77777777" w:rsidR="002103F0" w:rsidRPr="007F0FA7" w:rsidRDefault="002103F0" w:rsidP="00093B44">
            <w:pPr>
              <w:jc w:val="both"/>
              <w:rPr>
                <w:rFonts w:ascii="Humanst521 BT" w:hAnsi="Humanst521 BT" w:cs="Arial"/>
                <w:sz w:val="22"/>
                <w:szCs w:val="22"/>
              </w:rPr>
            </w:pPr>
          </w:p>
        </w:tc>
        <w:tc>
          <w:tcPr>
            <w:tcW w:w="1953" w:type="pct"/>
            <w:shd w:val="clear" w:color="auto" w:fill="auto"/>
            <w:noWrap/>
            <w:hideMark/>
          </w:tcPr>
          <w:p w14:paraId="37728E92" w14:textId="77777777" w:rsidR="002103F0" w:rsidRPr="007F0FA7" w:rsidRDefault="002103F0"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799" w:type="pct"/>
            <w:shd w:val="clear" w:color="auto" w:fill="92D050"/>
            <w:noWrap/>
            <w:vAlign w:val="bottom"/>
            <w:hideMark/>
          </w:tcPr>
          <w:p w14:paraId="40D44843" w14:textId="4CD4BCCD" w:rsidR="002103F0" w:rsidRPr="007F0FA7" w:rsidRDefault="002103F0"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27,96</w:t>
            </w:r>
          </w:p>
        </w:tc>
        <w:tc>
          <w:tcPr>
            <w:tcW w:w="831" w:type="pct"/>
            <w:shd w:val="clear" w:color="auto" w:fill="auto"/>
            <w:noWrap/>
            <w:hideMark/>
          </w:tcPr>
          <w:p w14:paraId="2AE50849" w14:textId="1BBBCC8A" w:rsidR="002103F0" w:rsidRPr="007F0FA7" w:rsidRDefault="002103F0"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99,68</w:t>
            </w:r>
          </w:p>
        </w:tc>
      </w:tr>
      <w:tr w:rsidR="00E32CB0" w:rsidRPr="007F0FA7" w14:paraId="71C590B4"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33AD90AD" w14:textId="77777777" w:rsidR="002103F0" w:rsidRPr="007F0FA7" w:rsidRDefault="002103F0" w:rsidP="00093B44">
            <w:pPr>
              <w:jc w:val="both"/>
              <w:rPr>
                <w:rFonts w:ascii="Humanst521 BT" w:hAnsi="Humanst521 BT" w:cs="Arial"/>
                <w:sz w:val="22"/>
                <w:szCs w:val="22"/>
              </w:rPr>
            </w:pPr>
          </w:p>
        </w:tc>
        <w:tc>
          <w:tcPr>
            <w:tcW w:w="1953" w:type="pct"/>
            <w:shd w:val="clear" w:color="auto" w:fill="auto"/>
            <w:noWrap/>
            <w:hideMark/>
          </w:tcPr>
          <w:p w14:paraId="24941DF5" w14:textId="77777777"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799" w:type="pct"/>
            <w:shd w:val="clear" w:color="auto" w:fill="92D050"/>
            <w:noWrap/>
            <w:vAlign w:val="bottom"/>
            <w:hideMark/>
          </w:tcPr>
          <w:p w14:paraId="614E0310" w14:textId="15B1C8A7"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70,46</w:t>
            </w:r>
          </w:p>
        </w:tc>
        <w:tc>
          <w:tcPr>
            <w:tcW w:w="831" w:type="pct"/>
            <w:shd w:val="clear" w:color="auto" w:fill="auto"/>
            <w:noWrap/>
            <w:hideMark/>
          </w:tcPr>
          <w:p w14:paraId="08D86C76" w14:textId="0BD62E8B"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102,75</w:t>
            </w:r>
          </w:p>
        </w:tc>
      </w:tr>
      <w:tr w:rsidR="00E32CB0" w:rsidRPr="007F0FA7" w14:paraId="50B49B80"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434D3F2E" w14:textId="77777777" w:rsidR="002103F0" w:rsidRPr="007F0FA7" w:rsidRDefault="002103F0" w:rsidP="00093B44">
            <w:pPr>
              <w:jc w:val="both"/>
              <w:rPr>
                <w:rFonts w:ascii="Humanst521 BT" w:hAnsi="Humanst521 BT" w:cs="Arial"/>
                <w:sz w:val="22"/>
                <w:szCs w:val="22"/>
              </w:rPr>
            </w:pPr>
          </w:p>
        </w:tc>
        <w:tc>
          <w:tcPr>
            <w:tcW w:w="1953" w:type="pct"/>
            <w:shd w:val="clear" w:color="auto" w:fill="auto"/>
            <w:noWrap/>
            <w:hideMark/>
          </w:tcPr>
          <w:p w14:paraId="057D8FDF" w14:textId="77777777" w:rsidR="002103F0" w:rsidRPr="007F0FA7" w:rsidRDefault="002103F0"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799" w:type="pct"/>
            <w:shd w:val="clear" w:color="auto" w:fill="92D050"/>
            <w:noWrap/>
            <w:vAlign w:val="bottom"/>
            <w:hideMark/>
          </w:tcPr>
          <w:p w14:paraId="3D050E6A" w14:textId="15AED3F1" w:rsidR="002103F0" w:rsidRPr="007F0FA7" w:rsidRDefault="002103F0"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hideMark/>
          </w:tcPr>
          <w:p w14:paraId="0606DF63" w14:textId="2F9293B9" w:rsidR="002103F0" w:rsidRPr="007F0FA7" w:rsidRDefault="002103F0"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31,50</w:t>
            </w:r>
          </w:p>
        </w:tc>
      </w:tr>
      <w:tr w:rsidR="00E32CB0" w:rsidRPr="007F0FA7" w14:paraId="29BD7DD0"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3BBE62BB" w14:textId="77777777" w:rsidR="002103F0" w:rsidRPr="007F0FA7" w:rsidRDefault="002103F0" w:rsidP="00093B44">
            <w:pPr>
              <w:jc w:val="both"/>
              <w:rPr>
                <w:rFonts w:ascii="Humanst521 BT" w:hAnsi="Humanst521 BT" w:cs="Arial"/>
                <w:sz w:val="22"/>
                <w:szCs w:val="22"/>
              </w:rPr>
            </w:pPr>
          </w:p>
        </w:tc>
        <w:tc>
          <w:tcPr>
            <w:tcW w:w="1953" w:type="pct"/>
            <w:shd w:val="clear" w:color="auto" w:fill="FBE4D5" w:themeFill="accent2" w:themeFillTint="33"/>
            <w:noWrap/>
            <w:hideMark/>
          </w:tcPr>
          <w:p w14:paraId="11DE629F" w14:textId="77777777"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799" w:type="pct"/>
            <w:shd w:val="clear" w:color="auto" w:fill="92D050"/>
            <w:noWrap/>
            <w:vAlign w:val="bottom"/>
            <w:hideMark/>
          </w:tcPr>
          <w:p w14:paraId="1B7A3A91" w14:textId="3E87457A"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98,43</w:t>
            </w:r>
          </w:p>
        </w:tc>
        <w:tc>
          <w:tcPr>
            <w:tcW w:w="831" w:type="pct"/>
            <w:shd w:val="clear" w:color="auto" w:fill="auto"/>
            <w:noWrap/>
            <w:hideMark/>
          </w:tcPr>
          <w:p w14:paraId="3B25871F" w14:textId="399CAE2A" w:rsidR="002103F0" w:rsidRPr="007F0FA7" w:rsidRDefault="002103F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102,24</w:t>
            </w:r>
          </w:p>
        </w:tc>
      </w:tr>
      <w:tr w:rsidR="00E32CB0" w:rsidRPr="007F0FA7" w14:paraId="49690A6B"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65906E53" w14:textId="77777777" w:rsidR="002103F0" w:rsidRPr="007F0FA7" w:rsidRDefault="002103F0" w:rsidP="00093B44">
            <w:pPr>
              <w:jc w:val="both"/>
              <w:rPr>
                <w:rFonts w:ascii="Humanst521 BT" w:hAnsi="Humanst521 BT" w:cs="Arial"/>
                <w:sz w:val="22"/>
                <w:szCs w:val="22"/>
              </w:rPr>
            </w:pPr>
          </w:p>
        </w:tc>
        <w:tc>
          <w:tcPr>
            <w:tcW w:w="1953" w:type="pct"/>
            <w:shd w:val="clear" w:color="auto" w:fill="auto"/>
            <w:noWrap/>
            <w:hideMark/>
          </w:tcPr>
          <w:p w14:paraId="70E55737" w14:textId="0AFD84B9" w:rsidR="002103F0" w:rsidRPr="007F0FA7" w:rsidRDefault="007876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w:t>
            </w:r>
            <w:r w:rsidR="002103F0" w:rsidRPr="007F0FA7">
              <w:rPr>
                <w:rFonts w:ascii="Humanst521 BT" w:hAnsi="Humanst521 BT" w:cs="Arial"/>
                <w:sz w:val="22"/>
                <w:szCs w:val="22"/>
              </w:rPr>
              <w:t>ignos y síntomas mal definidos</w:t>
            </w:r>
          </w:p>
        </w:tc>
        <w:tc>
          <w:tcPr>
            <w:tcW w:w="799" w:type="pct"/>
            <w:shd w:val="clear" w:color="auto" w:fill="92D050"/>
            <w:noWrap/>
            <w:hideMark/>
          </w:tcPr>
          <w:p w14:paraId="294FDCDB" w14:textId="547F0FC1" w:rsidR="002103F0" w:rsidRPr="007F0FA7" w:rsidRDefault="002103F0"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hideMark/>
          </w:tcPr>
          <w:p w14:paraId="77D88B68" w14:textId="03177E98" w:rsidR="002103F0" w:rsidRPr="007F0FA7" w:rsidRDefault="002103F0"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18,02</w:t>
            </w:r>
          </w:p>
        </w:tc>
      </w:tr>
      <w:tr w:rsidR="00E32CB0" w:rsidRPr="007F0FA7" w14:paraId="58597B02"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val="restart"/>
            <w:noWrap/>
          </w:tcPr>
          <w:p w14:paraId="54F67BFC" w14:textId="32853095" w:rsidR="00F5126D" w:rsidRPr="007F0FA7" w:rsidRDefault="00F5126D" w:rsidP="00093B44">
            <w:pPr>
              <w:jc w:val="both"/>
              <w:rPr>
                <w:rFonts w:ascii="Humanst521 BT" w:hAnsi="Humanst521 BT" w:cs="Arial"/>
                <w:sz w:val="22"/>
                <w:szCs w:val="22"/>
              </w:rPr>
            </w:pPr>
            <w:r w:rsidRPr="007F0FA7">
              <w:rPr>
                <w:rFonts w:ascii="Humanst521 BT" w:hAnsi="Humanst521 BT" w:cs="Arial"/>
                <w:sz w:val="22"/>
                <w:szCs w:val="22"/>
              </w:rPr>
              <w:t>BOGOTÁ</w:t>
            </w:r>
          </w:p>
        </w:tc>
        <w:tc>
          <w:tcPr>
            <w:tcW w:w="1953" w:type="pct"/>
            <w:shd w:val="clear" w:color="auto" w:fill="auto"/>
            <w:noWrap/>
          </w:tcPr>
          <w:p w14:paraId="0EFF6783" w14:textId="2D3135B4"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799" w:type="pct"/>
            <w:shd w:val="clear" w:color="auto" w:fill="A5A5A5" w:themeFill="accent3"/>
            <w:noWrap/>
            <w:vAlign w:val="bottom"/>
          </w:tcPr>
          <w:p w14:paraId="7732D4D1" w14:textId="13CA08B6"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tcPr>
          <w:p w14:paraId="741B5A06" w14:textId="585143A7"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25,25</w:t>
            </w:r>
          </w:p>
        </w:tc>
      </w:tr>
      <w:tr w:rsidR="00E32CB0" w:rsidRPr="007F0FA7" w14:paraId="7C6EEEF9"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0D143834" w14:textId="77777777" w:rsidR="00F5126D" w:rsidRPr="007F0FA7" w:rsidRDefault="00F5126D" w:rsidP="00093B44">
            <w:pPr>
              <w:jc w:val="both"/>
              <w:rPr>
                <w:rFonts w:ascii="Humanst521 BT" w:hAnsi="Humanst521 BT" w:cs="Arial"/>
                <w:sz w:val="22"/>
                <w:szCs w:val="22"/>
              </w:rPr>
            </w:pPr>
          </w:p>
        </w:tc>
        <w:tc>
          <w:tcPr>
            <w:tcW w:w="1953" w:type="pct"/>
            <w:shd w:val="clear" w:color="auto" w:fill="auto"/>
            <w:noWrap/>
          </w:tcPr>
          <w:p w14:paraId="5BBCDD8F" w14:textId="53E5FF79"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799" w:type="pct"/>
            <w:shd w:val="clear" w:color="auto" w:fill="A5A5A5" w:themeFill="accent3"/>
            <w:noWrap/>
            <w:vAlign w:val="bottom"/>
          </w:tcPr>
          <w:p w14:paraId="778C9967" w14:textId="48BCEF88"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6,25</w:t>
            </w:r>
          </w:p>
        </w:tc>
        <w:tc>
          <w:tcPr>
            <w:tcW w:w="831" w:type="pct"/>
            <w:shd w:val="clear" w:color="auto" w:fill="auto"/>
            <w:noWrap/>
          </w:tcPr>
          <w:p w14:paraId="67E5F82E" w14:textId="409D4BF6"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112,20</w:t>
            </w:r>
          </w:p>
        </w:tc>
      </w:tr>
      <w:tr w:rsidR="00E32CB0" w:rsidRPr="007F0FA7" w14:paraId="61C13E51"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4897550A" w14:textId="77777777" w:rsidR="00F5126D" w:rsidRPr="007F0FA7" w:rsidRDefault="00F5126D" w:rsidP="00093B44">
            <w:pPr>
              <w:jc w:val="both"/>
              <w:rPr>
                <w:rFonts w:ascii="Humanst521 BT" w:hAnsi="Humanst521 BT" w:cs="Arial"/>
                <w:sz w:val="22"/>
                <w:szCs w:val="22"/>
              </w:rPr>
            </w:pPr>
          </w:p>
        </w:tc>
        <w:tc>
          <w:tcPr>
            <w:tcW w:w="1953" w:type="pct"/>
            <w:shd w:val="clear" w:color="auto" w:fill="auto"/>
            <w:noWrap/>
          </w:tcPr>
          <w:p w14:paraId="70A649DE" w14:textId="3986B0EE"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799" w:type="pct"/>
            <w:shd w:val="clear" w:color="auto" w:fill="A5A5A5" w:themeFill="accent3"/>
            <w:noWrap/>
            <w:vAlign w:val="bottom"/>
          </w:tcPr>
          <w:p w14:paraId="366CBB17" w14:textId="133DFDD7"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tcPr>
          <w:p w14:paraId="04523B80" w14:textId="6D780497"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136,21</w:t>
            </w:r>
          </w:p>
        </w:tc>
      </w:tr>
      <w:tr w:rsidR="00E32CB0" w:rsidRPr="007F0FA7" w14:paraId="310B6C5F"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6D4070BE" w14:textId="77777777" w:rsidR="00F5126D" w:rsidRPr="007F0FA7" w:rsidRDefault="00F5126D" w:rsidP="00093B44">
            <w:pPr>
              <w:jc w:val="both"/>
              <w:rPr>
                <w:rFonts w:ascii="Humanst521 BT" w:hAnsi="Humanst521 BT" w:cs="Arial"/>
                <w:sz w:val="22"/>
                <w:szCs w:val="22"/>
              </w:rPr>
            </w:pPr>
          </w:p>
        </w:tc>
        <w:tc>
          <w:tcPr>
            <w:tcW w:w="1953" w:type="pct"/>
            <w:shd w:val="clear" w:color="auto" w:fill="auto"/>
            <w:noWrap/>
          </w:tcPr>
          <w:p w14:paraId="5C322A33" w14:textId="7F3E6A7B"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799" w:type="pct"/>
            <w:shd w:val="clear" w:color="auto" w:fill="A5A5A5" w:themeFill="accent3"/>
            <w:noWrap/>
            <w:vAlign w:val="bottom"/>
          </w:tcPr>
          <w:p w14:paraId="0B89C610" w14:textId="4C3FD4E1"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tcPr>
          <w:p w14:paraId="3F801DFE" w14:textId="30550819"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40,65</w:t>
            </w:r>
          </w:p>
        </w:tc>
      </w:tr>
      <w:tr w:rsidR="00E32CB0" w:rsidRPr="007F0FA7" w14:paraId="1F9464DD" w14:textId="77777777" w:rsidTr="00735F2B">
        <w:trPr>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54470D03" w14:textId="77777777" w:rsidR="00F5126D" w:rsidRPr="007F0FA7" w:rsidRDefault="00F5126D" w:rsidP="00093B44">
            <w:pPr>
              <w:jc w:val="both"/>
              <w:rPr>
                <w:rFonts w:ascii="Humanst521 BT" w:hAnsi="Humanst521 BT" w:cs="Arial"/>
                <w:sz w:val="22"/>
                <w:szCs w:val="22"/>
              </w:rPr>
            </w:pPr>
          </w:p>
        </w:tc>
        <w:tc>
          <w:tcPr>
            <w:tcW w:w="1953" w:type="pct"/>
            <w:shd w:val="clear" w:color="auto" w:fill="auto"/>
            <w:noWrap/>
          </w:tcPr>
          <w:p w14:paraId="44CB1BF5" w14:textId="1887F097"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799" w:type="pct"/>
            <w:shd w:val="clear" w:color="auto" w:fill="A5A5A5" w:themeFill="accent3"/>
            <w:noWrap/>
            <w:vAlign w:val="bottom"/>
          </w:tcPr>
          <w:p w14:paraId="3EFC671D" w14:textId="47D6A949"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tcPr>
          <w:p w14:paraId="740C8698" w14:textId="492468A5" w:rsidR="00F5126D" w:rsidRPr="007F0FA7" w:rsidRDefault="00F5126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126,00</w:t>
            </w:r>
          </w:p>
        </w:tc>
      </w:tr>
      <w:tr w:rsidR="00E32CB0" w:rsidRPr="007F0FA7" w14:paraId="6869E667"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17" w:type="pct"/>
            <w:vMerge/>
            <w:noWrap/>
          </w:tcPr>
          <w:p w14:paraId="1AEE3EA4" w14:textId="77777777" w:rsidR="00F5126D" w:rsidRPr="007F0FA7" w:rsidRDefault="00F5126D" w:rsidP="00093B44">
            <w:pPr>
              <w:jc w:val="both"/>
              <w:rPr>
                <w:rFonts w:ascii="Humanst521 BT" w:hAnsi="Humanst521 BT" w:cs="Arial"/>
                <w:sz w:val="22"/>
                <w:szCs w:val="22"/>
              </w:rPr>
            </w:pPr>
          </w:p>
        </w:tc>
        <w:tc>
          <w:tcPr>
            <w:tcW w:w="1953" w:type="pct"/>
            <w:shd w:val="clear" w:color="auto" w:fill="auto"/>
            <w:noWrap/>
          </w:tcPr>
          <w:p w14:paraId="40E5D093" w14:textId="322586BB"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799" w:type="pct"/>
            <w:shd w:val="clear" w:color="auto" w:fill="A5A5A5" w:themeFill="accent3"/>
            <w:noWrap/>
          </w:tcPr>
          <w:p w14:paraId="4B7F7DAE" w14:textId="7D836EDB"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831" w:type="pct"/>
            <w:shd w:val="clear" w:color="auto" w:fill="auto"/>
            <w:noWrap/>
          </w:tcPr>
          <w:p w14:paraId="750553B9" w14:textId="14CF5950" w:rsidR="00F5126D" w:rsidRPr="007F0FA7" w:rsidRDefault="00F5126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25,25</w:t>
            </w:r>
          </w:p>
        </w:tc>
      </w:tr>
    </w:tbl>
    <w:bookmarkEnd w:id="152"/>
    <w:p w14:paraId="6A29537C" w14:textId="38B12B16" w:rsidR="00074E05" w:rsidRPr="007F0FA7" w:rsidRDefault="00074E05" w:rsidP="00093B44">
      <w:pPr>
        <w:jc w:val="both"/>
        <w:rPr>
          <w:rFonts w:ascii="Humanst521 BT" w:hAnsi="Humanst521 BT"/>
          <w:bCs/>
        </w:rPr>
      </w:pPr>
      <w:r w:rsidRPr="007F0FA7">
        <w:rPr>
          <w:rFonts w:ascii="Humanst521 BT" w:hAnsi="Humanst521 BT"/>
          <w:bCs/>
        </w:rPr>
        <w:t>Fuente: Bodega de Datos de SISPRO (SGD) 202</w:t>
      </w:r>
      <w:r w:rsidR="000F2970" w:rsidRPr="007F0FA7">
        <w:rPr>
          <w:rFonts w:ascii="Humanst521 BT" w:hAnsi="Humanst521 BT"/>
          <w:bCs/>
        </w:rPr>
        <w:t>3</w:t>
      </w:r>
      <w:r w:rsidRPr="007F0FA7">
        <w:rPr>
          <w:rFonts w:ascii="Humanst521 BT" w:hAnsi="Humanst521 BT"/>
          <w:bCs/>
        </w:rPr>
        <w:t>, tasa ajustada de mortalidad por 100.000 afiliados</w:t>
      </w:r>
    </w:p>
    <w:p w14:paraId="75500279" w14:textId="31367560" w:rsidR="00731BA9" w:rsidRPr="007F0FA7" w:rsidRDefault="00731BA9" w:rsidP="00093B44">
      <w:pPr>
        <w:jc w:val="both"/>
        <w:rPr>
          <w:rFonts w:ascii="Humanst521 BT" w:hAnsi="Humanst521 BT"/>
          <w:i/>
          <w:iCs/>
          <w:lang w:val="es-CO"/>
        </w:rPr>
      </w:pPr>
      <w:r w:rsidRPr="007F0FA7">
        <w:rPr>
          <w:rFonts w:ascii="Humanst521 BT" w:hAnsi="Humanst521 BT"/>
          <w:i/>
          <w:iCs/>
          <w:lang w:val="es-CO"/>
        </w:rPr>
        <w:t>Cabe destacar que no se reportaron tasas de mortalidad en otros municipios</w:t>
      </w:r>
      <w:r w:rsidR="00646713" w:rsidRPr="007F0FA7">
        <w:rPr>
          <w:rFonts w:ascii="Humanst521 BT" w:hAnsi="Humanst521 BT"/>
          <w:i/>
          <w:iCs/>
          <w:lang w:val="es-CO"/>
        </w:rPr>
        <w:t>, ni departamentos</w:t>
      </w:r>
      <w:r w:rsidRPr="007F0FA7">
        <w:rPr>
          <w:rFonts w:ascii="Humanst521 BT" w:hAnsi="Humanst521 BT"/>
          <w:i/>
          <w:iCs/>
          <w:lang w:val="es-CO"/>
        </w:rPr>
        <w:t>.</w:t>
      </w:r>
    </w:p>
    <w:p w14:paraId="5DEA7555" w14:textId="77777777" w:rsidR="00074E05" w:rsidRPr="007F0FA7" w:rsidRDefault="00074E05" w:rsidP="00093B44">
      <w:pPr>
        <w:jc w:val="both"/>
        <w:rPr>
          <w:rFonts w:ascii="Humanst521 BT" w:hAnsi="Humanst521 BT"/>
          <w:bCs/>
        </w:rPr>
      </w:pPr>
    </w:p>
    <w:p w14:paraId="06A425CF" w14:textId="77777777" w:rsidR="00074E05" w:rsidRPr="007F0FA7" w:rsidRDefault="00074E05" w:rsidP="00093B44">
      <w:pPr>
        <w:pStyle w:val="Ttulo5"/>
      </w:pPr>
      <w:bookmarkStart w:id="153" w:name="_Toc161297420"/>
      <w:r w:rsidRPr="007F0FA7">
        <w:t>Tasa de mortalidad ajustada por grandes causas en Hombres según lista 6/67 OPS-OMS</w:t>
      </w:r>
      <w:bookmarkEnd w:id="153"/>
    </w:p>
    <w:p w14:paraId="624B2733" w14:textId="77777777" w:rsidR="00074E05" w:rsidRPr="007F0FA7" w:rsidRDefault="00074E05" w:rsidP="00093B44">
      <w:pPr>
        <w:jc w:val="both"/>
        <w:rPr>
          <w:rFonts w:ascii="Humanst521 BT" w:hAnsi="Humanst521 BT"/>
          <w:bCs/>
        </w:rPr>
      </w:pPr>
    </w:p>
    <w:p w14:paraId="7E3E7EF2" w14:textId="4AA6D70E" w:rsidR="00853155" w:rsidRPr="007F0FA7" w:rsidRDefault="00DC65C1" w:rsidP="00093B44">
      <w:pPr>
        <w:jc w:val="both"/>
        <w:rPr>
          <w:rFonts w:ascii="Humanst521 BT" w:hAnsi="Humanst521 BT"/>
        </w:rPr>
      </w:pPr>
      <w:r w:rsidRPr="007F0FA7">
        <w:rPr>
          <w:rFonts w:ascii="Humanst521 BT" w:hAnsi="Humanst521 BT"/>
        </w:rPr>
        <w:t xml:space="preserve">Para </w:t>
      </w:r>
      <w:r w:rsidR="00853155" w:rsidRPr="007F0FA7">
        <w:rPr>
          <w:rFonts w:ascii="Humanst521 BT" w:hAnsi="Humanst521 BT"/>
        </w:rPr>
        <w:t>los hombres afiliados a UISALUD a nivel nacional, las principales causas de mortalidad fueron las enfermedades del sistema circulatorio, con una tasa inferior a la reportada por el departamento y una diferencia significativa. En segundo lugar, se encuentran las muertes por neoplasias y otras causas, ambas con tasas también inferiores a las del departamento y con diferencias significativas.</w:t>
      </w:r>
      <w:r w:rsidR="002B0BF8" w:rsidRPr="007F0FA7">
        <w:rPr>
          <w:rFonts w:ascii="Humanst521 BT" w:hAnsi="Humanst521 BT"/>
        </w:rPr>
        <w:t xml:space="preserve"> </w:t>
      </w:r>
    </w:p>
    <w:p w14:paraId="6C64F404" w14:textId="77777777" w:rsidR="002B0BF8" w:rsidRPr="007F0FA7" w:rsidRDefault="002B0BF8" w:rsidP="00093B44">
      <w:pPr>
        <w:jc w:val="both"/>
        <w:rPr>
          <w:rFonts w:ascii="Humanst521 BT" w:hAnsi="Humanst521 BT"/>
        </w:rPr>
      </w:pPr>
    </w:p>
    <w:p w14:paraId="02F4DD4B" w14:textId="73FFD241" w:rsidR="00074E05" w:rsidRPr="007F0FA7" w:rsidRDefault="00074E05" w:rsidP="00093B44">
      <w:pPr>
        <w:jc w:val="both"/>
        <w:rPr>
          <w:rFonts w:ascii="Humanst521 BT" w:hAnsi="Humanst521 BT"/>
          <w:bCs/>
        </w:rPr>
      </w:pPr>
      <w:r w:rsidRPr="007F0FA7">
        <w:rPr>
          <w:rFonts w:ascii="Humanst521 BT" w:hAnsi="Humanst521 BT"/>
          <w:bCs/>
        </w:rPr>
        <w:lastRenderedPageBreak/>
        <w:t xml:space="preserve">A </w:t>
      </w:r>
      <w:r w:rsidR="00994BD0" w:rsidRPr="007F0FA7">
        <w:rPr>
          <w:rFonts w:ascii="Humanst521 BT" w:hAnsi="Humanst521 BT"/>
          <w:bCs/>
        </w:rPr>
        <w:t>continuación,</w:t>
      </w:r>
      <w:r w:rsidRPr="007F0FA7">
        <w:rPr>
          <w:rFonts w:ascii="Humanst521 BT" w:hAnsi="Humanst521 BT"/>
          <w:bCs/>
        </w:rPr>
        <w:t xml:space="preserve"> se presenta el comportamiento de la mortalidad por grandes causas en hombres en los municipios del departamento de Santander donde se reportaron casos.</w:t>
      </w:r>
    </w:p>
    <w:p w14:paraId="72E1BE6F" w14:textId="77777777" w:rsidR="000B6D4D" w:rsidRPr="007F0FA7" w:rsidRDefault="000B6D4D" w:rsidP="00093B44">
      <w:pPr>
        <w:jc w:val="both"/>
        <w:rPr>
          <w:rFonts w:ascii="Humanst521 BT" w:hAnsi="Humanst521 BT"/>
          <w:b/>
          <w:u w:val="single"/>
        </w:rPr>
      </w:pPr>
    </w:p>
    <w:p w14:paraId="4D0793D0" w14:textId="77777777" w:rsidR="0078045B" w:rsidRPr="007F0FA7" w:rsidRDefault="0078045B" w:rsidP="00093B44">
      <w:pPr>
        <w:jc w:val="both"/>
        <w:rPr>
          <w:rFonts w:ascii="Humanst521 BT" w:hAnsi="Humanst521 BT"/>
          <w:bCs/>
        </w:rPr>
      </w:pPr>
      <w:r w:rsidRPr="007F0FA7">
        <w:rPr>
          <w:rFonts w:ascii="Humanst521 BT" w:hAnsi="Humanst521 BT"/>
          <w:b/>
          <w:u w:val="single"/>
        </w:rPr>
        <w:t>Santander:</w:t>
      </w:r>
      <w:r w:rsidRPr="007F0FA7">
        <w:rPr>
          <w:rFonts w:ascii="Humanst521 BT" w:hAnsi="Humanst521 BT"/>
          <w:bCs/>
        </w:rPr>
        <w:t xml:space="preserve"> La principal causa de mortalidad fueron las enfermedades del sistema circulatorio, seguida de las neoplasias y, en tercer lugar, el grupo de las demás causas. En todos los casos, las tasas de mortalidad fueron inferiores al promedio departamental, con diferencias estadísticamente significativas.</w:t>
      </w:r>
    </w:p>
    <w:p w14:paraId="36BE7E9C" w14:textId="77777777" w:rsidR="0078045B" w:rsidRPr="007F0FA7" w:rsidRDefault="0078045B" w:rsidP="00093B44">
      <w:pPr>
        <w:jc w:val="both"/>
        <w:rPr>
          <w:rFonts w:ascii="Humanst521 BT" w:hAnsi="Humanst521 BT"/>
          <w:bCs/>
        </w:rPr>
      </w:pPr>
    </w:p>
    <w:p w14:paraId="450BFDAA" w14:textId="77777777" w:rsidR="0078045B" w:rsidRPr="007F0FA7" w:rsidRDefault="0078045B" w:rsidP="00093B44">
      <w:pPr>
        <w:jc w:val="both"/>
        <w:rPr>
          <w:rFonts w:ascii="Humanst521 BT" w:hAnsi="Humanst521 BT"/>
          <w:bCs/>
        </w:rPr>
      </w:pPr>
      <w:r w:rsidRPr="007F0FA7">
        <w:rPr>
          <w:rFonts w:ascii="Humanst521 BT" w:hAnsi="Humanst521 BT"/>
          <w:b/>
          <w:u w:val="single"/>
        </w:rPr>
        <w:t>Bucaramanga:</w:t>
      </w:r>
      <w:r w:rsidRPr="007F0FA7">
        <w:rPr>
          <w:rFonts w:ascii="Humanst521 BT" w:hAnsi="Humanst521 BT"/>
          <w:bCs/>
        </w:rPr>
        <w:t xml:space="preserve"> La mortalidad por neoplasias fue superior al promedio municipal. En segundo lugar, las enfermedades del sistema circulatorio presentaron una tasa inferior, con una diferencia significativa. Finalmente, las demás causas también mostraron valores inferiores al promedio del municipio, con diferencias significativas.</w:t>
      </w:r>
    </w:p>
    <w:p w14:paraId="780F382C" w14:textId="77777777" w:rsidR="0078045B" w:rsidRPr="007F0FA7" w:rsidRDefault="0078045B" w:rsidP="00093B44">
      <w:pPr>
        <w:jc w:val="both"/>
        <w:rPr>
          <w:rFonts w:ascii="Humanst521 BT" w:hAnsi="Humanst521 BT"/>
          <w:bCs/>
        </w:rPr>
      </w:pPr>
    </w:p>
    <w:p w14:paraId="7DE3CD7E" w14:textId="7AEAF2E1" w:rsidR="00074E05" w:rsidRPr="007F0FA7" w:rsidRDefault="0078045B" w:rsidP="00093B44">
      <w:pPr>
        <w:jc w:val="both"/>
        <w:rPr>
          <w:rFonts w:ascii="Humanst521 BT" w:hAnsi="Humanst521 BT"/>
          <w:bCs/>
        </w:rPr>
      </w:pPr>
      <w:r w:rsidRPr="007F0FA7">
        <w:rPr>
          <w:rFonts w:ascii="Humanst521 BT" w:hAnsi="Humanst521 BT"/>
          <w:b/>
          <w:u w:val="single"/>
        </w:rPr>
        <w:t>Floridablanca:</w:t>
      </w:r>
      <w:r w:rsidRPr="007F0FA7">
        <w:rPr>
          <w:rFonts w:ascii="Humanst521 BT" w:hAnsi="Humanst521 BT"/>
          <w:bCs/>
        </w:rPr>
        <w:t xml:space="preserve"> Las principales causas de mortalidad fueron las enfermedades del sistema circulatorio y las demás causas, ambas con valores superiores a lo reportado por cada municipio y con diferencias significativas en relación con el promedio municipal.</w:t>
      </w:r>
    </w:p>
    <w:p w14:paraId="71C8E40E" w14:textId="77777777" w:rsidR="0078045B" w:rsidRPr="007F0FA7" w:rsidRDefault="0078045B" w:rsidP="00093B44">
      <w:pPr>
        <w:jc w:val="both"/>
        <w:rPr>
          <w:rFonts w:ascii="Humanst521 BT" w:hAnsi="Humanst521 BT"/>
          <w:bCs/>
        </w:rPr>
      </w:pPr>
    </w:p>
    <w:p w14:paraId="274F4E17" w14:textId="2C13A11E" w:rsidR="00074E05" w:rsidRPr="007F0FA7" w:rsidRDefault="00C33913" w:rsidP="00093B44">
      <w:pPr>
        <w:jc w:val="both"/>
        <w:rPr>
          <w:rFonts w:ascii="Humanst521 BT" w:hAnsi="Humanst521 BT"/>
          <w:bCs/>
        </w:rPr>
      </w:pPr>
      <w:r>
        <w:rPr>
          <w:rFonts w:ascii="Humanst521 BT" w:hAnsi="Humanst521 BT"/>
          <w:bCs/>
        </w:rPr>
        <w:t>A continuación</w:t>
      </w:r>
      <w:r w:rsidR="00074E05" w:rsidRPr="007F0FA7">
        <w:rPr>
          <w:rFonts w:ascii="Humanst521 BT" w:hAnsi="Humanst521 BT"/>
          <w:bCs/>
        </w:rPr>
        <w:t>, se presentan las</w:t>
      </w:r>
      <w:r w:rsidR="00A72708" w:rsidRPr="007F0FA7">
        <w:rPr>
          <w:rFonts w:ascii="Humanst521 BT" w:hAnsi="Humanst521 BT"/>
          <w:bCs/>
        </w:rPr>
        <w:t xml:space="preserve"> </w:t>
      </w:r>
      <w:r w:rsidR="00074E05" w:rsidRPr="007F0FA7">
        <w:rPr>
          <w:rFonts w:ascii="Humanst521 BT" w:hAnsi="Humanst521 BT"/>
          <w:bCs/>
        </w:rPr>
        <w:t xml:space="preserve">tasas ajustadas de mortalidad en hombres grandes causas </w:t>
      </w:r>
      <w:bookmarkStart w:id="154" w:name="_Hlk157015412"/>
      <w:r w:rsidR="00053E55" w:rsidRPr="007F0FA7">
        <w:rPr>
          <w:rFonts w:ascii="Humanst521 BT" w:hAnsi="Humanst521 BT"/>
          <w:bCs/>
        </w:rPr>
        <w:t>de</w:t>
      </w:r>
      <w:r w:rsidR="00074E05" w:rsidRPr="007F0FA7">
        <w:rPr>
          <w:rFonts w:ascii="Humanst521 BT" w:hAnsi="Humanst521 BT"/>
          <w:bCs/>
        </w:rPr>
        <w:t xml:space="preserve"> Santander y los municipios con casos.  </w:t>
      </w:r>
    </w:p>
    <w:bookmarkEnd w:id="154"/>
    <w:p w14:paraId="287390D0" w14:textId="77777777" w:rsidR="00074E05" w:rsidRPr="007F0FA7" w:rsidRDefault="00074E05" w:rsidP="00093B44">
      <w:pPr>
        <w:jc w:val="both"/>
        <w:rPr>
          <w:rFonts w:ascii="Humanst521 BT" w:hAnsi="Humanst521 BT"/>
          <w:b/>
        </w:rPr>
      </w:pPr>
    </w:p>
    <w:p w14:paraId="0133C79D" w14:textId="7105575D" w:rsidR="00074E05" w:rsidRPr="00D92A24"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155" w:name="_Toc161298177"/>
      <w:bookmarkStart w:id="156" w:name="_Toc161318797"/>
      <w:bookmarkStart w:id="157" w:name="_Toc231286280"/>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D92A24">
        <w:rPr>
          <w:rFonts w:ascii="Humanst521 BT" w:eastAsia="Verdana" w:hAnsi="Humanst521 BT" w:cs="Verdana"/>
          <w:b w:val="0"/>
          <w:bCs w:val="0"/>
          <w:noProof/>
          <w:color w:val="auto"/>
          <w:sz w:val="22"/>
          <w:szCs w:val="22"/>
          <w:lang w:val="es-ES"/>
        </w:rPr>
        <w:t>35</w:t>
      </w:r>
      <w:r w:rsidRPr="00D92A24">
        <w:rPr>
          <w:rFonts w:ascii="Humanst521 BT" w:eastAsia="Verdana" w:hAnsi="Humanst521 BT" w:cs="Verdana"/>
          <w:b w:val="0"/>
          <w:bCs w:val="0"/>
          <w:color w:val="auto"/>
          <w:sz w:val="22"/>
          <w:szCs w:val="22"/>
          <w:lang w:val="es-ES"/>
        </w:rPr>
        <w:fldChar w:fldCharType="end"/>
      </w:r>
      <w:r w:rsidR="0086788D">
        <w:rPr>
          <w:rFonts w:ascii="Humanst521 BT" w:eastAsia="Verdana" w:hAnsi="Humanst521 BT" w:cs="Verdana"/>
          <w:b w:val="0"/>
          <w:bCs w:val="0"/>
          <w:color w:val="auto"/>
          <w:sz w:val="22"/>
          <w:szCs w:val="22"/>
          <w:lang w:val="es-ES"/>
        </w:rPr>
        <w:t>.</w:t>
      </w:r>
      <w:r w:rsidRPr="00D92A24">
        <w:rPr>
          <w:rFonts w:ascii="Humanst521 BT" w:eastAsia="Verdana" w:hAnsi="Humanst521 BT" w:cs="Verdana"/>
          <w:b w:val="0"/>
          <w:bCs w:val="0"/>
          <w:color w:val="auto"/>
          <w:sz w:val="22"/>
          <w:szCs w:val="22"/>
          <w:lang w:val="es-ES"/>
        </w:rPr>
        <w:t xml:space="preserve"> Tasa ajustada de mortalidad en hombres grandes causas, UISALUD 202</w:t>
      </w:r>
      <w:bookmarkEnd w:id="155"/>
      <w:bookmarkEnd w:id="156"/>
      <w:r w:rsidR="00BF14CB" w:rsidRPr="00D92A24">
        <w:rPr>
          <w:rFonts w:ascii="Humanst521 BT" w:eastAsia="Verdana" w:hAnsi="Humanst521 BT" w:cs="Verdana"/>
          <w:b w:val="0"/>
          <w:bCs w:val="0"/>
          <w:color w:val="auto"/>
          <w:sz w:val="22"/>
          <w:szCs w:val="22"/>
          <w:lang w:val="es-ES"/>
        </w:rPr>
        <w:t>4</w:t>
      </w:r>
      <w:bookmarkEnd w:id="157"/>
    </w:p>
    <w:tbl>
      <w:tblPr>
        <w:tblStyle w:val="Tablaconcuadrcula4-nfasis2"/>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1"/>
        <w:gridCol w:w="3100"/>
        <w:gridCol w:w="1856"/>
        <w:gridCol w:w="1854"/>
      </w:tblGrid>
      <w:tr w:rsidR="00E32CB0" w:rsidRPr="007F0FA7" w14:paraId="394E0203" w14:textId="77777777" w:rsidTr="00735F2B">
        <w:trPr>
          <w:cnfStyle w:val="100000000000" w:firstRow="1" w:lastRow="0" w:firstColumn="0" w:lastColumn="0" w:oddVBand="0" w:evenVBand="0" w:oddHBand="0" w:evenHBand="0" w:firstRowFirstColumn="0" w:firstRowLastColumn="0" w:lastRowFirstColumn="0" w:lastRowLastColumn="0"/>
          <w:trHeight w:val="675"/>
          <w:tblHeader/>
        </w:trPr>
        <w:tc>
          <w:tcPr>
            <w:cnfStyle w:val="001000000000" w:firstRow="0" w:lastRow="0" w:firstColumn="1" w:lastColumn="0" w:oddVBand="0" w:evenVBand="0" w:oddHBand="0" w:evenHBand="0" w:firstRowFirstColumn="0" w:firstRowLastColumn="0" w:lastRowFirstColumn="0" w:lastRowLastColumn="0"/>
            <w:tcW w:w="1382" w:type="pct"/>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3A7D89C8" w14:textId="77777777" w:rsidR="00074E05" w:rsidRPr="007F0FA7" w:rsidRDefault="00074E05" w:rsidP="00093B44">
            <w:pPr>
              <w:jc w:val="both"/>
              <w:rPr>
                <w:rFonts w:ascii="Humanst521 BT" w:hAnsi="Humanst521 BT" w:cs="Arial"/>
                <w:color w:val="auto"/>
                <w:sz w:val="22"/>
                <w:szCs w:val="22"/>
              </w:rPr>
            </w:pPr>
            <w:bookmarkStart w:id="158" w:name="_Hlk156506591"/>
            <w:r w:rsidRPr="007F0FA7">
              <w:rPr>
                <w:rFonts w:ascii="Humanst521 BT" w:hAnsi="Humanst521 BT" w:cs="Arial"/>
                <w:color w:val="auto"/>
                <w:sz w:val="22"/>
                <w:szCs w:val="22"/>
              </w:rPr>
              <w:t>Entidad territorial donde residen los afiliados a</w:t>
            </w:r>
          </w:p>
          <w:p w14:paraId="7D1B9CE3" w14:textId="77777777" w:rsidR="00074E05" w:rsidRPr="007F0FA7" w:rsidRDefault="00074E05" w:rsidP="00093B44">
            <w:pPr>
              <w:jc w:val="both"/>
              <w:rPr>
                <w:rFonts w:ascii="Humanst521 BT" w:hAnsi="Humanst521 BT" w:cs="Arial"/>
                <w:color w:val="auto"/>
                <w:sz w:val="22"/>
                <w:szCs w:val="22"/>
              </w:rPr>
            </w:pPr>
            <w:r w:rsidRPr="007F0FA7">
              <w:rPr>
                <w:rFonts w:ascii="Humanst521 BT" w:hAnsi="Humanst521 BT" w:cs="Arial"/>
                <w:color w:val="auto"/>
                <w:sz w:val="22"/>
                <w:szCs w:val="22"/>
              </w:rPr>
              <w:t>UISALUD</w:t>
            </w:r>
          </w:p>
        </w:tc>
        <w:tc>
          <w:tcPr>
            <w:tcW w:w="1647" w:type="pct"/>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275EB6F7"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Grupos de muerte según lista 6/67 OPS-OMS</w:t>
            </w:r>
          </w:p>
        </w:tc>
        <w:tc>
          <w:tcPr>
            <w:tcW w:w="986" w:type="pct"/>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779DD700"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mortalidad UISALUD </w:t>
            </w:r>
          </w:p>
        </w:tc>
        <w:tc>
          <w:tcPr>
            <w:tcW w:w="985" w:type="pct"/>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7D4E20D2"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vertAlign w:val="superscript"/>
              </w:rPr>
            </w:pPr>
            <w:r w:rsidRPr="007F0FA7">
              <w:rPr>
                <w:rFonts w:ascii="Humanst521 BT" w:hAnsi="Humanst521 BT" w:cs="Arial"/>
                <w:color w:val="auto"/>
                <w:sz w:val="22"/>
                <w:szCs w:val="22"/>
              </w:rPr>
              <w:t xml:space="preserve">Tasa ajustada de mortalidad ente territorial  </w:t>
            </w:r>
          </w:p>
        </w:tc>
      </w:tr>
      <w:tr w:rsidR="00E32CB0" w:rsidRPr="007F0FA7" w14:paraId="18D1250C" w14:textId="77777777" w:rsidTr="00735F2B">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382" w:type="pct"/>
            <w:vMerge w:val="restart"/>
            <w:shd w:val="clear" w:color="auto" w:fill="FFFFFF" w:themeFill="background1"/>
            <w:noWrap/>
            <w:hideMark/>
          </w:tcPr>
          <w:p w14:paraId="00B01252" w14:textId="77777777" w:rsidR="002113BD" w:rsidRPr="007F0FA7" w:rsidRDefault="002113BD" w:rsidP="00093B44">
            <w:pPr>
              <w:jc w:val="both"/>
              <w:rPr>
                <w:rFonts w:ascii="Humanst521 BT" w:hAnsi="Humanst521 BT" w:cs="Arial"/>
                <w:sz w:val="22"/>
                <w:szCs w:val="22"/>
                <w:lang w:eastAsia="es-CO"/>
              </w:rPr>
            </w:pPr>
            <w:r w:rsidRPr="007F0FA7">
              <w:rPr>
                <w:rFonts w:ascii="Humanst521 BT" w:hAnsi="Humanst521 BT" w:cs="Arial"/>
                <w:sz w:val="22"/>
                <w:szCs w:val="22"/>
              </w:rPr>
              <w:t>SANTANDER</w:t>
            </w:r>
          </w:p>
        </w:tc>
        <w:tc>
          <w:tcPr>
            <w:tcW w:w="1647" w:type="pct"/>
            <w:shd w:val="clear" w:color="auto" w:fill="FFFFFF" w:themeFill="background1"/>
            <w:noWrap/>
            <w:hideMark/>
          </w:tcPr>
          <w:p w14:paraId="7DBB9679" w14:textId="77777777"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86" w:type="pct"/>
            <w:shd w:val="clear" w:color="auto" w:fill="92D050"/>
            <w:noWrap/>
            <w:vAlign w:val="bottom"/>
            <w:hideMark/>
          </w:tcPr>
          <w:p w14:paraId="20889320" w14:textId="0481408C"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11,35</w:t>
            </w:r>
          </w:p>
        </w:tc>
        <w:tc>
          <w:tcPr>
            <w:tcW w:w="985" w:type="pct"/>
            <w:shd w:val="clear" w:color="auto" w:fill="FFFFFF" w:themeFill="background1"/>
            <w:noWrap/>
            <w:hideMark/>
          </w:tcPr>
          <w:p w14:paraId="3280F8AF" w14:textId="1E0B8697"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34,32</w:t>
            </w:r>
          </w:p>
        </w:tc>
      </w:tr>
      <w:tr w:rsidR="00E32CB0" w:rsidRPr="007F0FA7" w14:paraId="54FAC717" w14:textId="77777777" w:rsidTr="00735F2B">
        <w:trPr>
          <w:trHeight w:val="96"/>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2A86FE2D" w14:textId="77777777" w:rsidR="002113BD" w:rsidRPr="007F0FA7" w:rsidRDefault="002113BD" w:rsidP="00093B44">
            <w:pPr>
              <w:jc w:val="both"/>
              <w:rPr>
                <w:rFonts w:ascii="Humanst521 BT" w:hAnsi="Humanst521 BT" w:cs="Arial"/>
                <w:sz w:val="22"/>
                <w:szCs w:val="22"/>
              </w:rPr>
            </w:pPr>
          </w:p>
        </w:tc>
        <w:tc>
          <w:tcPr>
            <w:tcW w:w="1647" w:type="pct"/>
            <w:shd w:val="clear" w:color="auto" w:fill="FFFFFF" w:themeFill="background1"/>
            <w:noWrap/>
            <w:hideMark/>
          </w:tcPr>
          <w:p w14:paraId="17D1BC66" w14:textId="77777777"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86" w:type="pct"/>
            <w:shd w:val="clear" w:color="auto" w:fill="92D050"/>
            <w:noWrap/>
            <w:vAlign w:val="bottom"/>
            <w:hideMark/>
          </w:tcPr>
          <w:p w14:paraId="6435436F" w14:textId="291C4AFD"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64,09</w:t>
            </w:r>
          </w:p>
        </w:tc>
        <w:tc>
          <w:tcPr>
            <w:tcW w:w="985" w:type="pct"/>
            <w:shd w:val="clear" w:color="auto" w:fill="FFFFFF" w:themeFill="background1"/>
            <w:noWrap/>
            <w:hideMark/>
          </w:tcPr>
          <w:p w14:paraId="6A68E3DF" w14:textId="48F6C1D3"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84,37</w:t>
            </w:r>
          </w:p>
        </w:tc>
      </w:tr>
      <w:tr w:rsidR="00E32CB0" w:rsidRPr="007F0FA7" w14:paraId="1F8729CB" w14:textId="77777777" w:rsidTr="00735F2B">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33B49878" w14:textId="77777777" w:rsidR="002113BD" w:rsidRPr="007F0FA7" w:rsidRDefault="002113BD" w:rsidP="00093B44">
            <w:pPr>
              <w:jc w:val="both"/>
              <w:rPr>
                <w:rFonts w:ascii="Humanst521 BT" w:hAnsi="Humanst521 BT" w:cs="Arial"/>
                <w:sz w:val="22"/>
                <w:szCs w:val="22"/>
              </w:rPr>
            </w:pPr>
          </w:p>
        </w:tc>
        <w:tc>
          <w:tcPr>
            <w:tcW w:w="1647" w:type="pct"/>
            <w:noWrap/>
            <w:hideMark/>
          </w:tcPr>
          <w:p w14:paraId="324A08A3" w14:textId="77777777"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986" w:type="pct"/>
            <w:shd w:val="clear" w:color="auto" w:fill="92D050"/>
            <w:noWrap/>
            <w:vAlign w:val="bottom"/>
            <w:hideMark/>
          </w:tcPr>
          <w:p w14:paraId="5D3A3545" w14:textId="634820BC"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72,16</w:t>
            </w:r>
          </w:p>
        </w:tc>
        <w:tc>
          <w:tcPr>
            <w:tcW w:w="985" w:type="pct"/>
            <w:shd w:val="clear" w:color="auto" w:fill="FFFFFF" w:themeFill="background1"/>
            <w:noWrap/>
            <w:hideMark/>
          </w:tcPr>
          <w:p w14:paraId="1D1A9307" w14:textId="0BA1F9CF"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143,93</w:t>
            </w:r>
          </w:p>
        </w:tc>
      </w:tr>
      <w:tr w:rsidR="00E32CB0" w:rsidRPr="007F0FA7" w14:paraId="0F506C2D" w14:textId="77777777" w:rsidTr="00735F2B">
        <w:trPr>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1F5B17B5" w14:textId="77777777" w:rsidR="002113BD" w:rsidRPr="007F0FA7" w:rsidRDefault="002113BD" w:rsidP="00093B44">
            <w:pPr>
              <w:jc w:val="both"/>
              <w:rPr>
                <w:rFonts w:ascii="Humanst521 BT" w:hAnsi="Humanst521 BT" w:cs="Arial"/>
                <w:sz w:val="22"/>
                <w:szCs w:val="22"/>
              </w:rPr>
            </w:pPr>
          </w:p>
        </w:tc>
        <w:tc>
          <w:tcPr>
            <w:tcW w:w="1647" w:type="pct"/>
            <w:shd w:val="clear" w:color="auto" w:fill="FFFFFF" w:themeFill="background1"/>
            <w:noWrap/>
            <w:hideMark/>
          </w:tcPr>
          <w:p w14:paraId="04A92EC2" w14:textId="77777777"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86" w:type="pct"/>
            <w:shd w:val="clear" w:color="auto" w:fill="92D050"/>
            <w:noWrap/>
            <w:vAlign w:val="bottom"/>
            <w:hideMark/>
          </w:tcPr>
          <w:p w14:paraId="69737E33" w14:textId="242C923B"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85" w:type="pct"/>
            <w:shd w:val="clear" w:color="auto" w:fill="FFFFFF" w:themeFill="background1"/>
            <w:noWrap/>
            <w:hideMark/>
          </w:tcPr>
          <w:p w14:paraId="0EBD4D70" w14:textId="748B20D4"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88,42</w:t>
            </w:r>
          </w:p>
        </w:tc>
      </w:tr>
      <w:tr w:rsidR="00E32CB0" w:rsidRPr="007F0FA7" w14:paraId="7D7FE830" w14:textId="77777777" w:rsidTr="00735F2B">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1B52AD74" w14:textId="77777777" w:rsidR="002113BD" w:rsidRPr="007F0FA7" w:rsidRDefault="002113BD" w:rsidP="00093B44">
            <w:pPr>
              <w:jc w:val="both"/>
              <w:rPr>
                <w:rFonts w:ascii="Humanst521 BT" w:hAnsi="Humanst521 BT" w:cs="Arial"/>
                <w:sz w:val="22"/>
                <w:szCs w:val="22"/>
              </w:rPr>
            </w:pPr>
          </w:p>
        </w:tc>
        <w:tc>
          <w:tcPr>
            <w:tcW w:w="1647" w:type="pct"/>
            <w:shd w:val="clear" w:color="auto" w:fill="FFFFFF" w:themeFill="background1"/>
            <w:noWrap/>
            <w:hideMark/>
          </w:tcPr>
          <w:p w14:paraId="4DD4E9F8" w14:textId="77777777"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86" w:type="pct"/>
            <w:shd w:val="clear" w:color="auto" w:fill="92D050"/>
            <w:noWrap/>
            <w:vAlign w:val="bottom"/>
            <w:hideMark/>
          </w:tcPr>
          <w:p w14:paraId="7C20BD16" w14:textId="66664557"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53,11</w:t>
            </w:r>
          </w:p>
        </w:tc>
        <w:tc>
          <w:tcPr>
            <w:tcW w:w="985" w:type="pct"/>
            <w:shd w:val="clear" w:color="auto" w:fill="FFFFFF" w:themeFill="background1"/>
            <w:noWrap/>
            <w:hideMark/>
          </w:tcPr>
          <w:p w14:paraId="0F02E7B6" w14:textId="35DAB975" w:rsidR="002113BD" w:rsidRPr="007F0FA7" w:rsidRDefault="002113BD"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117,57</w:t>
            </w:r>
          </w:p>
        </w:tc>
      </w:tr>
      <w:tr w:rsidR="00E32CB0" w:rsidRPr="007F0FA7" w14:paraId="09BD2162" w14:textId="77777777" w:rsidTr="00735F2B">
        <w:trPr>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2EFB66AF" w14:textId="77777777" w:rsidR="002113BD" w:rsidRPr="007F0FA7" w:rsidRDefault="002113BD" w:rsidP="00093B44">
            <w:pPr>
              <w:jc w:val="both"/>
              <w:rPr>
                <w:rFonts w:ascii="Humanst521 BT" w:hAnsi="Humanst521 BT" w:cs="Arial"/>
                <w:sz w:val="22"/>
                <w:szCs w:val="22"/>
              </w:rPr>
            </w:pPr>
          </w:p>
        </w:tc>
        <w:tc>
          <w:tcPr>
            <w:tcW w:w="1647" w:type="pct"/>
            <w:shd w:val="clear" w:color="auto" w:fill="FFFFFF" w:themeFill="background1"/>
            <w:noWrap/>
            <w:hideMark/>
          </w:tcPr>
          <w:p w14:paraId="7D9F1B1E" w14:textId="77777777"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986" w:type="pct"/>
            <w:shd w:val="clear" w:color="auto" w:fill="92D050"/>
            <w:noWrap/>
            <w:vAlign w:val="bottom"/>
            <w:hideMark/>
          </w:tcPr>
          <w:p w14:paraId="5BE03C0B" w14:textId="333A089D"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85" w:type="pct"/>
            <w:shd w:val="clear" w:color="auto" w:fill="FFFFFF" w:themeFill="background1"/>
            <w:noWrap/>
            <w:hideMark/>
          </w:tcPr>
          <w:p w14:paraId="446C4C6F" w14:textId="3EAFE2CB" w:rsidR="002113BD" w:rsidRPr="007F0FA7" w:rsidRDefault="002113BD"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1EDB3141" w14:textId="77777777" w:rsidTr="00735F2B">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382" w:type="pct"/>
            <w:vMerge w:val="restart"/>
            <w:shd w:val="clear" w:color="auto" w:fill="FFFFFF" w:themeFill="background1"/>
            <w:noWrap/>
            <w:hideMark/>
          </w:tcPr>
          <w:p w14:paraId="37B66506" w14:textId="77777777" w:rsidR="005768B2" w:rsidRPr="007F0FA7" w:rsidRDefault="005768B2" w:rsidP="00093B44">
            <w:pPr>
              <w:jc w:val="both"/>
              <w:rPr>
                <w:rFonts w:ascii="Humanst521 BT" w:hAnsi="Humanst521 BT" w:cs="Arial"/>
                <w:sz w:val="22"/>
                <w:szCs w:val="22"/>
              </w:rPr>
            </w:pPr>
            <w:r w:rsidRPr="007F0FA7">
              <w:rPr>
                <w:rFonts w:ascii="Humanst521 BT" w:hAnsi="Humanst521 BT" w:cs="Arial"/>
                <w:sz w:val="22"/>
                <w:szCs w:val="22"/>
              </w:rPr>
              <w:t>BUCARAMANGA</w:t>
            </w:r>
          </w:p>
        </w:tc>
        <w:tc>
          <w:tcPr>
            <w:tcW w:w="1647" w:type="pct"/>
            <w:shd w:val="clear" w:color="auto" w:fill="FFFFFF" w:themeFill="background1"/>
            <w:noWrap/>
            <w:hideMark/>
          </w:tcPr>
          <w:p w14:paraId="6B4E6866" w14:textId="77777777"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86" w:type="pct"/>
            <w:shd w:val="clear" w:color="000000" w:fill="92D050"/>
            <w:noWrap/>
            <w:vAlign w:val="bottom"/>
          </w:tcPr>
          <w:p w14:paraId="3A080D5D" w14:textId="6CAEC807"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15,10</w:t>
            </w:r>
          </w:p>
        </w:tc>
        <w:tc>
          <w:tcPr>
            <w:tcW w:w="985" w:type="pct"/>
            <w:shd w:val="clear" w:color="000000" w:fill="FFFFFF"/>
            <w:noWrap/>
          </w:tcPr>
          <w:p w14:paraId="61F56972" w14:textId="7C24FFB3"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34,98</w:t>
            </w:r>
          </w:p>
        </w:tc>
      </w:tr>
      <w:tr w:rsidR="00E32CB0" w:rsidRPr="007F0FA7" w14:paraId="08D295FA" w14:textId="77777777" w:rsidTr="00735F2B">
        <w:trPr>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59FD413C" w14:textId="77777777" w:rsidR="005768B2" w:rsidRPr="007F0FA7" w:rsidRDefault="005768B2" w:rsidP="00093B44">
            <w:pPr>
              <w:jc w:val="both"/>
              <w:rPr>
                <w:rFonts w:ascii="Humanst521 BT" w:hAnsi="Humanst521 BT" w:cs="Arial"/>
                <w:sz w:val="22"/>
                <w:szCs w:val="22"/>
              </w:rPr>
            </w:pPr>
          </w:p>
        </w:tc>
        <w:tc>
          <w:tcPr>
            <w:tcW w:w="1647" w:type="pct"/>
            <w:shd w:val="clear" w:color="auto" w:fill="FBE4D5" w:themeFill="accent2" w:themeFillTint="33"/>
            <w:noWrap/>
            <w:hideMark/>
          </w:tcPr>
          <w:p w14:paraId="63BC8498" w14:textId="77777777"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86" w:type="pct"/>
            <w:shd w:val="clear" w:color="000000" w:fill="FFFF00"/>
            <w:noWrap/>
            <w:vAlign w:val="bottom"/>
          </w:tcPr>
          <w:p w14:paraId="5237A757" w14:textId="083CAD7B"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94,44</w:t>
            </w:r>
          </w:p>
        </w:tc>
        <w:tc>
          <w:tcPr>
            <w:tcW w:w="985" w:type="pct"/>
            <w:shd w:val="clear" w:color="000000" w:fill="FFFFFF"/>
            <w:noWrap/>
          </w:tcPr>
          <w:p w14:paraId="3C1B9291" w14:textId="32726CB7"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83,98</w:t>
            </w:r>
          </w:p>
        </w:tc>
      </w:tr>
      <w:tr w:rsidR="00E32CB0" w:rsidRPr="007F0FA7" w14:paraId="38F599B1" w14:textId="77777777" w:rsidTr="00735F2B">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11D04E5F" w14:textId="77777777" w:rsidR="005768B2" w:rsidRPr="007F0FA7" w:rsidRDefault="005768B2" w:rsidP="00093B44">
            <w:pPr>
              <w:jc w:val="both"/>
              <w:rPr>
                <w:rFonts w:ascii="Humanst521 BT" w:hAnsi="Humanst521 BT" w:cs="Arial"/>
                <w:sz w:val="22"/>
                <w:szCs w:val="22"/>
              </w:rPr>
            </w:pPr>
          </w:p>
        </w:tc>
        <w:tc>
          <w:tcPr>
            <w:tcW w:w="1647" w:type="pct"/>
            <w:shd w:val="clear" w:color="auto" w:fill="auto"/>
            <w:noWrap/>
            <w:hideMark/>
          </w:tcPr>
          <w:p w14:paraId="7F5B4EFA" w14:textId="77777777"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986" w:type="pct"/>
            <w:shd w:val="clear" w:color="000000" w:fill="92D050"/>
            <w:noWrap/>
            <w:vAlign w:val="bottom"/>
          </w:tcPr>
          <w:p w14:paraId="6CF1BD0F" w14:textId="1AD801C1"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57,15</w:t>
            </w:r>
          </w:p>
        </w:tc>
        <w:tc>
          <w:tcPr>
            <w:tcW w:w="985" w:type="pct"/>
            <w:shd w:val="clear" w:color="000000" w:fill="FFFFFF"/>
            <w:noWrap/>
          </w:tcPr>
          <w:p w14:paraId="10EEEC8D" w14:textId="6AC17787"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112,07</w:t>
            </w:r>
          </w:p>
        </w:tc>
      </w:tr>
      <w:tr w:rsidR="00E32CB0" w:rsidRPr="007F0FA7" w14:paraId="2B8FC95B" w14:textId="77777777" w:rsidTr="00735F2B">
        <w:trPr>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4115E52E" w14:textId="77777777" w:rsidR="005768B2" w:rsidRPr="007F0FA7" w:rsidRDefault="005768B2" w:rsidP="00093B44">
            <w:pPr>
              <w:jc w:val="both"/>
              <w:rPr>
                <w:rFonts w:ascii="Humanst521 BT" w:hAnsi="Humanst521 BT" w:cs="Arial"/>
                <w:sz w:val="22"/>
                <w:szCs w:val="22"/>
              </w:rPr>
            </w:pPr>
          </w:p>
        </w:tc>
        <w:tc>
          <w:tcPr>
            <w:tcW w:w="1647" w:type="pct"/>
            <w:shd w:val="clear" w:color="auto" w:fill="FFFFFF" w:themeFill="background1"/>
            <w:noWrap/>
            <w:hideMark/>
          </w:tcPr>
          <w:p w14:paraId="0005F34D" w14:textId="77777777"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86" w:type="pct"/>
            <w:shd w:val="clear" w:color="auto" w:fill="92D050"/>
            <w:noWrap/>
            <w:vAlign w:val="bottom"/>
          </w:tcPr>
          <w:p w14:paraId="7F537F6D" w14:textId="6BC81A2F"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85" w:type="pct"/>
            <w:shd w:val="clear" w:color="000000" w:fill="FFFFFF"/>
            <w:noWrap/>
          </w:tcPr>
          <w:p w14:paraId="414C6A1E" w14:textId="1B136816"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76,23</w:t>
            </w:r>
          </w:p>
        </w:tc>
      </w:tr>
      <w:tr w:rsidR="00E32CB0" w:rsidRPr="007F0FA7" w14:paraId="62F59FAE" w14:textId="77777777" w:rsidTr="00735F2B">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462C7456" w14:textId="77777777" w:rsidR="005768B2" w:rsidRPr="007F0FA7" w:rsidRDefault="005768B2" w:rsidP="00093B44">
            <w:pPr>
              <w:jc w:val="both"/>
              <w:rPr>
                <w:rFonts w:ascii="Humanst521 BT" w:hAnsi="Humanst521 BT" w:cs="Arial"/>
                <w:sz w:val="22"/>
                <w:szCs w:val="22"/>
              </w:rPr>
            </w:pPr>
          </w:p>
        </w:tc>
        <w:tc>
          <w:tcPr>
            <w:tcW w:w="1647" w:type="pct"/>
            <w:shd w:val="clear" w:color="auto" w:fill="FFFFFF" w:themeFill="background1"/>
            <w:noWrap/>
            <w:hideMark/>
          </w:tcPr>
          <w:p w14:paraId="3277DDA3" w14:textId="77777777"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86" w:type="pct"/>
            <w:shd w:val="clear" w:color="000000" w:fill="92D050"/>
            <w:noWrap/>
            <w:vAlign w:val="bottom"/>
          </w:tcPr>
          <w:p w14:paraId="3B7E7A40" w14:textId="76A16B71"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30,20</w:t>
            </w:r>
          </w:p>
        </w:tc>
        <w:tc>
          <w:tcPr>
            <w:tcW w:w="985" w:type="pct"/>
            <w:shd w:val="clear" w:color="000000" w:fill="FFFFFF"/>
            <w:noWrap/>
          </w:tcPr>
          <w:p w14:paraId="7E24C063" w14:textId="528CD900" w:rsidR="005768B2" w:rsidRPr="007F0FA7" w:rsidRDefault="005768B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106,73</w:t>
            </w:r>
          </w:p>
        </w:tc>
      </w:tr>
      <w:tr w:rsidR="00E32CB0" w:rsidRPr="007F0FA7" w14:paraId="49394E9D" w14:textId="77777777" w:rsidTr="00735F2B">
        <w:trPr>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03FBD106" w14:textId="77777777" w:rsidR="005768B2" w:rsidRPr="007F0FA7" w:rsidRDefault="005768B2" w:rsidP="00093B44">
            <w:pPr>
              <w:jc w:val="both"/>
              <w:rPr>
                <w:rFonts w:ascii="Humanst521 BT" w:hAnsi="Humanst521 BT" w:cs="Arial"/>
                <w:sz w:val="22"/>
                <w:szCs w:val="22"/>
              </w:rPr>
            </w:pPr>
          </w:p>
        </w:tc>
        <w:tc>
          <w:tcPr>
            <w:tcW w:w="1647" w:type="pct"/>
            <w:shd w:val="clear" w:color="auto" w:fill="FFFFFF" w:themeFill="background1"/>
            <w:noWrap/>
            <w:hideMark/>
          </w:tcPr>
          <w:p w14:paraId="6E8E7B7D" w14:textId="77777777"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986" w:type="pct"/>
            <w:shd w:val="clear" w:color="auto" w:fill="92D050"/>
            <w:noWrap/>
            <w:vAlign w:val="bottom"/>
          </w:tcPr>
          <w:p w14:paraId="6B245FF8" w14:textId="076BC07B"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85" w:type="pct"/>
            <w:shd w:val="clear" w:color="auto" w:fill="FFFFFF" w:themeFill="background1"/>
            <w:noWrap/>
          </w:tcPr>
          <w:p w14:paraId="6D82AD25" w14:textId="5D53B845" w:rsidR="005768B2" w:rsidRPr="007F0FA7" w:rsidRDefault="005768B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7BBD4EC8" w14:textId="77777777" w:rsidTr="00735F2B">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382" w:type="pct"/>
            <w:vMerge w:val="restart"/>
            <w:shd w:val="clear" w:color="auto" w:fill="FFFFFF" w:themeFill="background1"/>
            <w:noWrap/>
            <w:hideMark/>
          </w:tcPr>
          <w:p w14:paraId="3689C5B6" w14:textId="77777777" w:rsidR="00DA4034" w:rsidRPr="007F0FA7" w:rsidRDefault="00DA4034" w:rsidP="00093B44">
            <w:pPr>
              <w:jc w:val="both"/>
              <w:rPr>
                <w:rFonts w:ascii="Humanst521 BT" w:hAnsi="Humanst521 BT" w:cs="Arial"/>
                <w:sz w:val="22"/>
                <w:szCs w:val="22"/>
              </w:rPr>
            </w:pPr>
            <w:r w:rsidRPr="007F0FA7">
              <w:rPr>
                <w:rFonts w:ascii="Humanst521 BT" w:hAnsi="Humanst521 BT" w:cs="Arial"/>
                <w:sz w:val="22"/>
                <w:szCs w:val="22"/>
              </w:rPr>
              <w:t>FLORIDABLANCA</w:t>
            </w:r>
          </w:p>
        </w:tc>
        <w:tc>
          <w:tcPr>
            <w:tcW w:w="1647" w:type="pct"/>
            <w:shd w:val="clear" w:color="auto" w:fill="FFFFFF" w:themeFill="background1"/>
            <w:noWrap/>
            <w:hideMark/>
          </w:tcPr>
          <w:p w14:paraId="5E72A770" w14:textId="77777777" w:rsidR="00DA4034" w:rsidRPr="007F0FA7" w:rsidRDefault="00DA403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86" w:type="pct"/>
            <w:shd w:val="clear" w:color="000000" w:fill="FFFF00"/>
            <w:noWrap/>
            <w:vAlign w:val="bottom"/>
            <w:hideMark/>
          </w:tcPr>
          <w:p w14:paraId="6F8E6919" w14:textId="1E0C7ECD" w:rsidR="00DA4034" w:rsidRPr="007F0FA7" w:rsidRDefault="00DA403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85" w:type="pct"/>
            <w:shd w:val="clear" w:color="auto" w:fill="FFFFFF" w:themeFill="background1"/>
            <w:noWrap/>
            <w:hideMark/>
          </w:tcPr>
          <w:p w14:paraId="4562D61F" w14:textId="77777777" w:rsidR="00DA4034" w:rsidRPr="007F0FA7" w:rsidRDefault="00DA403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34,35</w:t>
            </w:r>
          </w:p>
        </w:tc>
      </w:tr>
      <w:tr w:rsidR="00E32CB0" w:rsidRPr="007F0FA7" w14:paraId="4AFCAC24" w14:textId="77777777" w:rsidTr="00735F2B">
        <w:trPr>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28844199" w14:textId="77777777" w:rsidR="00DA4034" w:rsidRPr="007F0FA7" w:rsidRDefault="00DA4034" w:rsidP="00093B44">
            <w:pPr>
              <w:jc w:val="both"/>
              <w:rPr>
                <w:rFonts w:ascii="Humanst521 BT" w:hAnsi="Humanst521 BT" w:cs="Arial"/>
                <w:sz w:val="22"/>
                <w:szCs w:val="22"/>
              </w:rPr>
            </w:pPr>
          </w:p>
        </w:tc>
        <w:tc>
          <w:tcPr>
            <w:tcW w:w="1647" w:type="pct"/>
            <w:shd w:val="clear" w:color="auto" w:fill="FFFFFF" w:themeFill="background1"/>
            <w:noWrap/>
            <w:hideMark/>
          </w:tcPr>
          <w:p w14:paraId="74D556A2" w14:textId="77777777" w:rsidR="00DA4034" w:rsidRPr="007F0FA7" w:rsidRDefault="00DA403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86" w:type="pct"/>
            <w:shd w:val="clear" w:color="000000" w:fill="FFFF00"/>
            <w:noWrap/>
            <w:vAlign w:val="bottom"/>
            <w:hideMark/>
          </w:tcPr>
          <w:p w14:paraId="37696CB4" w14:textId="3E914A3E" w:rsidR="00DA4034" w:rsidRPr="007F0FA7" w:rsidRDefault="00DA403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85" w:type="pct"/>
            <w:shd w:val="clear" w:color="auto" w:fill="FFFFFF" w:themeFill="background1"/>
            <w:noWrap/>
            <w:hideMark/>
          </w:tcPr>
          <w:p w14:paraId="627C05F0" w14:textId="77777777" w:rsidR="00DA4034" w:rsidRPr="007F0FA7" w:rsidRDefault="00DA403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109,12</w:t>
            </w:r>
          </w:p>
        </w:tc>
      </w:tr>
      <w:tr w:rsidR="00E32CB0" w:rsidRPr="007F0FA7" w14:paraId="65EA61DA" w14:textId="77777777" w:rsidTr="00735F2B">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5A64C6C1" w14:textId="77777777" w:rsidR="00E849AC" w:rsidRPr="007F0FA7" w:rsidRDefault="00E849AC" w:rsidP="00093B44">
            <w:pPr>
              <w:jc w:val="both"/>
              <w:rPr>
                <w:rFonts w:ascii="Humanst521 BT" w:hAnsi="Humanst521 BT" w:cs="Arial"/>
                <w:sz w:val="22"/>
                <w:szCs w:val="22"/>
              </w:rPr>
            </w:pPr>
          </w:p>
        </w:tc>
        <w:tc>
          <w:tcPr>
            <w:tcW w:w="1647" w:type="pct"/>
            <w:noWrap/>
            <w:hideMark/>
          </w:tcPr>
          <w:p w14:paraId="6729C69B" w14:textId="77777777" w:rsidR="00E849AC" w:rsidRPr="007F0FA7" w:rsidRDefault="00E849A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986" w:type="pct"/>
            <w:shd w:val="clear" w:color="000000" w:fill="FF0000"/>
            <w:noWrap/>
            <w:vAlign w:val="bottom"/>
            <w:hideMark/>
          </w:tcPr>
          <w:p w14:paraId="48B5291C" w14:textId="558EEB51" w:rsidR="00E849AC" w:rsidRPr="007F0FA7" w:rsidRDefault="00E849A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165,64</w:t>
            </w:r>
          </w:p>
        </w:tc>
        <w:tc>
          <w:tcPr>
            <w:tcW w:w="985" w:type="pct"/>
            <w:shd w:val="clear" w:color="auto" w:fill="FFFFFF" w:themeFill="background1"/>
            <w:noWrap/>
            <w:hideMark/>
          </w:tcPr>
          <w:p w14:paraId="68F6FA3A" w14:textId="5452E436" w:rsidR="00E849AC" w:rsidRPr="007F0FA7" w:rsidRDefault="00E849A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27,41</w:t>
            </w:r>
          </w:p>
        </w:tc>
      </w:tr>
      <w:tr w:rsidR="00E32CB0" w:rsidRPr="007F0FA7" w14:paraId="3B90BE6E" w14:textId="77777777" w:rsidTr="00735F2B">
        <w:trPr>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6BB8DFC7" w14:textId="77777777" w:rsidR="00E849AC" w:rsidRPr="007F0FA7" w:rsidRDefault="00E849AC" w:rsidP="00093B44">
            <w:pPr>
              <w:jc w:val="both"/>
              <w:rPr>
                <w:rFonts w:ascii="Humanst521 BT" w:hAnsi="Humanst521 BT" w:cs="Arial"/>
                <w:sz w:val="22"/>
                <w:szCs w:val="22"/>
              </w:rPr>
            </w:pPr>
          </w:p>
        </w:tc>
        <w:tc>
          <w:tcPr>
            <w:tcW w:w="1647" w:type="pct"/>
            <w:shd w:val="clear" w:color="auto" w:fill="FFFFFF" w:themeFill="background1"/>
            <w:noWrap/>
            <w:hideMark/>
          </w:tcPr>
          <w:p w14:paraId="2E6DD19A" w14:textId="77777777" w:rsidR="00E849AC" w:rsidRPr="007F0FA7" w:rsidRDefault="00E849A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86" w:type="pct"/>
            <w:shd w:val="clear" w:color="000000" w:fill="FFFF00"/>
            <w:noWrap/>
            <w:vAlign w:val="bottom"/>
            <w:hideMark/>
          </w:tcPr>
          <w:p w14:paraId="460EC19C" w14:textId="319909E8" w:rsidR="00E849AC" w:rsidRPr="007F0FA7" w:rsidRDefault="00E849A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85" w:type="pct"/>
            <w:shd w:val="clear" w:color="auto" w:fill="FFFFFF" w:themeFill="background1"/>
            <w:noWrap/>
            <w:hideMark/>
          </w:tcPr>
          <w:p w14:paraId="3F264E25" w14:textId="14640316" w:rsidR="00E849AC" w:rsidRPr="007F0FA7" w:rsidRDefault="00E849A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116,58</w:t>
            </w:r>
          </w:p>
        </w:tc>
      </w:tr>
      <w:tr w:rsidR="00E32CB0" w:rsidRPr="007F0FA7" w14:paraId="3F9930BB" w14:textId="77777777" w:rsidTr="00735F2B">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3AE64566" w14:textId="77777777" w:rsidR="00E849AC" w:rsidRPr="007F0FA7" w:rsidRDefault="00E849AC" w:rsidP="00093B44">
            <w:pPr>
              <w:jc w:val="both"/>
              <w:rPr>
                <w:rFonts w:ascii="Humanst521 BT" w:hAnsi="Humanst521 BT" w:cs="Arial"/>
                <w:sz w:val="22"/>
                <w:szCs w:val="22"/>
              </w:rPr>
            </w:pPr>
          </w:p>
        </w:tc>
        <w:tc>
          <w:tcPr>
            <w:tcW w:w="1647" w:type="pct"/>
            <w:noWrap/>
            <w:hideMark/>
          </w:tcPr>
          <w:p w14:paraId="2F011FD0" w14:textId="77777777" w:rsidR="00E849AC" w:rsidRPr="007F0FA7" w:rsidRDefault="00E849A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86" w:type="pct"/>
            <w:shd w:val="clear" w:color="000000" w:fill="FF0000"/>
            <w:noWrap/>
            <w:vAlign w:val="bottom"/>
            <w:hideMark/>
          </w:tcPr>
          <w:p w14:paraId="592E4C85" w14:textId="2EDE821C" w:rsidR="00E849AC" w:rsidRPr="007F0FA7" w:rsidRDefault="00E849A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165,64</w:t>
            </w:r>
          </w:p>
        </w:tc>
        <w:tc>
          <w:tcPr>
            <w:tcW w:w="985" w:type="pct"/>
            <w:shd w:val="clear" w:color="auto" w:fill="FFFFFF" w:themeFill="background1"/>
            <w:noWrap/>
            <w:hideMark/>
          </w:tcPr>
          <w:p w14:paraId="603A81FA" w14:textId="69799DBE" w:rsidR="00E849AC" w:rsidRPr="007F0FA7" w:rsidRDefault="00E849A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125,00</w:t>
            </w:r>
          </w:p>
        </w:tc>
      </w:tr>
      <w:tr w:rsidR="00E32CB0" w:rsidRPr="007F0FA7" w14:paraId="227EE169" w14:textId="77777777" w:rsidTr="00735F2B">
        <w:trPr>
          <w:trHeight w:val="193"/>
        </w:trPr>
        <w:tc>
          <w:tcPr>
            <w:cnfStyle w:val="001000000000" w:firstRow="0" w:lastRow="0" w:firstColumn="1" w:lastColumn="0" w:oddVBand="0" w:evenVBand="0" w:oddHBand="0" w:evenHBand="0" w:firstRowFirstColumn="0" w:firstRowLastColumn="0" w:lastRowFirstColumn="0" w:lastRowLastColumn="0"/>
            <w:tcW w:w="1382" w:type="pct"/>
            <w:vMerge/>
            <w:shd w:val="clear" w:color="auto" w:fill="FFFFFF" w:themeFill="background1"/>
            <w:noWrap/>
          </w:tcPr>
          <w:p w14:paraId="72EF58C3" w14:textId="77777777" w:rsidR="00E849AC" w:rsidRPr="007F0FA7" w:rsidRDefault="00E849AC" w:rsidP="00093B44">
            <w:pPr>
              <w:jc w:val="both"/>
              <w:rPr>
                <w:rFonts w:ascii="Humanst521 BT" w:hAnsi="Humanst521 BT" w:cs="Arial"/>
                <w:sz w:val="22"/>
                <w:szCs w:val="22"/>
              </w:rPr>
            </w:pPr>
          </w:p>
        </w:tc>
        <w:tc>
          <w:tcPr>
            <w:tcW w:w="1647" w:type="pct"/>
            <w:shd w:val="clear" w:color="auto" w:fill="FFFFFF" w:themeFill="background1"/>
            <w:noWrap/>
            <w:hideMark/>
          </w:tcPr>
          <w:p w14:paraId="632D2115" w14:textId="77777777" w:rsidR="00E849AC" w:rsidRPr="007F0FA7" w:rsidRDefault="00E849A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986" w:type="pct"/>
            <w:shd w:val="clear" w:color="auto" w:fill="FFFFFF" w:themeFill="background1"/>
            <w:noWrap/>
            <w:hideMark/>
          </w:tcPr>
          <w:p w14:paraId="555B005D" w14:textId="77777777" w:rsidR="00E849AC" w:rsidRPr="007F0FA7" w:rsidRDefault="00E849A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c>
          <w:tcPr>
            <w:tcW w:w="985" w:type="pct"/>
            <w:shd w:val="clear" w:color="auto" w:fill="FFFFFF" w:themeFill="background1"/>
            <w:noWrap/>
            <w:hideMark/>
          </w:tcPr>
          <w:p w14:paraId="1F29D28B" w14:textId="58C4B351" w:rsidR="00E849AC" w:rsidRPr="007F0FA7" w:rsidRDefault="00E849A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52,87</w:t>
            </w:r>
          </w:p>
        </w:tc>
      </w:tr>
    </w:tbl>
    <w:bookmarkEnd w:id="158"/>
    <w:p w14:paraId="2C1EC8B9" w14:textId="67239A2E" w:rsidR="00074E05" w:rsidRPr="007F0FA7" w:rsidRDefault="00074E05" w:rsidP="00093B44">
      <w:pPr>
        <w:pStyle w:val="Cita"/>
        <w:spacing w:line="240" w:lineRule="auto"/>
        <w:jc w:val="both"/>
        <w:rPr>
          <w:rFonts w:ascii="Humanst521 BT" w:hAnsi="Humanst521 BT"/>
          <w:sz w:val="22"/>
          <w:szCs w:val="22"/>
          <w:lang w:eastAsia="es-CO"/>
        </w:rPr>
      </w:pPr>
      <w:r w:rsidRPr="007F0FA7">
        <w:rPr>
          <w:rFonts w:ascii="Humanst521 BT" w:hAnsi="Humanst521 BT"/>
          <w:sz w:val="22"/>
          <w:szCs w:val="22"/>
          <w:lang w:eastAsia="es-CO"/>
        </w:rPr>
        <w:t>Fuente: Bodega de Datos de SISPRO (SGD) 202</w:t>
      </w:r>
      <w:r w:rsidR="003143E1" w:rsidRPr="007F0FA7">
        <w:rPr>
          <w:rFonts w:ascii="Humanst521 BT" w:hAnsi="Humanst521 BT"/>
          <w:sz w:val="22"/>
          <w:szCs w:val="22"/>
          <w:lang w:eastAsia="es-CO"/>
        </w:rPr>
        <w:t>3</w:t>
      </w:r>
      <w:r w:rsidRPr="007F0FA7">
        <w:rPr>
          <w:rFonts w:ascii="Humanst521 BT" w:hAnsi="Humanst521 BT"/>
          <w:sz w:val="22"/>
          <w:szCs w:val="22"/>
        </w:rPr>
        <w:t xml:space="preserve">, </w:t>
      </w:r>
      <w:r w:rsidRPr="007F0FA7">
        <w:rPr>
          <w:rFonts w:ascii="Humanst521 BT" w:hAnsi="Humanst521 BT"/>
          <w:sz w:val="22"/>
          <w:szCs w:val="22"/>
          <w:lang w:eastAsia="es-CO"/>
        </w:rPr>
        <w:t>tasa ajustada de mortalidad por 100.000 afiliados</w:t>
      </w:r>
    </w:p>
    <w:p w14:paraId="2EC6285E" w14:textId="77777777" w:rsidR="00A72708" w:rsidRPr="007F0FA7" w:rsidRDefault="00A72708" w:rsidP="00093B44">
      <w:pPr>
        <w:jc w:val="both"/>
        <w:rPr>
          <w:rStyle w:val="nfasissutil"/>
          <w:rFonts w:ascii="Humanst521 BT" w:hAnsi="Humanst521 BT"/>
          <w:color w:val="auto"/>
        </w:rPr>
      </w:pPr>
      <w:r w:rsidRPr="007F0FA7">
        <w:rPr>
          <w:rStyle w:val="nfasissutil"/>
          <w:rFonts w:ascii="Humanst521 BT" w:hAnsi="Humanst521 BT"/>
          <w:color w:val="auto"/>
        </w:rPr>
        <w:t xml:space="preserve">No se reportaron tasas de mortalidad en otros departamentos y municipios. </w:t>
      </w:r>
    </w:p>
    <w:p w14:paraId="34071F19" w14:textId="77777777" w:rsidR="00074E05" w:rsidRPr="007F0FA7" w:rsidRDefault="00074E05" w:rsidP="00093B44">
      <w:pPr>
        <w:jc w:val="both"/>
        <w:rPr>
          <w:rFonts w:ascii="Humanst521 BT" w:hAnsi="Humanst521 BT"/>
          <w:lang w:eastAsia="es-CO"/>
        </w:rPr>
      </w:pPr>
    </w:p>
    <w:p w14:paraId="23757C15" w14:textId="3B6BBFFE" w:rsidR="00074E05" w:rsidRPr="007F0FA7" w:rsidRDefault="00074E05" w:rsidP="00093B44">
      <w:pPr>
        <w:pStyle w:val="Ttulo5"/>
      </w:pPr>
      <w:bookmarkStart w:id="159" w:name="_Toc161297421"/>
      <w:r w:rsidRPr="007F0FA7">
        <w:t>Tasa de mortalidad ajustada por grandes causas en Mujeres   según lista 6/67 OPS-OMS</w:t>
      </w:r>
      <w:bookmarkEnd w:id="159"/>
    </w:p>
    <w:p w14:paraId="65BFF646" w14:textId="77777777" w:rsidR="00244044" w:rsidRPr="007F0FA7" w:rsidRDefault="00244044" w:rsidP="00093B44">
      <w:pPr>
        <w:jc w:val="both"/>
        <w:rPr>
          <w:rFonts w:ascii="Humanst521 BT" w:hAnsi="Humanst521 BT"/>
          <w:lang w:val="es-CO"/>
        </w:rPr>
      </w:pPr>
      <w:r w:rsidRPr="007F0FA7">
        <w:rPr>
          <w:rFonts w:ascii="Humanst521 BT" w:hAnsi="Humanst521 BT"/>
          <w:lang w:val="es-CO"/>
        </w:rPr>
        <w:t>A nivel nacional, para UISALUD, las principales causas de mortalidad en mujeres fueron las neoplasias, seguidas de las demás causas, las enfermedades del sistema circulatorio y, por último, todas las demás enfermedades. La tasa de mortalidad por neoplasias es inferior en comparación con el promedio nacional y presenta una diferencia significativa.</w:t>
      </w:r>
    </w:p>
    <w:p w14:paraId="118680B1" w14:textId="77777777" w:rsidR="000F3569" w:rsidRPr="007F0FA7" w:rsidRDefault="000F3569" w:rsidP="00093B44">
      <w:pPr>
        <w:jc w:val="both"/>
        <w:rPr>
          <w:rFonts w:ascii="Humanst521 BT" w:hAnsi="Humanst521 BT"/>
        </w:rPr>
      </w:pPr>
    </w:p>
    <w:p w14:paraId="1057B8DE" w14:textId="77777777" w:rsidR="00244044" w:rsidRPr="007F0FA7" w:rsidRDefault="00244044" w:rsidP="00093B44">
      <w:pPr>
        <w:jc w:val="both"/>
        <w:rPr>
          <w:rFonts w:ascii="Humanst521 BT" w:hAnsi="Humanst521 BT"/>
          <w:lang w:val="es-CO"/>
        </w:rPr>
      </w:pPr>
      <w:r w:rsidRPr="007F0FA7">
        <w:rPr>
          <w:rFonts w:ascii="Humanst521 BT" w:hAnsi="Humanst521 BT"/>
          <w:lang w:val="es-CO"/>
        </w:rPr>
        <w:t>A continuación, se presenta el comportamiento de la mortalidad por grandes causas en mujeres en los municipios del departamento de Santander y Bogotá D.C., donde se reportaron casos.</w:t>
      </w:r>
    </w:p>
    <w:p w14:paraId="59A8F1D7" w14:textId="77777777" w:rsidR="00013B91" w:rsidRPr="007F0FA7" w:rsidRDefault="00013B91" w:rsidP="00093B44">
      <w:pPr>
        <w:jc w:val="both"/>
        <w:rPr>
          <w:rFonts w:ascii="Humanst521 BT" w:hAnsi="Humanst521 BT"/>
          <w:lang w:val="es-CO"/>
        </w:rPr>
      </w:pPr>
    </w:p>
    <w:p w14:paraId="105BE389" w14:textId="77777777" w:rsidR="00244044" w:rsidRPr="007F0FA7" w:rsidRDefault="00244044" w:rsidP="00093B44">
      <w:pPr>
        <w:jc w:val="both"/>
        <w:rPr>
          <w:rFonts w:ascii="Humanst521 BT" w:hAnsi="Humanst521 BT"/>
          <w:lang w:val="es-CO"/>
        </w:rPr>
      </w:pPr>
      <w:r w:rsidRPr="007F0FA7">
        <w:rPr>
          <w:rFonts w:ascii="Humanst521 BT" w:hAnsi="Humanst521 BT"/>
          <w:b/>
          <w:bCs/>
          <w:u w:val="single"/>
          <w:lang w:val="es-CO"/>
        </w:rPr>
        <w:t>Santander:</w:t>
      </w:r>
      <w:r w:rsidRPr="007F0FA7">
        <w:rPr>
          <w:rFonts w:ascii="Humanst521 BT" w:hAnsi="Humanst521 BT"/>
          <w:lang w:val="es-CO"/>
        </w:rPr>
        <w:t xml:space="preserve"> La tasa de mortalidad fue equivalente para las neoplasias y las enfermedades del sistema circulatorio, seguidas de todas las demás enfermedades. Todas las causas mostraron valores inferiores en comparación con el promedio departamental, con diferencias significativas.</w:t>
      </w:r>
    </w:p>
    <w:p w14:paraId="1B0CEB8D" w14:textId="77777777" w:rsidR="00013B91" w:rsidRPr="007F0FA7" w:rsidRDefault="00013B91" w:rsidP="00093B44">
      <w:pPr>
        <w:jc w:val="both"/>
        <w:rPr>
          <w:rFonts w:ascii="Humanst521 BT" w:hAnsi="Humanst521 BT"/>
          <w:lang w:val="es-CO"/>
        </w:rPr>
      </w:pPr>
    </w:p>
    <w:p w14:paraId="3034ABCD" w14:textId="77777777" w:rsidR="00244044" w:rsidRPr="007F0FA7" w:rsidRDefault="00244044" w:rsidP="00093B44">
      <w:pPr>
        <w:jc w:val="both"/>
        <w:rPr>
          <w:rFonts w:ascii="Humanst521 BT" w:hAnsi="Humanst521 BT"/>
          <w:lang w:val="es-CO"/>
        </w:rPr>
      </w:pPr>
      <w:r w:rsidRPr="007F0FA7">
        <w:rPr>
          <w:rFonts w:ascii="Humanst521 BT" w:hAnsi="Humanst521 BT"/>
          <w:b/>
          <w:bCs/>
          <w:u w:val="single"/>
          <w:lang w:val="es-CO"/>
        </w:rPr>
        <w:t>Bucaramanga</w:t>
      </w:r>
      <w:r w:rsidRPr="007F0FA7">
        <w:rPr>
          <w:rFonts w:ascii="Humanst521 BT" w:hAnsi="Humanst521 BT"/>
          <w:u w:val="single"/>
          <w:lang w:val="es-CO"/>
        </w:rPr>
        <w:t>:</w:t>
      </w:r>
      <w:r w:rsidRPr="007F0FA7">
        <w:rPr>
          <w:rFonts w:ascii="Humanst521 BT" w:hAnsi="Humanst521 BT"/>
          <w:lang w:val="es-CO"/>
        </w:rPr>
        <w:t xml:space="preserve"> La principal causa de mortalidad fue las enfermedades del sistema circulatorio, seguida por las neoplasias. La primera presentó valores superiores al promedio municipal, con una diferencia significativa. Todas las causas mostraron tasas inferiores en comparación con el promedio departamental, con diferencias significativas.</w:t>
      </w:r>
    </w:p>
    <w:p w14:paraId="1B643F79" w14:textId="77777777" w:rsidR="00013B91" w:rsidRPr="007F0FA7" w:rsidRDefault="00013B91" w:rsidP="00093B44">
      <w:pPr>
        <w:jc w:val="both"/>
        <w:rPr>
          <w:rFonts w:ascii="Humanst521 BT" w:hAnsi="Humanst521 BT"/>
          <w:lang w:val="es-CO"/>
        </w:rPr>
      </w:pPr>
    </w:p>
    <w:p w14:paraId="6FAFB7AE" w14:textId="77777777" w:rsidR="00244044" w:rsidRPr="007F0FA7" w:rsidRDefault="00244044" w:rsidP="00093B44">
      <w:pPr>
        <w:jc w:val="both"/>
        <w:rPr>
          <w:rFonts w:ascii="Humanst521 BT" w:hAnsi="Humanst521 BT"/>
          <w:lang w:val="es-CO"/>
        </w:rPr>
      </w:pPr>
      <w:r w:rsidRPr="007F0FA7">
        <w:rPr>
          <w:rFonts w:ascii="Humanst521 BT" w:hAnsi="Humanst521 BT"/>
          <w:b/>
          <w:bCs/>
          <w:u w:val="single"/>
          <w:lang w:val="es-CO"/>
        </w:rPr>
        <w:t>Floridablanca</w:t>
      </w:r>
      <w:r w:rsidRPr="007F0FA7">
        <w:rPr>
          <w:rFonts w:ascii="Humanst521 BT" w:hAnsi="Humanst521 BT"/>
          <w:u w:val="single"/>
          <w:lang w:val="es-CO"/>
        </w:rPr>
        <w:t>:</w:t>
      </w:r>
      <w:r w:rsidRPr="007F0FA7">
        <w:rPr>
          <w:rFonts w:ascii="Humanst521 BT" w:hAnsi="Humanst521 BT"/>
          <w:lang w:val="es-CO"/>
        </w:rPr>
        <w:t xml:space="preserve"> Las principales causas de mortalidad fueron las neoplasias y todas las demás enfermedades, ambas con tasas inferiores al promedio municipal y con diferencias significativas.</w:t>
      </w:r>
    </w:p>
    <w:p w14:paraId="0F973B72" w14:textId="77777777" w:rsidR="00013B91" w:rsidRPr="007F0FA7" w:rsidRDefault="00013B91" w:rsidP="00093B44">
      <w:pPr>
        <w:jc w:val="both"/>
        <w:rPr>
          <w:rFonts w:ascii="Humanst521 BT" w:hAnsi="Humanst521 BT"/>
          <w:lang w:val="es-CO"/>
        </w:rPr>
      </w:pPr>
    </w:p>
    <w:p w14:paraId="432670BE" w14:textId="77777777" w:rsidR="00244044" w:rsidRPr="007F0FA7" w:rsidRDefault="00244044" w:rsidP="00093B44">
      <w:pPr>
        <w:jc w:val="both"/>
        <w:rPr>
          <w:rFonts w:ascii="Humanst521 BT" w:hAnsi="Humanst521 BT"/>
          <w:lang w:val="es-CO"/>
        </w:rPr>
      </w:pPr>
      <w:r w:rsidRPr="007F0FA7">
        <w:rPr>
          <w:rFonts w:ascii="Humanst521 BT" w:hAnsi="Humanst521 BT"/>
          <w:b/>
          <w:bCs/>
          <w:u w:val="single"/>
          <w:lang w:val="es-CO"/>
        </w:rPr>
        <w:t>Bogotá D.C.</w:t>
      </w:r>
      <w:r w:rsidRPr="007F0FA7">
        <w:rPr>
          <w:rFonts w:ascii="Humanst521 BT" w:hAnsi="Humanst521 BT"/>
          <w:u w:val="single"/>
          <w:lang w:val="es-CO"/>
        </w:rPr>
        <w:t>:</w:t>
      </w:r>
      <w:r w:rsidRPr="007F0FA7">
        <w:rPr>
          <w:rFonts w:ascii="Humanst521 BT" w:hAnsi="Humanst521 BT"/>
          <w:lang w:val="es-CO"/>
        </w:rPr>
        <w:t xml:space="preserve"> Solo se reportaron casos de neoplasias, con una tasa superior a la reportada por el departamento y con diferencias significativas.</w:t>
      </w:r>
    </w:p>
    <w:p w14:paraId="3C7D15F8" w14:textId="77777777" w:rsidR="00F82FA5" w:rsidRPr="007F0FA7" w:rsidRDefault="00F82FA5" w:rsidP="00093B44">
      <w:pPr>
        <w:jc w:val="both"/>
        <w:rPr>
          <w:rFonts w:ascii="Humanst521 BT" w:hAnsi="Humanst521 BT"/>
          <w:lang w:val="es-CO"/>
        </w:rPr>
      </w:pPr>
    </w:p>
    <w:p w14:paraId="34BFFD78" w14:textId="681A5F6A" w:rsidR="00244044" w:rsidRPr="007F0FA7" w:rsidRDefault="0097496A" w:rsidP="00093B44">
      <w:pPr>
        <w:jc w:val="both"/>
        <w:rPr>
          <w:rFonts w:ascii="Humanst521 BT" w:hAnsi="Humanst521 BT"/>
          <w:lang w:val="es-CO"/>
        </w:rPr>
      </w:pPr>
      <w:r>
        <w:rPr>
          <w:rFonts w:ascii="Humanst521 BT" w:hAnsi="Humanst521 BT"/>
          <w:lang w:val="es-CO"/>
        </w:rPr>
        <w:t xml:space="preserve">Se </w:t>
      </w:r>
      <w:r w:rsidR="00244044" w:rsidRPr="007F0FA7">
        <w:rPr>
          <w:rFonts w:ascii="Humanst521 BT" w:hAnsi="Humanst521 BT"/>
          <w:lang w:val="es-CO"/>
        </w:rPr>
        <w:t>presentan las tasas ajustadas de mortalidad en mujeres por grandes causas para Santander, Bogotá D.C. y los municipios donde se registraron casos</w:t>
      </w:r>
      <w:r>
        <w:rPr>
          <w:rFonts w:ascii="Humanst521 BT" w:hAnsi="Humanst521 BT"/>
          <w:lang w:val="es-CO"/>
        </w:rPr>
        <w:t>, como lo muestra la siguiente tabla:</w:t>
      </w:r>
    </w:p>
    <w:p w14:paraId="69066BAD" w14:textId="5F57D463" w:rsidR="00074E05" w:rsidRPr="007F0FA7" w:rsidRDefault="00074E05" w:rsidP="00093B44">
      <w:pPr>
        <w:jc w:val="both"/>
        <w:rPr>
          <w:rStyle w:val="nfasissutil"/>
          <w:rFonts w:ascii="Humanst521 BT" w:hAnsi="Humanst521 BT"/>
          <w:i w:val="0"/>
          <w:iCs w:val="0"/>
          <w:color w:val="auto"/>
        </w:rPr>
      </w:pPr>
    </w:p>
    <w:p w14:paraId="365DBF17" w14:textId="0A8CC3BC" w:rsidR="00074E05" w:rsidRPr="0086788D"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160" w:name="_Toc161298178"/>
      <w:bookmarkStart w:id="161" w:name="_Toc161318798"/>
      <w:bookmarkStart w:id="162" w:name="_Toc231286281"/>
      <w:r w:rsidRPr="0086788D">
        <w:rPr>
          <w:rFonts w:ascii="Humanst521 BT" w:eastAsia="Verdana" w:hAnsi="Humanst521 BT" w:cs="Verdana"/>
          <w:b w:val="0"/>
          <w:bCs w:val="0"/>
          <w:color w:val="auto"/>
          <w:sz w:val="22"/>
          <w:szCs w:val="22"/>
          <w:lang w:val="es-ES"/>
        </w:rPr>
        <w:t xml:space="preserve">Tabla </w:t>
      </w:r>
      <w:r w:rsidRPr="0086788D">
        <w:rPr>
          <w:rFonts w:ascii="Humanst521 BT" w:eastAsia="Verdana" w:hAnsi="Humanst521 BT" w:cs="Verdana"/>
          <w:b w:val="0"/>
          <w:bCs w:val="0"/>
          <w:color w:val="auto"/>
          <w:sz w:val="22"/>
          <w:szCs w:val="22"/>
          <w:lang w:val="es-ES"/>
        </w:rPr>
        <w:fldChar w:fldCharType="begin"/>
      </w:r>
      <w:r w:rsidRPr="0086788D">
        <w:rPr>
          <w:rFonts w:ascii="Humanst521 BT" w:eastAsia="Verdana" w:hAnsi="Humanst521 BT" w:cs="Verdana"/>
          <w:b w:val="0"/>
          <w:bCs w:val="0"/>
          <w:color w:val="auto"/>
          <w:sz w:val="22"/>
          <w:szCs w:val="22"/>
          <w:lang w:val="es-ES"/>
        </w:rPr>
        <w:instrText xml:space="preserve"> SEQ Tabla \* ARABIC </w:instrText>
      </w:r>
      <w:r w:rsidRPr="0086788D">
        <w:rPr>
          <w:rFonts w:ascii="Humanst521 BT" w:eastAsia="Verdana" w:hAnsi="Humanst521 BT" w:cs="Verdana"/>
          <w:b w:val="0"/>
          <w:bCs w:val="0"/>
          <w:color w:val="auto"/>
          <w:sz w:val="22"/>
          <w:szCs w:val="22"/>
          <w:lang w:val="es-ES"/>
        </w:rPr>
        <w:fldChar w:fldCharType="separate"/>
      </w:r>
      <w:r w:rsidR="00D92A24" w:rsidRPr="0086788D">
        <w:rPr>
          <w:rFonts w:ascii="Humanst521 BT" w:eastAsia="Verdana" w:hAnsi="Humanst521 BT" w:cs="Verdana"/>
          <w:b w:val="0"/>
          <w:bCs w:val="0"/>
          <w:noProof/>
          <w:color w:val="auto"/>
          <w:sz w:val="22"/>
          <w:szCs w:val="22"/>
          <w:lang w:val="es-ES"/>
        </w:rPr>
        <w:t>36</w:t>
      </w:r>
      <w:r w:rsidRPr="0086788D">
        <w:rPr>
          <w:rFonts w:ascii="Humanst521 BT" w:eastAsia="Verdana" w:hAnsi="Humanst521 BT" w:cs="Verdana"/>
          <w:b w:val="0"/>
          <w:bCs w:val="0"/>
          <w:color w:val="auto"/>
          <w:sz w:val="22"/>
          <w:szCs w:val="22"/>
          <w:lang w:val="es-ES"/>
        </w:rPr>
        <w:fldChar w:fldCharType="end"/>
      </w:r>
      <w:r w:rsidR="00D92A24" w:rsidRPr="0086788D">
        <w:rPr>
          <w:rFonts w:ascii="Humanst521 BT" w:eastAsia="Verdana" w:hAnsi="Humanst521 BT" w:cs="Verdana"/>
          <w:b w:val="0"/>
          <w:bCs w:val="0"/>
          <w:color w:val="auto"/>
          <w:sz w:val="22"/>
          <w:szCs w:val="22"/>
          <w:lang w:val="es-ES"/>
        </w:rPr>
        <w:t>.</w:t>
      </w:r>
      <w:r w:rsidRPr="0086788D">
        <w:rPr>
          <w:rFonts w:ascii="Humanst521 BT" w:eastAsia="Verdana" w:hAnsi="Humanst521 BT" w:cs="Verdana"/>
          <w:b w:val="0"/>
          <w:bCs w:val="0"/>
          <w:color w:val="auto"/>
          <w:sz w:val="22"/>
          <w:szCs w:val="22"/>
          <w:lang w:val="es-ES"/>
        </w:rPr>
        <w:t xml:space="preserve"> Tasa ajustada de mortalidad en mujeres grandes causas, UISALUD  202</w:t>
      </w:r>
      <w:bookmarkEnd w:id="160"/>
      <w:bookmarkEnd w:id="161"/>
      <w:r w:rsidR="00102929" w:rsidRPr="0086788D">
        <w:rPr>
          <w:rFonts w:ascii="Humanst521 BT" w:eastAsia="Verdana" w:hAnsi="Humanst521 BT" w:cs="Verdana"/>
          <w:b w:val="0"/>
          <w:bCs w:val="0"/>
          <w:color w:val="auto"/>
          <w:sz w:val="22"/>
          <w:szCs w:val="22"/>
          <w:lang w:val="es-ES"/>
        </w:rPr>
        <w:t>4</w:t>
      </w:r>
      <w:bookmarkEnd w:id="162"/>
    </w:p>
    <w:tbl>
      <w:tblPr>
        <w:tblStyle w:val="Tablaconcuadrcula4-nfasis2"/>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3096"/>
        <w:gridCol w:w="2017"/>
        <w:gridCol w:w="2045"/>
      </w:tblGrid>
      <w:tr w:rsidR="00E32CB0" w:rsidRPr="007F0FA7" w14:paraId="24C6323A" w14:textId="77777777" w:rsidTr="00735F2B">
        <w:trPr>
          <w:cnfStyle w:val="100000000000" w:firstRow="1" w:lastRow="0" w:firstColumn="0" w:lastColumn="0" w:oddVBand="0" w:evenVBand="0" w:oddHBand="0" w:evenHBand="0" w:firstRowFirstColumn="0" w:firstRowLastColumn="0" w:lastRowFirstColumn="0" w:lastRowLastColumn="0"/>
          <w:trHeight w:val="539"/>
          <w:tblHeader/>
        </w:trPr>
        <w:tc>
          <w:tcPr>
            <w:cnfStyle w:val="001000000000" w:firstRow="0" w:lastRow="0" w:firstColumn="1" w:lastColumn="0" w:oddVBand="0" w:evenVBand="0" w:oddHBand="0" w:evenHBand="0" w:firstRowFirstColumn="0" w:firstRowLastColumn="0" w:lastRowFirstColumn="0" w:lastRowLastColumn="0"/>
            <w:tcW w:w="2144" w:type="dxa"/>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457896C5" w14:textId="77777777" w:rsidR="00074E05" w:rsidRPr="007F0FA7" w:rsidRDefault="00074E05" w:rsidP="00093B44">
            <w:pPr>
              <w:jc w:val="both"/>
              <w:rPr>
                <w:rFonts w:ascii="Humanst521 BT" w:hAnsi="Humanst521 BT" w:cs="Arial"/>
                <w:color w:val="auto"/>
                <w:sz w:val="22"/>
                <w:szCs w:val="22"/>
              </w:rPr>
            </w:pPr>
            <w:bookmarkStart w:id="163" w:name="_Hlk156506603"/>
            <w:r w:rsidRPr="007F0FA7">
              <w:rPr>
                <w:rFonts w:ascii="Humanst521 BT" w:hAnsi="Humanst521 BT" w:cs="Arial"/>
                <w:color w:val="auto"/>
                <w:sz w:val="22"/>
                <w:szCs w:val="22"/>
              </w:rPr>
              <w:lastRenderedPageBreak/>
              <w:t>Entidad territorial donde residen los afiliados a UISALUD</w:t>
            </w:r>
          </w:p>
        </w:tc>
        <w:tc>
          <w:tcPr>
            <w:tcW w:w="3096" w:type="dxa"/>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3E3CCCFF"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Grupos de muerte según lista 6/67 OPS-OMS</w:t>
            </w:r>
          </w:p>
        </w:tc>
        <w:tc>
          <w:tcPr>
            <w:tcW w:w="2017" w:type="dxa"/>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3D912CC7"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Tasa ajustada de mortalidad UISALUD</w:t>
            </w:r>
            <w:r w:rsidRPr="007F0FA7">
              <w:rPr>
                <w:rFonts w:ascii="Humanst521 BT" w:hAnsi="Humanst521 BT" w:cs="Arial"/>
                <w:color w:val="auto"/>
                <w:sz w:val="22"/>
                <w:szCs w:val="22"/>
                <w:vertAlign w:val="superscript"/>
              </w:rPr>
              <w:t xml:space="preserve">* </w:t>
            </w:r>
          </w:p>
        </w:tc>
        <w:tc>
          <w:tcPr>
            <w:tcW w:w="2045" w:type="dxa"/>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056F957B"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vertAlign w:val="superscript"/>
              </w:rPr>
            </w:pPr>
            <w:r w:rsidRPr="007F0FA7">
              <w:rPr>
                <w:rFonts w:ascii="Humanst521 BT" w:hAnsi="Humanst521 BT" w:cs="Arial"/>
                <w:color w:val="auto"/>
                <w:sz w:val="22"/>
                <w:szCs w:val="22"/>
              </w:rPr>
              <w:t>Tasa ajustada de mortalidad ente territorial</w:t>
            </w:r>
            <w:r w:rsidRPr="007F0FA7">
              <w:rPr>
                <w:rFonts w:ascii="Humanst521 BT" w:hAnsi="Humanst521 BT" w:cs="Arial"/>
                <w:color w:val="auto"/>
                <w:sz w:val="22"/>
                <w:szCs w:val="22"/>
                <w:vertAlign w:val="superscript"/>
              </w:rPr>
              <w:t>*</w:t>
            </w:r>
          </w:p>
        </w:tc>
      </w:tr>
      <w:tr w:rsidR="00E32CB0" w:rsidRPr="007F0FA7" w14:paraId="26D12D1C" w14:textId="77777777" w:rsidTr="00735F2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144" w:type="dxa"/>
            <w:vMerge w:val="restart"/>
            <w:shd w:val="clear" w:color="auto" w:fill="FFFFFF" w:themeFill="background1"/>
            <w:noWrap/>
            <w:hideMark/>
          </w:tcPr>
          <w:p w14:paraId="6281AACB" w14:textId="77777777" w:rsidR="00F50CD1" w:rsidRPr="007F0FA7" w:rsidRDefault="00F50CD1" w:rsidP="00093B44">
            <w:pPr>
              <w:jc w:val="both"/>
              <w:rPr>
                <w:rFonts w:ascii="Humanst521 BT" w:hAnsi="Humanst521 BT" w:cs="Arial"/>
                <w:sz w:val="22"/>
                <w:szCs w:val="22"/>
                <w:lang w:eastAsia="es-CO"/>
              </w:rPr>
            </w:pPr>
            <w:r w:rsidRPr="007F0FA7">
              <w:rPr>
                <w:rFonts w:ascii="Humanst521 BT" w:hAnsi="Humanst521 BT" w:cs="Arial"/>
                <w:sz w:val="22"/>
                <w:szCs w:val="22"/>
              </w:rPr>
              <w:t>SANTANDER</w:t>
            </w:r>
          </w:p>
        </w:tc>
        <w:tc>
          <w:tcPr>
            <w:tcW w:w="3096" w:type="dxa"/>
            <w:shd w:val="clear" w:color="auto" w:fill="FFFFFF" w:themeFill="background1"/>
            <w:noWrap/>
            <w:hideMark/>
          </w:tcPr>
          <w:p w14:paraId="238211C7" w14:textId="77777777"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2017" w:type="dxa"/>
            <w:shd w:val="clear" w:color="auto" w:fill="92D050"/>
            <w:noWrap/>
            <w:vAlign w:val="bottom"/>
            <w:hideMark/>
          </w:tcPr>
          <w:p w14:paraId="4FF0C593" w14:textId="1BCE7336"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62D880C7" w14:textId="3B6E4FD1"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15,82</w:t>
            </w:r>
          </w:p>
        </w:tc>
      </w:tr>
      <w:tr w:rsidR="00E32CB0" w:rsidRPr="007F0FA7" w14:paraId="37BB0E23" w14:textId="77777777" w:rsidTr="00735F2B">
        <w:trPr>
          <w:trHeight w:val="158"/>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41BC4458" w14:textId="77777777" w:rsidR="00F50CD1" w:rsidRPr="007F0FA7" w:rsidRDefault="00F50CD1" w:rsidP="00093B44">
            <w:pPr>
              <w:jc w:val="both"/>
              <w:rPr>
                <w:rFonts w:ascii="Humanst521 BT" w:hAnsi="Humanst521 BT" w:cs="Arial"/>
                <w:sz w:val="22"/>
                <w:szCs w:val="22"/>
              </w:rPr>
            </w:pPr>
          </w:p>
        </w:tc>
        <w:tc>
          <w:tcPr>
            <w:tcW w:w="3096" w:type="dxa"/>
            <w:shd w:val="clear" w:color="auto" w:fill="FBE4D5" w:themeFill="accent2" w:themeFillTint="33"/>
            <w:noWrap/>
            <w:hideMark/>
          </w:tcPr>
          <w:p w14:paraId="6E96AE25" w14:textId="77777777" w:rsidR="00F50CD1" w:rsidRPr="007F0FA7" w:rsidRDefault="00F50CD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2017" w:type="dxa"/>
            <w:shd w:val="clear" w:color="auto" w:fill="92D050"/>
            <w:noWrap/>
            <w:vAlign w:val="bottom"/>
            <w:hideMark/>
          </w:tcPr>
          <w:p w14:paraId="25A3BAE7" w14:textId="1876E996" w:rsidR="00F50CD1" w:rsidRPr="007F0FA7" w:rsidRDefault="00F50CD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20,54</w:t>
            </w:r>
          </w:p>
        </w:tc>
        <w:tc>
          <w:tcPr>
            <w:tcW w:w="2045" w:type="dxa"/>
            <w:shd w:val="clear" w:color="auto" w:fill="FFFFFF" w:themeFill="background1"/>
            <w:noWrap/>
            <w:hideMark/>
          </w:tcPr>
          <w:p w14:paraId="1545F455" w14:textId="1125724C" w:rsidR="00F50CD1" w:rsidRPr="007F0FA7" w:rsidRDefault="00F50CD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77,99</w:t>
            </w:r>
          </w:p>
        </w:tc>
      </w:tr>
      <w:tr w:rsidR="00E32CB0" w:rsidRPr="007F0FA7" w14:paraId="5035CFE3"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1E1A2378" w14:textId="77777777" w:rsidR="00F50CD1" w:rsidRPr="007F0FA7" w:rsidRDefault="00F50CD1" w:rsidP="00093B44">
            <w:pPr>
              <w:jc w:val="both"/>
              <w:rPr>
                <w:rFonts w:ascii="Humanst521 BT" w:hAnsi="Humanst521 BT" w:cs="Arial"/>
                <w:sz w:val="22"/>
                <w:szCs w:val="22"/>
              </w:rPr>
            </w:pPr>
          </w:p>
        </w:tc>
        <w:tc>
          <w:tcPr>
            <w:tcW w:w="3096" w:type="dxa"/>
            <w:noWrap/>
            <w:hideMark/>
          </w:tcPr>
          <w:p w14:paraId="6BCF6265" w14:textId="77777777"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2017" w:type="dxa"/>
            <w:shd w:val="clear" w:color="auto" w:fill="92D050"/>
            <w:noWrap/>
            <w:vAlign w:val="bottom"/>
            <w:hideMark/>
          </w:tcPr>
          <w:p w14:paraId="0DFEB88D" w14:textId="08848930"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20,54</w:t>
            </w:r>
          </w:p>
        </w:tc>
        <w:tc>
          <w:tcPr>
            <w:tcW w:w="2045" w:type="dxa"/>
            <w:shd w:val="clear" w:color="auto" w:fill="FFFFFF" w:themeFill="background1"/>
            <w:noWrap/>
            <w:hideMark/>
          </w:tcPr>
          <w:p w14:paraId="7FFAB66F" w14:textId="2E6C4A71"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96,49</w:t>
            </w:r>
          </w:p>
        </w:tc>
      </w:tr>
      <w:tr w:rsidR="00E32CB0" w:rsidRPr="007F0FA7" w14:paraId="3527E9CE"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3B751234" w14:textId="77777777" w:rsidR="00F50CD1" w:rsidRPr="007F0FA7" w:rsidRDefault="00F50CD1" w:rsidP="00093B44">
            <w:pPr>
              <w:jc w:val="both"/>
              <w:rPr>
                <w:rFonts w:ascii="Humanst521 BT" w:hAnsi="Humanst521 BT" w:cs="Arial"/>
                <w:sz w:val="22"/>
                <w:szCs w:val="22"/>
              </w:rPr>
            </w:pPr>
          </w:p>
        </w:tc>
        <w:tc>
          <w:tcPr>
            <w:tcW w:w="3096" w:type="dxa"/>
            <w:shd w:val="clear" w:color="auto" w:fill="FFFFFF" w:themeFill="background1"/>
            <w:noWrap/>
            <w:hideMark/>
          </w:tcPr>
          <w:p w14:paraId="15482D75" w14:textId="77777777" w:rsidR="00F50CD1" w:rsidRPr="007F0FA7" w:rsidRDefault="00F50CD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2017" w:type="dxa"/>
            <w:shd w:val="clear" w:color="auto" w:fill="92D050"/>
            <w:noWrap/>
            <w:vAlign w:val="bottom"/>
            <w:hideMark/>
          </w:tcPr>
          <w:p w14:paraId="0D04AFCF" w14:textId="26E35742" w:rsidR="00F50CD1" w:rsidRPr="007F0FA7" w:rsidRDefault="00F50CD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07D9448F" w14:textId="7CE2B84A" w:rsidR="00F50CD1" w:rsidRPr="007F0FA7" w:rsidRDefault="00F50CD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15,14</w:t>
            </w:r>
          </w:p>
        </w:tc>
      </w:tr>
      <w:tr w:rsidR="00E32CB0" w:rsidRPr="007F0FA7" w14:paraId="7DB5C475" w14:textId="77777777" w:rsidTr="00735F2B">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57416517" w14:textId="77777777" w:rsidR="00F50CD1" w:rsidRPr="007F0FA7" w:rsidRDefault="00F50CD1" w:rsidP="00093B44">
            <w:pPr>
              <w:jc w:val="both"/>
              <w:rPr>
                <w:rFonts w:ascii="Humanst521 BT" w:hAnsi="Humanst521 BT" w:cs="Arial"/>
                <w:sz w:val="22"/>
                <w:szCs w:val="22"/>
              </w:rPr>
            </w:pPr>
          </w:p>
        </w:tc>
        <w:tc>
          <w:tcPr>
            <w:tcW w:w="3096" w:type="dxa"/>
            <w:shd w:val="clear" w:color="auto" w:fill="FFFFFF" w:themeFill="background1"/>
            <w:noWrap/>
            <w:hideMark/>
          </w:tcPr>
          <w:p w14:paraId="02D01AB8" w14:textId="77777777"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2017" w:type="dxa"/>
            <w:shd w:val="clear" w:color="auto" w:fill="92D050"/>
            <w:noWrap/>
            <w:vAlign w:val="bottom"/>
            <w:hideMark/>
          </w:tcPr>
          <w:p w14:paraId="049DC5E3" w14:textId="177426ED"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10,27</w:t>
            </w:r>
          </w:p>
        </w:tc>
        <w:tc>
          <w:tcPr>
            <w:tcW w:w="2045" w:type="dxa"/>
            <w:shd w:val="clear" w:color="auto" w:fill="FFFFFF" w:themeFill="background1"/>
            <w:noWrap/>
            <w:hideMark/>
          </w:tcPr>
          <w:p w14:paraId="33BD3C0E" w14:textId="3D1DBBDD" w:rsidR="00F50CD1" w:rsidRPr="007F0FA7" w:rsidRDefault="00F50CD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86,62</w:t>
            </w:r>
          </w:p>
        </w:tc>
      </w:tr>
      <w:tr w:rsidR="00E32CB0" w:rsidRPr="007F0FA7" w14:paraId="1332E46E"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413EB63A" w14:textId="77777777" w:rsidR="002B5FFF" w:rsidRPr="007F0FA7" w:rsidRDefault="002B5FFF" w:rsidP="00093B44">
            <w:pPr>
              <w:jc w:val="both"/>
              <w:rPr>
                <w:rFonts w:ascii="Humanst521 BT" w:hAnsi="Humanst521 BT" w:cs="Arial"/>
                <w:sz w:val="22"/>
                <w:szCs w:val="22"/>
              </w:rPr>
            </w:pPr>
          </w:p>
        </w:tc>
        <w:tc>
          <w:tcPr>
            <w:tcW w:w="3096" w:type="dxa"/>
            <w:shd w:val="clear" w:color="auto" w:fill="FFFFFF" w:themeFill="background1"/>
            <w:noWrap/>
            <w:hideMark/>
          </w:tcPr>
          <w:p w14:paraId="1DE198BA" w14:textId="77777777"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2017" w:type="dxa"/>
            <w:shd w:val="clear" w:color="auto" w:fill="92D050"/>
            <w:noWrap/>
            <w:vAlign w:val="bottom"/>
            <w:hideMark/>
          </w:tcPr>
          <w:p w14:paraId="72ACE03F" w14:textId="27EE2BA1"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6D23D86E" w14:textId="48197849" w:rsidR="002B5FFF" w:rsidRPr="007F0FA7" w:rsidRDefault="009726B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5020CD0E"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val="restart"/>
            <w:shd w:val="clear" w:color="auto" w:fill="FFFFFF" w:themeFill="background1"/>
            <w:noWrap/>
            <w:hideMark/>
          </w:tcPr>
          <w:p w14:paraId="22721C2A" w14:textId="77777777" w:rsidR="002B5FFF" w:rsidRPr="007F0FA7" w:rsidRDefault="002B5FFF" w:rsidP="00093B44">
            <w:pPr>
              <w:jc w:val="both"/>
              <w:rPr>
                <w:rFonts w:ascii="Humanst521 BT" w:hAnsi="Humanst521 BT" w:cs="Arial"/>
                <w:sz w:val="22"/>
                <w:szCs w:val="22"/>
              </w:rPr>
            </w:pPr>
            <w:r w:rsidRPr="007F0FA7">
              <w:rPr>
                <w:rFonts w:ascii="Humanst521 BT" w:hAnsi="Humanst521 BT" w:cs="Arial"/>
                <w:sz w:val="22"/>
                <w:szCs w:val="22"/>
              </w:rPr>
              <w:t>BUCARAMANGA</w:t>
            </w:r>
          </w:p>
        </w:tc>
        <w:tc>
          <w:tcPr>
            <w:tcW w:w="3096" w:type="dxa"/>
            <w:shd w:val="clear" w:color="auto" w:fill="FFFFFF" w:themeFill="background1"/>
            <w:noWrap/>
            <w:hideMark/>
          </w:tcPr>
          <w:p w14:paraId="0EAF46AF" w14:textId="77777777"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2017" w:type="dxa"/>
            <w:shd w:val="clear" w:color="auto" w:fill="92D050"/>
            <w:noWrap/>
            <w:vAlign w:val="bottom"/>
            <w:hideMark/>
          </w:tcPr>
          <w:p w14:paraId="75376FBA" w14:textId="5F46B7EA"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6AC62FB3" w14:textId="175F6677"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14,30</w:t>
            </w:r>
          </w:p>
        </w:tc>
      </w:tr>
      <w:tr w:rsidR="00E32CB0" w:rsidRPr="007F0FA7" w14:paraId="2C67746F"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156762A3" w14:textId="77777777" w:rsidR="002B5FFF" w:rsidRPr="007F0FA7" w:rsidRDefault="002B5FFF" w:rsidP="00093B44">
            <w:pPr>
              <w:jc w:val="both"/>
              <w:rPr>
                <w:rFonts w:ascii="Humanst521 BT" w:hAnsi="Humanst521 BT" w:cs="Arial"/>
                <w:sz w:val="22"/>
                <w:szCs w:val="22"/>
              </w:rPr>
            </w:pPr>
          </w:p>
        </w:tc>
        <w:tc>
          <w:tcPr>
            <w:tcW w:w="3096" w:type="dxa"/>
            <w:shd w:val="clear" w:color="auto" w:fill="FFFFFF" w:themeFill="background1"/>
            <w:noWrap/>
            <w:hideMark/>
          </w:tcPr>
          <w:p w14:paraId="3A3FC4CE" w14:textId="77777777"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2017" w:type="dxa"/>
            <w:shd w:val="clear" w:color="auto" w:fill="92D050"/>
            <w:noWrap/>
            <w:vAlign w:val="bottom"/>
            <w:hideMark/>
          </w:tcPr>
          <w:p w14:paraId="3B6DF884" w14:textId="278729C3"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13,98</w:t>
            </w:r>
          </w:p>
        </w:tc>
        <w:tc>
          <w:tcPr>
            <w:tcW w:w="2045" w:type="dxa"/>
            <w:shd w:val="clear" w:color="auto" w:fill="FFFFFF" w:themeFill="background1"/>
            <w:noWrap/>
            <w:hideMark/>
          </w:tcPr>
          <w:p w14:paraId="04E3A617" w14:textId="5EE6B7F6"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73,33</w:t>
            </w:r>
          </w:p>
        </w:tc>
      </w:tr>
      <w:tr w:rsidR="00E32CB0" w:rsidRPr="007F0FA7" w14:paraId="052AB474"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17EA8305" w14:textId="77777777" w:rsidR="002B5FFF" w:rsidRPr="007F0FA7" w:rsidRDefault="002B5FFF" w:rsidP="00093B44">
            <w:pPr>
              <w:jc w:val="both"/>
              <w:rPr>
                <w:rFonts w:ascii="Humanst521 BT" w:hAnsi="Humanst521 BT" w:cs="Arial"/>
                <w:sz w:val="22"/>
                <w:szCs w:val="22"/>
              </w:rPr>
            </w:pPr>
          </w:p>
        </w:tc>
        <w:tc>
          <w:tcPr>
            <w:tcW w:w="3096" w:type="dxa"/>
            <w:noWrap/>
            <w:hideMark/>
          </w:tcPr>
          <w:p w14:paraId="1AB10F3D" w14:textId="77777777"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2017" w:type="dxa"/>
            <w:shd w:val="clear" w:color="auto" w:fill="92D050"/>
            <w:noWrap/>
            <w:vAlign w:val="bottom"/>
            <w:hideMark/>
          </w:tcPr>
          <w:p w14:paraId="15A26863" w14:textId="1D5DCF7A"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27,96</w:t>
            </w:r>
          </w:p>
        </w:tc>
        <w:tc>
          <w:tcPr>
            <w:tcW w:w="2045" w:type="dxa"/>
            <w:shd w:val="clear" w:color="auto" w:fill="FFFFFF" w:themeFill="background1"/>
            <w:noWrap/>
            <w:hideMark/>
          </w:tcPr>
          <w:p w14:paraId="128B4D8C" w14:textId="3F01E7C1"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70,11</w:t>
            </w:r>
          </w:p>
        </w:tc>
      </w:tr>
      <w:tr w:rsidR="00E32CB0" w:rsidRPr="007F0FA7" w14:paraId="0917C467"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52596948" w14:textId="77777777" w:rsidR="002B5FFF" w:rsidRPr="007F0FA7" w:rsidRDefault="002B5FFF" w:rsidP="00093B44">
            <w:pPr>
              <w:jc w:val="both"/>
              <w:rPr>
                <w:rFonts w:ascii="Humanst521 BT" w:hAnsi="Humanst521 BT" w:cs="Arial"/>
                <w:sz w:val="22"/>
                <w:szCs w:val="22"/>
              </w:rPr>
            </w:pPr>
          </w:p>
        </w:tc>
        <w:tc>
          <w:tcPr>
            <w:tcW w:w="3096" w:type="dxa"/>
            <w:shd w:val="clear" w:color="auto" w:fill="FFFFFF" w:themeFill="background1"/>
            <w:noWrap/>
            <w:hideMark/>
          </w:tcPr>
          <w:p w14:paraId="4B28D043" w14:textId="77777777"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2017" w:type="dxa"/>
            <w:shd w:val="clear" w:color="auto" w:fill="92D050"/>
            <w:noWrap/>
            <w:vAlign w:val="bottom"/>
            <w:hideMark/>
          </w:tcPr>
          <w:p w14:paraId="77CA83C3" w14:textId="5325B761"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2F2DBF7C" w14:textId="63DF26BE"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12,08</w:t>
            </w:r>
          </w:p>
        </w:tc>
      </w:tr>
      <w:tr w:rsidR="00E32CB0" w:rsidRPr="007F0FA7" w14:paraId="183556E4"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6FD65A6A" w14:textId="77777777" w:rsidR="002B5FFF" w:rsidRPr="007F0FA7" w:rsidRDefault="002B5FFF" w:rsidP="00093B44">
            <w:pPr>
              <w:jc w:val="both"/>
              <w:rPr>
                <w:rFonts w:ascii="Humanst521 BT" w:hAnsi="Humanst521 BT" w:cs="Arial"/>
                <w:sz w:val="22"/>
                <w:szCs w:val="22"/>
              </w:rPr>
            </w:pPr>
          </w:p>
        </w:tc>
        <w:tc>
          <w:tcPr>
            <w:tcW w:w="3096" w:type="dxa"/>
            <w:shd w:val="clear" w:color="auto" w:fill="FFFFFF" w:themeFill="background1"/>
            <w:noWrap/>
            <w:hideMark/>
          </w:tcPr>
          <w:p w14:paraId="0D577ACA" w14:textId="77777777"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2017" w:type="dxa"/>
            <w:shd w:val="clear" w:color="auto" w:fill="92D050"/>
            <w:noWrap/>
            <w:vAlign w:val="bottom"/>
            <w:hideMark/>
          </w:tcPr>
          <w:p w14:paraId="700E489C" w14:textId="30CDDB86"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6F046F79" w14:textId="2425D055" w:rsidR="002B5FFF" w:rsidRPr="007F0FA7" w:rsidRDefault="002B5FF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77,14</w:t>
            </w:r>
          </w:p>
        </w:tc>
      </w:tr>
      <w:tr w:rsidR="00E32CB0" w:rsidRPr="007F0FA7" w14:paraId="5903A900"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51532BE3" w14:textId="77777777" w:rsidR="002B5FFF" w:rsidRPr="007F0FA7" w:rsidRDefault="002B5FFF" w:rsidP="00093B44">
            <w:pPr>
              <w:jc w:val="both"/>
              <w:rPr>
                <w:rFonts w:ascii="Humanst521 BT" w:hAnsi="Humanst521 BT" w:cs="Arial"/>
                <w:sz w:val="22"/>
                <w:szCs w:val="22"/>
              </w:rPr>
            </w:pPr>
          </w:p>
        </w:tc>
        <w:tc>
          <w:tcPr>
            <w:tcW w:w="3096" w:type="dxa"/>
            <w:shd w:val="clear" w:color="auto" w:fill="FFFFFF" w:themeFill="background1"/>
            <w:noWrap/>
            <w:hideMark/>
          </w:tcPr>
          <w:p w14:paraId="7EC7931B" w14:textId="77777777"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2017" w:type="dxa"/>
            <w:shd w:val="clear" w:color="auto" w:fill="92D050"/>
            <w:noWrap/>
            <w:vAlign w:val="bottom"/>
            <w:hideMark/>
          </w:tcPr>
          <w:p w14:paraId="49636560" w14:textId="06379CFB" w:rsidR="002B5FFF" w:rsidRPr="007F0FA7" w:rsidRDefault="002B5FF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0534E361" w14:textId="40CF34BF" w:rsidR="002B5FFF" w:rsidRPr="007F0FA7" w:rsidRDefault="009726B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06932D96"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val="restart"/>
            <w:shd w:val="clear" w:color="auto" w:fill="FFFFFF" w:themeFill="background1"/>
            <w:noWrap/>
            <w:hideMark/>
          </w:tcPr>
          <w:p w14:paraId="7C7737A4" w14:textId="77777777" w:rsidR="00727CD4" w:rsidRPr="007F0FA7" w:rsidRDefault="00727CD4" w:rsidP="00093B44">
            <w:pPr>
              <w:jc w:val="both"/>
              <w:rPr>
                <w:rFonts w:ascii="Humanst521 BT" w:hAnsi="Humanst521 BT" w:cs="Arial"/>
                <w:sz w:val="22"/>
                <w:szCs w:val="22"/>
              </w:rPr>
            </w:pPr>
            <w:r w:rsidRPr="007F0FA7">
              <w:rPr>
                <w:rFonts w:ascii="Humanst521 BT" w:hAnsi="Humanst521 BT" w:cs="Arial"/>
                <w:sz w:val="22"/>
                <w:szCs w:val="22"/>
              </w:rPr>
              <w:t>FLORIDABLANCA</w:t>
            </w:r>
          </w:p>
        </w:tc>
        <w:tc>
          <w:tcPr>
            <w:tcW w:w="3096" w:type="dxa"/>
            <w:shd w:val="clear" w:color="auto" w:fill="FFFFFF" w:themeFill="background1"/>
            <w:noWrap/>
            <w:hideMark/>
          </w:tcPr>
          <w:p w14:paraId="049E9C32" w14:textId="77777777"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2017" w:type="dxa"/>
            <w:shd w:val="clear" w:color="auto" w:fill="92D050"/>
            <w:noWrap/>
            <w:vAlign w:val="bottom"/>
          </w:tcPr>
          <w:p w14:paraId="53DAE954" w14:textId="0C11C9C1"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10361A14" w14:textId="555F5AEB"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12,6592</w:t>
            </w:r>
          </w:p>
        </w:tc>
      </w:tr>
      <w:tr w:rsidR="00E32CB0" w:rsidRPr="007F0FA7" w14:paraId="18D757DE"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57488F6F" w14:textId="77777777" w:rsidR="00727CD4" w:rsidRPr="007F0FA7" w:rsidRDefault="00727CD4" w:rsidP="00093B44">
            <w:pPr>
              <w:jc w:val="both"/>
              <w:rPr>
                <w:rFonts w:ascii="Humanst521 BT" w:hAnsi="Humanst521 BT" w:cs="Arial"/>
                <w:sz w:val="22"/>
                <w:szCs w:val="22"/>
              </w:rPr>
            </w:pPr>
          </w:p>
        </w:tc>
        <w:tc>
          <w:tcPr>
            <w:tcW w:w="3096" w:type="dxa"/>
            <w:shd w:val="clear" w:color="auto" w:fill="FBE4D5" w:themeFill="accent2" w:themeFillTint="33"/>
            <w:noWrap/>
            <w:hideMark/>
          </w:tcPr>
          <w:p w14:paraId="15B37B28" w14:textId="77777777" w:rsidR="00727CD4" w:rsidRPr="007F0FA7" w:rsidRDefault="00727CD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2017" w:type="dxa"/>
            <w:shd w:val="clear" w:color="auto" w:fill="92D050"/>
            <w:noWrap/>
            <w:vAlign w:val="bottom"/>
          </w:tcPr>
          <w:p w14:paraId="21885B3D" w14:textId="3B3A8F61" w:rsidR="00727CD4" w:rsidRPr="007F0FA7" w:rsidRDefault="00727CD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52,07</w:t>
            </w:r>
          </w:p>
        </w:tc>
        <w:tc>
          <w:tcPr>
            <w:tcW w:w="2045" w:type="dxa"/>
            <w:shd w:val="clear" w:color="auto" w:fill="FFFFFF" w:themeFill="background1"/>
            <w:noWrap/>
            <w:hideMark/>
          </w:tcPr>
          <w:p w14:paraId="0721055C" w14:textId="33914712" w:rsidR="00727CD4" w:rsidRPr="007F0FA7" w:rsidRDefault="00727CD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75,9293</w:t>
            </w:r>
          </w:p>
        </w:tc>
      </w:tr>
      <w:tr w:rsidR="00E32CB0" w:rsidRPr="007F0FA7" w14:paraId="6F58BD7D"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18529107" w14:textId="77777777" w:rsidR="00727CD4" w:rsidRPr="007F0FA7" w:rsidRDefault="00727CD4" w:rsidP="00093B44">
            <w:pPr>
              <w:jc w:val="both"/>
              <w:rPr>
                <w:rFonts w:ascii="Humanst521 BT" w:hAnsi="Humanst521 BT" w:cs="Arial"/>
                <w:sz w:val="22"/>
                <w:szCs w:val="22"/>
              </w:rPr>
            </w:pPr>
          </w:p>
        </w:tc>
        <w:tc>
          <w:tcPr>
            <w:tcW w:w="3096" w:type="dxa"/>
            <w:shd w:val="clear" w:color="auto" w:fill="FFFFFF" w:themeFill="background1"/>
            <w:noWrap/>
            <w:hideMark/>
          </w:tcPr>
          <w:p w14:paraId="329287EB" w14:textId="77777777"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2017" w:type="dxa"/>
            <w:shd w:val="clear" w:color="auto" w:fill="92D050"/>
            <w:noWrap/>
            <w:vAlign w:val="bottom"/>
            <w:hideMark/>
          </w:tcPr>
          <w:p w14:paraId="3A751C10" w14:textId="70E07ED8"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39C2558C" w14:textId="76415331"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97,2141</w:t>
            </w:r>
          </w:p>
        </w:tc>
      </w:tr>
      <w:tr w:rsidR="00E32CB0" w:rsidRPr="007F0FA7" w14:paraId="7AB96E64"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3A6A5840" w14:textId="77777777" w:rsidR="00727CD4" w:rsidRPr="007F0FA7" w:rsidRDefault="00727CD4" w:rsidP="00093B44">
            <w:pPr>
              <w:jc w:val="both"/>
              <w:rPr>
                <w:rFonts w:ascii="Humanst521 BT" w:hAnsi="Humanst521 BT" w:cs="Arial"/>
                <w:sz w:val="22"/>
                <w:szCs w:val="22"/>
              </w:rPr>
            </w:pPr>
          </w:p>
        </w:tc>
        <w:tc>
          <w:tcPr>
            <w:tcW w:w="3096" w:type="dxa"/>
            <w:shd w:val="clear" w:color="auto" w:fill="FFFFFF" w:themeFill="background1"/>
            <w:noWrap/>
            <w:hideMark/>
          </w:tcPr>
          <w:p w14:paraId="1CC86233" w14:textId="77777777" w:rsidR="00727CD4" w:rsidRPr="007F0FA7" w:rsidRDefault="00727CD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2017" w:type="dxa"/>
            <w:shd w:val="clear" w:color="auto" w:fill="92D050"/>
            <w:noWrap/>
            <w:vAlign w:val="bottom"/>
            <w:hideMark/>
          </w:tcPr>
          <w:p w14:paraId="4E6BF4ED" w14:textId="11470134" w:rsidR="00727CD4" w:rsidRPr="007F0FA7" w:rsidRDefault="00727CD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1E9FFCFE" w14:textId="75884CE6" w:rsidR="00727CD4" w:rsidRPr="007F0FA7" w:rsidRDefault="00727CD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19,071</w:t>
            </w:r>
          </w:p>
        </w:tc>
      </w:tr>
      <w:tr w:rsidR="00E32CB0" w:rsidRPr="007F0FA7" w14:paraId="34AEBE70"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36CCF587" w14:textId="77777777" w:rsidR="00727CD4" w:rsidRPr="007F0FA7" w:rsidRDefault="00727CD4" w:rsidP="00093B44">
            <w:pPr>
              <w:jc w:val="both"/>
              <w:rPr>
                <w:rFonts w:ascii="Humanst521 BT" w:hAnsi="Humanst521 BT" w:cs="Arial"/>
                <w:sz w:val="22"/>
                <w:szCs w:val="22"/>
              </w:rPr>
            </w:pPr>
          </w:p>
        </w:tc>
        <w:tc>
          <w:tcPr>
            <w:tcW w:w="3096" w:type="dxa"/>
            <w:noWrap/>
            <w:hideMark/>
          </w:tcPr>
          <w:p w14:paraId="6FF417FA" w14:textId="77777777"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2017" w:type="dxa"/>
            <w:shd w:val="clear" w:color="auto" w:fill="92D050"/>
            <w:noWrap/>
            <w:vAlign w:val="bottom"/>
            <w:hideMark/>
          </w:tcPr>
          <w:p w14:paraId="0248CD28" w14:textId="3966E3AE"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52,07</w:t>
            </w:r>
          </w:p>
        </w:tc>
        <w:tc>
          <w:tcPr>
            <w:tcW w:w="2045" w:type="dxa"/>
            <w:shd w:val="clear" w:color="auto" w:fill="FFFFFF" w:themeFill="background1"/>
            <w:noWrap/>
            <w:hideMark/>
          </w:tcPr>
          <w:p w14:paraId="3DF32A68" w14:textId="239666C6" w:rsidR="00727CD4" w:rsidRPr="007F0FA7" w:rsidRDefault="00727CD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76,5206</w:t>
            </w:r>
          </w:p>
        </w:tc>
      </w:tr>
      <w:tr w:rsidR="00E32CB0" w:rsidRPr="007F0FA7" w14:paraId="55CFE03A"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2ECC9353" w14:textId="77777777" w:rsidR="003F1350" w:rsidRPr="007F0FA7" w:rsidRDefault="003F1350" w:rsidP="00093B44">
            <w:pPr>
              <w:jc w:val="both"/>
              <w:rPr>
                <w:rFonts w:ascii="Humanst521 BT" w:hAnsi="Humanst521 BT" w:cs="Arial"/>
                <w:sz w:val="22"/>
                <w:szCs w:val="22"/>
              </w:rPr>
            </w:pPr>
          </w:p>
        </w:tc>
        <w:tc>
          <w:tcPr>
            <w:tcW w:w="3096" w:type="dxa"/>
            <w:shd w:val="clear" w:color="auto" w:fill="FFFFFF" w:themeFill="background1"/>
            <w:noWrap/>
            <w:hideMark/>
          </w:tcPr>
          <w:p w14:paraId="793C9950" w14:textId="77777777" w:rsidR="003F1350" w:rsidRPr="007F0FA7" w:rsidRDefault="003F135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2017" w:type="dxa"/>
            <w:shd w:val="clear" w:color="auto" w:fill="92D050"/>
            <w:noWrap/>
            <w:vAlign w:val="bottom"/>
            <w:hideMark/>
          </w:tcPr>
          <w:p w14:paraId="24D27AD0" w14:textId="244A1230" w:rsidR="003F1350" w:rsidRPr="007F0FA7" w:rsidRDefault="003F135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39BE5501" w14:textId="6C450841" w:rsidR="003F1350" w:rsidRPr="007F0FA7" w:rsidRDefault="009726B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10583C5D"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val="restart"/>
            <w:shd w:val="clear" w:color="auto" w:fill="FFFFFF" w:themeFill="background1"/>
            <w:noWrap/>
            <w:hideMark/>
          </w:tcPr>
          <w:p w14:paraId="22D9FB3F" w14:textId="76EB0433" w:rsidR="00890631" w:rsidRPr="007F0FA7" w:rsidRDefault="00890631" w:rsidP="00093B44">
            <w:pPr>
              <w:jc w:val="both"/>
              <w:rPr>
                <w:rFonts w:ascii="Humanst521 BT" w:hAnsi="Humanst521 BT" w:cs="Arial"/>
                <w:sz w:val="22"/>
                <w:szCs w:val="22"/>
              </w:rPr>
            </w:pPr>
            <w:r w:rsidRPr="007F0FA7">
              <w:rPr>
                <w:rFonts w:ascii="Humanst521 BT" w:hAnsi="Humanst521 BT" w:cs="Arial"/>
                <w:sz w:val="22"/>
                <w:szCs w:val="22"/>
              </w:rPr>
              <w:t>BOGOTÁ</w:t>
            </w:r>
          </w:p>
        </w:tc>
        <w:tc>
          <w:tcPr>
            <w:tcW w:w="3096" w:type="dxa"/>
            <w:shd w:val="clear" w:color="auto" w:fill="FFFFFF" w:themeFill="background1"/>
            <w:noWrap/>
            <w:hideMark/>
          </w:tcPr>
          <w:p w14:paraId="1F886220" w14:textId="77777777"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2017" w:type="dxa"/>
            <w:shd w:val="clear" w:color="auto" w:fill="92D050"/>
            <w:noWrap/>
            <w:vAlign w:val="bottom"/>
            <w:hideMark/>
          </w:tcPr>
          <w:p w14:paraId="4E292EFB" w14:textId="0ABA6FDD"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1CFC265B" w14:textId="5E4FC42F"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20,11</w:t>
            </w:r>
          </w:p>
        </w:tc>
      </w:tr>
      <w:tr w:rsidR="00E32CB0" w:rsidRPr="007F0FA7" w14:paraId="46EF8016"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24108451" w14:textId="77777777" w:rsidR="00890631" w:rsidRPr="007F0FA7" w:rsidRDefault="00890631" w:rsidP="00093B44">
            <w:pPr>
              <w:jc w:val="both"/>
              <w:rPr>
                <w:rFonts w:ascii="Humanst521 BT" w:hAnsi="Humanst521 BT" w:cs="Arial"/>
                <w:sz w:val="22"/>
                <w:szCs w:val="22"/>
              </w:rPr>
            </w:pPr>
          </w:p>
        </w:tc>
        <w:tc>
          <w:tcPr>
            <w:tcW w:w="3096" w:type="dxa"/>
            <w:shd w:val="clear" w:color="auto" w:fill="FBE4D5" w:themeFill="accent2" w:themeFillTint="33"/>
            <w:noWrap/>
            <w:hideMark/>
          </w:tcPr>
          <w:p w14:paraId="28B0EAAC" w14:textId="77777777" w:rsidR="00890631" w:rsidRPr="007F0FA7" w:rsidRDefault="0089063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2017" w:type="dxa"/>
            <w:shd w:val="clear" w:color="auto" w:fill="FF0000"/>
            <w:noWrap/>
            <w:vAlign w:val="bottom"/>
            <w:hideMark/>
          </w:tcPr>
          <w:p w14:paraId="26279AC2" w14:textId="2906A011" w:rsidR="00890631" w:rsidRPr="007F0FA7" w:rsidRDefault="0089063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1111,11</w:t>
            </w:r>
          </w:p>
        </w:tc>
        <w:tc>
          <w:tcPr>
            <w:tcW w:w="2045" w:type="dxa"/>
            <w:shd w:val="clear" w:color="auto" w:fill="FFFFFF" w:themeFill="background1"/>
            <w:noWrap/>
            <w:hideMark/>
          </w:tcPr>
          <w:p w14:paraId="5868C8E3" w14:textId="164B047F" w:rsidR="00890631" w:rsidRPr="007F0FA7" w:rsidRDefault="0089063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115,85</w:t>
            </w:r>
          </w:p>
        </w:tc>
      </w:tr>
      <w:tr w:rsidR="00E32CB0" w:rsidRPr="007F0FA7" w14:paraId="6A25B5C3"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6D119ABD" w14:textId="77777777" w:rsidR="00890631" w:rsidRPr="007F0FA7" w:rsidRDefault="00890631" w:rsidP="00093B44">
            <w:pPr>
              <w:jc w:val="both"/>
              <w:rPr>
                <w:rFonts w:ascii="Humanst521 BT" w:hAnsi="Humanst521 BT" w:cs="Arial"/>
                <w:sz w:val="22"/>
                <w:szCs w:val="22"/>
              </w:rPr>
            </w:pPr>
          </w:p>
        </w:tc>
        <w:tc>
          <w:tcPr>
            <w:tcW w:w="3096" w:type="dxa"/>
            <w:shd w:val="clear" w:color="auto" w:fill="FFFFFF" w:themeFill="background1"/>
            <w:noWrap/>
            <w:hideMark/>
          </w:tcPr>
          <w:p w14:paraId="576A4131" w14:textId="77777777"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2017" w:type="dxa"/>
            <w:shd w:val="clear" w:color="auto" w:fill="92D050"/>
            <w:noWrap/>
            <w:vAlign w:val="bottom"/>
            <w:hideMark/>
          </w:tcPr>
          <w:p w14:paraId="2253CA72" w14:textId="2EF588FA"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038A427F" w14:textId="0A27CD22"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135,58</w:t>
            </w:r>
          </w:p>
        </w:tc>
      </w:tr>
      <w:tr w:rsidR="00E32CB0" w:rsidRPr="007F0FA7" w14:paraId="322CA8FC" w14:textId="77777777" w:rsidTr="00735F2B">
        <w:trPr>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43BAD973" w14:textId="77777777" w:rsidR="00890631" w:rsidRPr="007F0FA7" w:rsidRDefault="00890631" w:rsidP="00093B44">
            <w:pPr>
              <w:jc w:val="both"/>
              <w:rPr>
                <w:rFonts w:ascii="Humanst521 BT" w:hAnsi="Humanst521 BT" w:cs="Arial"/>
                <w:sz w:val="22"/>
                <w:szCs w:val="22"/>
              </w:rPr>
            </w:pPr>
          </w:p>
        </w:tc>
        <w:tc>
          <w:tcPr>
            <w:tcW w:w="3096" w:type="dxa"/>
            <w:shd w:val="clear" w:color="auto" w:fill="FFFFFF" w:themeFill="background1"/>
            <w:noWrap/>
            <w:hideMark/>
          </w:tcPr>
          <w:p w14:paraId="7234E1EC" w14:textId="77777777" w:rsidR="00890631" w:rsidRPr="007F0FA7" w:rsidRDefault="0089063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2017" w:type="dxa"/>
            <w:shd w:val="clear" w:color="auto" w:fill="92D050"/>
            <w:noWrap/>
            <w:vAlign w:val="bottom"/>
            <w:hideMark/>
          </w:tcPr>
          <w:p w14:paraId="71CC1012" w14:textId="0EF60EA8" w:rsidR="00890631" w:rsidRPr="007F0FA7" w:rsidRDefault="0089063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3C916DC3" w14:textId="64585F6F" w:rsidR="00890631" w:rsidRPr="007F0FA7" w:rsidRDefault="0089063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15,49</w:t>
            </w:r>
          </w:p>
        </w:tc>
      </w:tr>
      <w:tr w:rsidR="00E32CB0" w:rsidRPr="007F0FA7" w14:paraId="3CF3AE5A" w14:textId="77777777" w:rsidTr="00735F2B">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765B8889" w14:textId="77777777" w:rsidR="00890631" w:rsidRPr="007F0FA7" w:rsidRDefault="00890631" w:rsidP="00093B44">
            <w:pPr>
              <w:jc w:val="both"/>
              <w:rPr>
                <w:rFonts w:ascii="Humanst521 BT" w:hAnsi="Humanst521 BT" w:cs="Arial"/>
                <w:sz w:val="22"/>
                <w:szCs w:val="22"/>
              </w:rPr>
            </w:pPr>
          </w:p>
        </w:tc>
        <w:tc>
          <w:tcPr>
            <w:tcW w:w="3096" w:type="dxa"/>
            <w:shd w:val="clear" w:color="auto" w:fill="FFFFFF" w:themeFill="background1"/>
            <w:noWrap/>
            <w:hideMark/>
          </w:tcPr>
          <w:p w14:paraId="3091EA6E" w14:textId="77777777"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2017" w:type="dxa"/>
            <w:shd w:val="clear" w:color="auto" w:fill="92D050"/>
            <w:noWrap/>
            <w:vAlign w:val="bottom"/>
            <w:hideMark/>
          </w:tcPr>
          <w:p w14:paraId="68DB3EC6" w14:textId="74194352"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3E041057" w14:textId="41687562" w:rsidR="00890631" w:rsidRPr="007F0FA7" w:rsidRDefault="00890631"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129,73</w:t>
            </w:r>
          </w:p>
        </w:tc>
      </w:tr>
      <w:tr w:rsidR="00E32CB0" w:rsidRPr="007F0FA7" w14:paraId="5F5C51AA" w14:textId="77777777" w:rsidTr="00735F2B">
        <w:trPr>
          <w:trHeight w:val="326"/>
        </w:trPr>
        <w:tc>
          <w:tcPr>
            <w:cnfStyle w:val="001000000000" w:firstRow="0" w:lastRow="0" w:firstColumn="1" w:lastColumn="0" w:oddVBand="0" w:evenVBand="0" w:oddHBand="0" w:evenHBand="0" w:firstRowFirstColumn="0" w:firstRowLastColumn="0" w:lastRowFirstColumn="0" w:lastRowLastColumn="0"/>
            <w:tcW w:w="2144" w:type="dxa"/>
            <w:vMerge/>
            <w:shd w:val="clear" w:color="auto" w:fill="FFFFFF" w:themeFill="background1"/>
            <w:noWrap/>
          </w:tcPr>
          <w:p w14:paraId="6B7476E1" w14:textId="77777777" w:rsidR="00890631" w:rsidRPr="007F0FA7" w:rsidRDefault="00890631" w:rsidP="00093B44">
            <w:pPr>
              <w:jc w:val="both"/>
              <w:rPr>
                <w:rFonts w:ascii="Humanst521 BT" w:hAnsi="Humanst521 BT" w:cs="Arial"/>
                <w:sz w:val="22"/>
                <w:szCs w:val="22"/>
              </w:rPr>
            </w:pPr>
          </w:p>
        </w:tc>
        <w:tc>
          <w:tcPr>
            <w:tcW w:w="3096" w:type="dxa"/>
            <w:shd w:val="clear" w:color="auto" w:fill="FFFFFF" w:themeFill="background1"/>
            <w:noWrap/>
            <w:hideMark/>
          </w:tcPr>
          <w:p w14:paraId="6E017AD0" w14:textId="77777777" w:rsidR="00890631" w:rsidRPr="007F0FA7" w:rsidRDefault="0089063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2017" w:type="dxa"/>
            <w:shd w:val="clear" w:color="auto" w:fill="92D050"/>
            <w:noWrap/>
            <w:vAlign w:val="bottom"/>
            <w:hideMark/>
          </w:tcPr>
          <w:p w14:paraId="49D17F1D" w14:textId="00317A44" w:rsidR="00890631" w:rsidRPr="007F0FA7" w:rsidRDefault="0089063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2045" w:type="dxa"/>
            <w:shd w:val="clear" w:color="auto" w:fill="FFFFFF" w:themeFill="background1"/>
            <w:noWrap/>
            <w:hideMark/>
          </w:tcPr>
          <w:p w14:paraId="050657A0" w14:textId="6EAAFA10" w:rsidR="00890631" w:rsidRPr="007F0FA7" w:rsidRDefault="009726B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bl>
    <w:bookmarkEnd w:id="163"/>
    <w:p w14:paraId="73B5DDF7" w14:textId="769EEE80" w:rsidR="00074E05" w:rsidRPr="007F0FA7" w:rsidRDefault="00074E05" w:rsidP="00093B44">
      <w:pPr>
        <w:jc w:val="both"/>
        <w:rPr>
          <w:rFonts w:ascii="Humanst521 BT" w:hAnsi="Humanst521 BT" w:cs="Arial"/>
        </w:rPr>
      </w:pPr>
      <w:r w:rsidRPr="007F0FA7">
        <w:rPr>
          <w:rFonts w:ascii="Humanst521 BT" w:hAnsi="Humanst521 BT" w:cs="Arial"/>
        </w:rPr>
        <w:t>Fuente: Bodega de Datos de SISPRO (SGD) 202</w:t>
      </w:r>
      <w:r w:rsidR="001F2B0F" w:rsidRPr="007F0FA7">
        <w:rPr>
          <w:rFonts w:ascii="Humanst521 BT" w:hAnsi="Humanst521 BT" w:cs="Arial"/>
        </w:rPr>
        <w:t>3</w:t>
      </w:r>
      <w:r w:rsidRPr="007F0FA7">
        <w:rPr>
          <w:rFonts w:ascii="Humanst521 BT" w:hAnsi="Humanst521 BT" w:cs="Arial"/>
        </w:rPr>
        <w:t>, tasa ajustada de mortalidad por 100.000 afiliados</w:t>
      </w:r>
    </w:p>
    <w:p w14:paraId="23114C8F" w14:textId="77777777" w:rsidR="00074E05" w:rsidRPr="007F0FA7" w:rsidRDefault="00074E05" w:rsidP="00093B44">
      <w:pPr>
        <w:jc w:val="both"/>
        <w:rPr>
          <w:rFonts w:ascii="Humanst521 BT" w:hAnsi="Humanst521 BT" w:cs="Arial"/>
        </w:rPr>
      </w:pPr>
    </w:p>
    <w:p w14:paraId="69B2DF4A" w14:textId="6F06F54C" w:rsidR="00074E05" w:rsidRPr="0002437C" w:rsidRDefault="00AF52EC" w:rsidP="00CF2550">
      <w:pPr>
        <w:pStyle w:val="Descripcin"/>
        <w:spacing w:line="240" w:lineRule="auto"/>
        <w:outlineLvl w:val="3"/>
        <w:rPr>
          <w:rFonts w:ascii="Humanst521 BT" w:eastAsia="Verdana" w:hAnsi="Humanst521 BT" w:cs="Verdana"/>
          <w:sz w:val="22"/>
          <w:szCs w:val="22"/>
          <w:lang w:val="es-ES"/>
        </w:rPr>
      </w:pPr>
      <w:bookmarkStart w:id="164" w:name="_Toc161297422"/>
      <w:bookmarkStart w:id="165" w:name="_Toc231286810"/>
      <w:bookmarkStart w:id="166" w:name="_Hlk125008142"/>
      <w:r w:rsidRPr="0002437C">
        <w:rPr>
          <w:rFonts w:ascii="Humanst521 BT" w:eastAsia="Verdana" w:hAnsi="Humanst521 BT" w:cs="Verdana"/>
          <w:sz w:val="22"/>
          <w:szCs w:val="22"/>
          <w:lang w:val="es-ES"/>
        </w:rPr>
        <w:t>5.2.2.</w:t>
      </w:r>
      <w:r w:rsidR="007649BF" w:rsidRPr="0002437C">
        <w:rPr>
          <w:rFonts w:ascii="Humanst521 BT" w:eastAsia="Verdana" w:hAnsi="Humanst521 BT" w:cs="Verdana"/>
          <w:sz w:val="22"/>
          <w:szCs w:val="22"/>
          <w:lang w:val="es-ES"/>
        </w:rPr>
        <w:t>2.</w:t>
      </w:r>
      <w:r w:rsidR="00606E20" w:rsidRPr="0002437C">
        <w:rPr>
          <w:rFonts w:ascii="Humanst521 BT" w:eastAsia="Verdana" w:hAnsi="Humanst521 BT" w:cs="Verdana"/>
          <w:sz w:val="22"/>
          <w:szCs w:val="22"/>
          <w:lang w:val="es-ES"/>
        </w:rPr>
        <w:t xml:space="preserve"> </w:t>
      </w:r>
      <w:r w:rsidR="00074E05" w:rsidRPr="0002437C">
        <w:rPr>
          <w:rFonts w:ascii="Humanst521 BT" w:eastAsia="Verdana" w:hAnsi="Humanst521 BT" w:cs="Verdana"/>
          <w:sz w:val="22"/>
          <w:szCs w:val="22"/>
          <w:lang w:val="es-ES"/>
        </w:rPr>
        <w:t>Mortalidad especifica por subgrupo – tasas ajustadas por edad</w:t>
      </w:r>
      <w:bookmarkEnd w:id="164"/>
      <w:bookmarkEnd w:id="165"/>
    </w:p>
    <w:p w14:paraId="0E2D15D1" w14:textId="77777777" w:rsidR="00074E05" w:rsidRPr="0002437C" w:rsidRDefault="00074E05" w:rsidP="00093B44">
      <w:pPr>
        <w:adjustRightInd w:val="0"/>
        <w:jc w:val="both"/>
        <w:rPr>
          <w:rFonts w:ascii="Humanst521 BT" w:hAnsi="Humanst521 BT" w:cs="Arial"/>
          <w:b/>
          <w:bCs/>
          <w:color w:val="2F5496" w:themeColor="accent1" w:themeShade="BF"/>
        </w:rPr>
      </w:pPr>
    </w:p>
    <w:p w14:paraId="72AAB708" w14:textId="77777777" w:rsidR="00074E05" w:rsidRPr="007F0FA7" w:rsidRDefault="00074E05" w:rsidP="00093B44">
      <w:pPr>
        <w:pStyle w:val="Ttulo5"/>
      </w:pPr>
      <w:bookmarkStart w:id="167" w:name="_Toc161297423"/>
      <w:r w:rsidRPr="007F0FA7">
        <w:t>Tasas ajustadas por la edad</w:t>
      </w:r>
      <w:bookmarkEnd w:id="167"/>
      <w:r w:rsidRPr="007F0FA7">
        <w:t xml:space="preserve">  </w:t>
      </w:r>
    </w:p>
    <w:p w14:paraId="10B759D8" w14:textId="77777777" w:rsidR="00185028" w:rsidRPr="007F0FA7" w:rsidRDefault="00185028" w:rsidP="00093B44">
      <w:pPr>
        <w:jc w:val="both"/>
        <w:rPr>
          <w:rFonts w:ascii="Humanst521 BT" w:hAnsi="Humanst521 BT"/>
          <w:lang w:val="es-CO"/>
        </w:rPr>
      </w:pPr>
    </w:p>
    <w:p w14:paraId="1A3CB262" w14:textId="62F67379" w:rsidR="00074E05" w:rsidRPr="007F0FA7" w:rsidRDefault="00185028" w:rsidP="00093B44">
      <w:pPr>
        <w:jc w:val="both"/>
        <w:rPr>
          <w:rFonts w:ascii="Humanst521 BT" w:hAnsi="Humanst521 BT"/>
          <w:lang w:val="es-CO"/>
        </w:rPr>
      </w:pPr>
      <w:r w:rsidRPr="007F0FA7">
        <w:rPr>
          <w:rFonts w:ascii="Humanst521 BT" w:hAnsi="Humanst521 BT"/>
          <w:lang w:val="es-CO"/>
        </w:rPr>
        <w:t>A continuación, se presentan las causas de mortalidad según subgrupos de causas para UISALUD en Santander:</w:t>
      </w:r>
    </w:p>
    <w:p w14:paraId="7A6C1FAF" w14:textId="77777777" w:rsidR="00C279CB" w:rsidRPr="007F0FA7" w:rsidRDefault="00C279CB" w:rsidP="00093B44">
      <w:pPr>
        <w:widowControl/>
        <w:autoSpaceDE/>
        <w:autoSpaceDN/>
        <w:spacing w:before="100" w:beforeAutospacing="1" w:after="100" w:afterAutospacing="1"/>
        <w:jc w:val="both"/>
        <w:rPr>
          <w:rFonts w:ascii="Humanst521 BT" w:eastAsia="Times New Roman" w:hAnsi="Humanst521 BT" w:cs="Times New Roman"/>
          <w:lang w:val="es-CO" w:eastAsia="es-CO"/>
        </w:rPr>
      </w:pPr>
      <w:r w:rsidRPr="007F0FA7">
        <w:rPr>
          <w:rFonts w:ascii="Humanst521 BT" w:eastAsia="Times New Roman" w:hAnsi="Humanst521 BT" w:cs="Times New Roman"/>
          <w:b/>
          <w:bCs/>
          <w:lang w:val="es-CO" w:eastAsia="es-CO"/>
        </w:rPr>
        <w:t>Mortalidad por Enfermedades Transmisibles</w:t>
      </w:r>
      <w:r w:rsidRPr="007F0FA7">
        <w:rPr>
          <w:rFonts w:ascii="Humanst521 BT" w:eastAsia="Times New Roman" w:hAnsi="Humanst521 BT" w:cs="Times New Roman"/>
          <w:lang w:val="es-CO" w:eastAsia="es-CO"/>
        </w:rPr>
        <w:t xml:space="preserve">: La única causa principal en este grupo corresponde a las </w:t>
      </w:r>
      <w:r w:rsidRPr="007F0FA7">
        <w:rPr>
          <w:rFonts w:ascii="Humanst521 BT" w:eastAsia="Times New Roman" w:hAnsi="Humanst521 BT" w:cs="Times New Roman"/>
          <w:b/>
          <w:bCs/>
          <w:lang w:val="es-CO" w:eastAsia="es-CO"/>
        </w:rPr>
        <w:t>infecciones respiratorias agudas</w:t>
      </w:r>
      <w:r w:rsidRPr="007F0FA7">
        <w:rPr>
          <w:rFonts w:ascii="Humanst521 BT" w:eastAsia="Times New Roman" w:hAnsi="Humanst521 BT" w:cs="Times New Roman"/>
          <w:lang w:val="es-CO" w:eastAsia="es-CO"/>
        </w:rPr>
        <w:t>, cuya tasa se encuentra por debajo del promedio departamental, con una diferencia estadísticamente significativa.</w:t>
      </w:r>
    </w:p>
    <w:p w14:paraId="210872E3" w14:textId="77777777" w:rsidR="00C279CB" w:rsidRPr="007F0FA7" w:rsidRDefault="00C279CB" w:rsidP="00093B44">
      <w:pPr>
        <w:widowControl/>
        <w:autoSpaceDE/>
        <w:autoSpaceDN/>
        <w:spacing w:before="100" w:beforeAutospacing="1" w:after="100" w:afterAutospacing="1"/>
        <w:jc w:val="both"/>
        <w:rPr>
          <w:rFonts w:ascii="Humanst521 BT" w:eastAsia="Times New Roman" w:hAnsi="Humanst521 BT" w:cs="Times New Roman"/>
          <w:lang w:val="es-CO" w:eastAsia="es-CO"/>
        </w:rPr>
      </w:pPr>
      <w:r w:rsidRPr="007F0FA7">
        <w:rPr>
          <w:rFonts w:ascii="Humanst521 BT" w:eastAsia="Times New Roman" w:hAnsi="Humanst521 BT" w:cs="Times New Roman"/>
          <w:b/>
          <w:bCs/>
          <w:lang w:val="es-CO" w:eastAsia="es-CO"/>
        </w:rPr>
        <w:t>Mortalidad por Neoplasias</w:t>
      </w:r>
      <w:r w:rsidRPr="007F0FA7">
        <w:rPr>
          <w:rFonts w:ascii="Humanst521 BT" w:eastAsia="Times New Roman" w:hAnsi="Humanst521 BT" w:cs="Times New Roman"/>
          <w:lang w:val="es-CO" w:eastAsia="es-CO"/>
        </w:rPr>
        <w:t xml:space="preserve">: La principal causa de mortalidad en este grupo es el </w:t>
      </w:r>
      <w:r w:rsidRPr="007F0FA7">
        <w:rPr>
          <w:rFonts w:ascii="Humanst521 BT" w:eastAsia="Times New Roman" w:hAnsi="Humanst521 BT" w:cs="Times New Roman"/>
          <w:b/>
          <w:bCs/>
          <w:lang w:val="es-CO" w:eastAsia="es-CO"/>
        </w:rPr>
        <w:t>tumor maligno de los órganos digestivos y del peritoneo</w:t>
      </w:r>
      <w:r w:rsidRPr="007F0FA7">
        <w:rPr>
          <w:rFonts w:ascii="Humanst521 BT" w:eastAsia="Times New Roman" w:hAnsi="Humanst521 BT" w:cs="Times New Roman"/>
          <w:lang w:val="es-CO" w:eastAsia="es-CO"/>
        </w:rPr>
        <w:t xml:space="preserve"> (excepto estómago y colon), que presenta una tasa superior al promedio departamental y una diferencia significativa. En segundo lugar, se encuentra el </w:t>
      </w:r>
      <w:r w:rsidRPr="007F0FA7">
        <w:rPr>
          <w:rFonts w:ascii="Humanst521 BT" w:eastAsia="Times New Roman" w:hAnsi="Humanst521 BT" w:cs="Times New Roman"/>
          <w:b/>
          <w:bCs/>
          <w:lang w:val="es-CO" w:eastAsia="es-CO"/>
        </w:rPr>
        <w:t>tumor maligno de otros órganos genitourinarios</w:t>
      </w:r>
      <w:r w:rsidRPr="007F0FA7">
        <w:rPr>
          <w:rFonts w:ascii="Humanst521 BT" w:eastAsia="Times New Roman" w:hAnsi="Humanst521 BT" w:cs="Times New Roman"/>
          <w:lang w:val="es-CO" w:eastAsia="es-CO"/>
        </w:rPr>
        <w:t xml:space="preserve">, que también tiene una tasa superior al promedio departamental y una diferencia significativa. En tercer lugar, los </w:t>
      </w:r>
      <w:r w:rsidRPr="007F0FA7">
        <w:rPr>
          <w:rFonts w:ascii="Humanst521 BT" w:eastAsia="Times New Roman" w:hAnsi="Humanst521 BT" w:cs="Times New Roman"/>
          <w:b/>
          <w:bCs/>
          <w:lang w:val="es-CO" w:eastAsia="es-CO"/>
        </w:rPr>
        <w:t>tumores malignos del tejido linfático y otros órganos hematopoyéticos</w:t>
      </w:r>
      <w:r w:rsidRPr="007F0FA7">
        <w:rPr>
          <w:rFonts w:ascii="Humanst521 BT" w:eastAsia="Times New Roman" w:hAnsi="Humanst521 BT" w:cs="Times New Roman"/>
          <w:lang w:val="es-CO" w:eastAsia="es-CO"/>
        </w:rPr>
        <w:t xml:space="preserve">, junto con los tumores de otras localizaciones y no especificadas, presentaron tasas inferiores al promedio del departamento. Finalmente, los </w:t>
      </w:r>
      <w:r w:rsidRPr="007F0FA7">
        <w:rPr>
          <w:rFonts w:ascii="Humanst521 BT" w:eastAsia="Times New Roman" w:hAnsi="Humanst521 BT" w:cs="Times New Roman"/>
          <w:b/>
          <w:bCs/>
          <w:lang w:val="es-CO" w:eastAsia="es-CO"/>
        </w:rPr>
        <w:t>tumores in situ, benignos y de comportamiento incierto o desconocido</w:t>
      </w:r>
      <w:r w:rsidRPr="007F0FA7">
        <w:rPr>
          <w:rFonts w:ascii="Humanst521 BT" w:eastAsia="Times New Roman" w:hAnsi="Humanst521 BT" w:cs="Times New Roman"/>
          <w:lang w:val="es-CO" w:eastAsia="es-CO"/>
        </w:rPr>
        <w:t xml:space="preserve"> mostraron tasas inferiores al promedio departamental.</w:t>
      </w:r>
    </w:p>
    <w:p w14:paraId="5C2C411C" w14:textId="77777777" w:rsidR="00C279CB" w:rsidRPr="007F0FA7" w:rsidRDefault="00C279CB" w:rsidP="00093B44">
      <w:pPr>
        <w:widowControl/>
        <w:autoSpaceDE/>
        <w:autoSpaceDN/>
        <w:spacing w:before="100" w:beforeAutospacing="1" w:after="100" w:afterAutospacing="1"/>
        <w:jc w:val="both"/>
        <w:rPr>
          <w:rFonts w:ascii="Humanst521 BT" w:eastAsia="Times New Roman" w:hAnsi="Humanst521 BT" w:cs="Times New Roman"/>
          <w:lang w:val="es-CO" w:eastAsia="es-CO"/>
        </w:rPr>
      </w:pPr>
      <w:r w:rsidRPr="007F0FA7">
        <w:rPr>
          <w:rFonts w:ascii="Humanst521 BT" w:eastAsia="Times New Roman" w:hAnsi="Humanst521 BT" w:cs="Times New Roman"/>
          <w:b/>
          <w:bCs/>
          <w:lang w:val="es-CO" w:eastAsia="es-CO"/>
        </w:rPr>
        <w:t>Mortalidad por Enfermedades del Sistema Circulatorio</w:t>
      </w:r>
      <w:r w:rsidRPr="007F0FA7">
        <w:rPr>
          <w:rFonts w:ascii="Humanst521 BT" w:eastAsia="Times New Roman" w:hAnsi="Humanst521 BT" w:cs="Times New Roman"/>
          <w:lang w:val="es-CO" w:eastAsia="es-CO"/>
        </w:rPr>
        <w:t xml:space="preserve">: La principal causa es la </w:t>
      </w:r>
      <w:r w:rsidRPr="007F0FA7">
        <w:rPr>
          <w:rFonts w:ascii="Humanst521 BT" w:eastAsia="Times New Roman" w:hAnsi="Humanst521 BT" w:cs="Times New Roman"/>
          <w:b/>
          <w:bCs/>
          <w:lang w:val="es-CO" w:eastAsia="es-CO"/>
        </w:rPr>
        <w:t>enfermedad isquémica del corazón</w:t>
      </w:r>
      <w:r w:rsidRPr="007F0FA7">
        <w:rPr>
          <w:rFonts w:ascii="Humanst521 BT" w:eastAsia="Times New Roman" w:hAnsi="Humanst521 BT" w:cs="Times New Roman"/>
          <w:lang w:val="es-CO" w:eastAsia="es-CO"/>
        </w:rPr>
        <w:t xml:space="preserve">, con una tasa inferior al promedio departamental y una diferencia significativa. La </w:t>
      </w:r>
      <w:r w:rsidRPr="007F0FA7">
        <w:rPr>
          <w:rFonts w:ascii="Humanst521 BT" w:eastAsia="Times New Roman" w:hAnsi="Humanst521 BT" w:cs="Times New Roman"/>
          <w:b/>
          <w:bCs/>
          <w:lang w:val="es-CO" w:eastAsia="es-CO"/>
        </w:rPr>
        <w:t>enfermedad cardiopulmonar</w:t>
      </w:r>
      <w:r w:rsidRPr="007F0FA7">
        <w:rPr>
          <w:rFonts w:ascii="Humanst521 BT" w:eastAsia="Times New Roman" w:hAnsi="Humanst521 BT" w:cs="Times New Roman"/>
          <w:lang w:val="es-CO" w:eastAsia="es-CO"/>
        </w:rPr>
        <w:t xml:space="preserve"> ocupa el segundo lugar, también con una tasa inferior al promedio departamental y una diferencia significativa. Las </w:t>
      </w:r>
      <w:r w:rsidRPr="007F0FA7">
        <w:rPr>
          <w:rFonts w:ascii="Humanst521 BT" w:eastAsia="Times New Roman" w:hAnsi="Humanst521 BT" w:cs="Times New Roman"/>
          <w:b/>
          <w:bCs/>
          <w:lang w:val="es-CO" w:eastAsia="es-CO"/>
        </w:rPr>
        <w:t>enfermedades de la circulación pulmonar y otras formas de enfermedad del corazón</w:t>
      </w:r>
      <w:r w:rsidRPr="007F0FA7">
        <w:rPr>
          <w:rFonts w:ascii="Humanst521 BT" w:eastAsia="Times New Roman" w:hAnsi="Humanst521 BT" w:cs="Times New Roman"/>
          <w:lang w:val="es-CO" w:eastAsia="es-CO"/>
        </w:rPr>
        <w:t xml:space="preserve"> presentaron tasas inferiores, pero sin diferencias significativas. Las </w:t>
      </w:r>
      <w:r w:rsidRPr="007F0FA7">
        <w:rPr>
          <w:rFonts w:ascii="Humanst521 BT" w:eastAsia="Times New Roman" w:hAnsi="Humanst521 BT" w:cs="Times New Roman"/>
          <w:b/>
          <w:bCs/>
          <w:lang w:val="es-CO" w:eastAsia="es-CO"/>
        </w:rPr>
        <w:t>enfermedades cerebrovasculares del corazón</w:t>
      </w:r>
      <w:r w:rsidRPr="007F0FA7">
        <w:rPr>
          <w:rFonts w:ascii="Humanst521 BT" w:eastAsia="Times New Roman" w:hAnsi="Humanst521 BT" w:cs="Times New Roman"/>
          <w:lang w:val="es-CO" w:eastAsia="es-CO"/>
        </w:rPr>
        <w:t xml:space="preserve"> se ubicaron en tercer lugar, con una tasa inferior al promedio departamental y una diferencia significativa.</w:t>
      </w:r>
    </w:p>
    <w:p w14:paraId="57DA19BF" w14:textId="42D7282E" w:rsidR="00074E05" w:rsidRPr="007F0FA7" w:rsidRDefault="00C279CB" w:rsidP="00093B44">
      <w:pPr>
        <w:widowControl/>
        <w:autoSpaceDE/>
        <w:autoSpaceDN/>
        <w:spacing w:before="100" w:beforeAutospacing="1" w:after="100" w:afterAutospacing="1"/>
        <w:jc w:val="both"/>
        <w:rPr>
          <w:rFonts w:ascii="Humanst521 BT" w:eastAsia="Times New Roman" w:hAnsi="Humanst521 BT" w:cs="Times New Roman"/>
          <w:lang w:val="es-CO" w:eastAsia="es-CO"/>
        </w:rPr>
      </w:pPr>
      <w:r w:rsidRPr="007F0FA7">
        <w:rPr>
          <w:rFonts w:ascii="Humanst521 BT" w:eastAsia="Times New Roman" w:hAnsi="Humanst521 BT" w:cs="Times New Roman"/>
          <w:b/>
          <w:bCs/>
          <w:lang w:val="es-CO" w:eastAsia="es-CO"/>
        </w:rPr>
        <w:t>Mortalidad por Otras Causas</w:t>
      </w:r>
      <w:r w:rsidRPr="007F0FA7">
        <w:rPr>
          <w:rFonts w:ascii="Humanst521 BT" w:eastAsia="Times New Roman" w:hAnsi="Humanst521 BT" w:cs="Times New Roman"/>
          <w:lang w:val="es-CO" w:eastAsia="es-CO"/>
        </w:rPr>
        <w:t xml:space="preserve">: La principal causa en este grupo son los </w:t>
      </w:r>
      <w:r w:rsidRPr="007F0FA7">
        <w:rPr>
          <w:rFonts w:ascii="Humanst521 BT" w:eastAsia="Times New Roman" w:hAnsi="Humanst521 BT" w:cs="Times New Roman"/>
          <w:b/>
          <w:bCs/>
          <w:lang w:val="es-CO" w:eastAsia="es-CO"/>
        </w:rPr>
        <w:t>trastornos mentales y del comportamiento</w:t>
      </w:r>
      <w:r w:rsidRPr="007F0FA7">
        <w:rPr>
          <w:rFonts w:ascii="Humanst521 BT" w:eastAsia="Times New Roman" w:hAnsi="Humanst521 BT" w:cs="Times New Roman"/>
          <w:lang w:val="es-CO" w:eastAsia="es-CO"/>
        </w:rPr>
        <w:t xml:space="preserve">, cuya tasa es superior al promedio departamental y con una diferencia significativa. En segundo lugar, se encuentran las </w:t>
      </w:r>
      <w:r w:rsidRPr="007F0FA7">
        <w:rPr>
          <w:rFonts w:ascii="Humanst521 BT" w:eastAsia="Times New Roman" w:hAnsi="Humanst521 BT" w:cs="Times New Roman"/>
          <w:b/>
          <w:bCs/>
          <w:lang w:val="es-CO" w:eastAsia="es-CO"/>
        </w:rPr>
        <w:t>enfermedades del sistema nervioso</w:t>
      </w:r>
      <w:r w:rsidRPr="007F0FA7">
        <w:rPr>
          <w:rFonts w:ascii="Humanst521 BT" w:eastAsia="Times New Roman" w:hAnsi="Humanst521 BT" w:cs="Times New Roman"/>
          <w:lang w:val="es-CO" w:eastAsia="es-CO"/>
        </w:rPr>
        <w:t xml:space="preserve"> (excepto meningitis). Finalmente, el resto de enfermedades en este grupo mostraron tasas inferiores, sin diferencias significativas respecto al promedio departamental.</w:t>
      </w:r>
    </w:p>
    <w:p w14:paraId="0BDE568D" w14:textId="4D9D2F3F" w:rsidR="008A71E1" w:rsidRPr="007F0FA7" w:rsidRDefault="008F2F09" w:rsidP="00093B44">
      <w:pPr>
        <w:jc w:val="both"/>
        <w:rPr>
          <w:rFonts w:ascii="Humanst521 BT" w:hAnsi="Humanst521 BT"/>
        </w:rPr>
      </w:pPr>
      <w:r>
        <w:rPr>
          <w:rFonts w:ascii="Humanst521 BT" w:hAnsi="Humanst521 BT"/>
        </w:rPr>
        <w:t>A continuación</w:t>
      </w:r>
      <w:r w:rsidR="00074E05" w:rsidRPr="007F0FA7">
        <w:rPr>
          <w:rFonts w:ascii="Humanst521 BT" w:hAnsi="Humanst521 BT"/>
        </w:rPr>
        <w:t>, se presentan las ajustadas de mortalidad y sus subgrupos de causas para Santander.</w:t>
      </w:r>
    </w:p>
    <w:p w14:paraId="6979DB15" w14:textId="532D4C8B" w:rsidR="00074E05" w:rsidRPr="007F0FA7" w:rsidRDefault="00074E05" w:rsidP="00093B44">
      <w:pPr>
        <w:jc w:val="both"/>
        <w:rPr>
          <w:rFonts w:ascii="Humanst521 BT" w:hAnsi="Humanst521 BT"/>
        </w:rPr>
      </w:pPr>
      <w:r w:rsidRPr="007F0FA7">
        <w:rPr>
          <w:rFonts w:ascii="Humanst521 BT" w:hAnsi="Humanst521 BT"/>
        </w:rPr>
        <w:t xml:space="preserve">  </w:t>
      </w:r>
    </w:p>
    <w:p w14:paraId="02D6B5F6" w14:textId="1D1FB86C" w:rsidR="00074E05" w:rsidRPr="0086788D"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168" w:name="_Toc161298179"/>
      <w:bookmarkStart w:id="169" w:name="_Toc161318799"/>
      <w:bookmarkStart w:id="170" w:name="_Toc231286282"/>
      <w:r w:rsidRPr="0086788D">
        <w:rPr>
          <w:rFonts w:ascii="Humanst521 BT" w:eastAsia="Verdana" w:hAnsi="Humanst521 BT" w:cs="Verdana"/>
          <w:b w:val="0"/>
          <w:bCs w:val="0"/>
          <w:color w:val="auto"/>
          <w:sz w:val="22"/>
          <w:szCs w:val="22"/>
          <w:lang w:val="es-ES"/>
        </w:rPr>
        <w:t xml:space="preserve">Tabla </w:t>
      </w:r>
      <w:r w:rsidRPr="0086788D">
        <w:rPr>
          <w:rFonts w:ascii="Humanst521 BT" w:eastAsia="Verdana" w:hAnsi="Humanst521 BT" w:cs="Verdana"/>
          <w:b w:val="0"/>
          <w:bCs w:val="0"/>
          <w:color w:val="auto"/>
          <w:sz w:val="22"/>
          <w:szCs w:val="22"/>
          <w:lang w:val="es-ES"/>
        </w:rPr>
        <w:fldChar w:fldCharType="begin"/>
      </w:r>
      <w:r w:rsidRPr="0086788D">
        <w:rPr>
          <w:rFonts w:ascii="Humanst521 BT" w:eastAsia="Verdana" w:hAnsi="Humanst521 BT" w:cs="Verdana"/>
          <w:b w:val="0"/>
          <w:bCs w:val="0"/>
          <w:color w:val="auto"/>
          <w:sz w:val="22"/>
          <w:szCs w:val="22"/>
          <w:lang w:val="es-ES"/>
        </w:rPr>
        <w:instrText xml:space="preserve"> SEQ Tabla \* ARABIC </w:instrText>
      </w:r>
      <w:r w:rsidRPr="0086788D">
        <w:rPr>
          <w:rFonts w:ascii="Humanst521 BT" w:eastAsia="Verdana" w:hAnsi="Humanst521 BT" w:cs="Verdana"/>
          <w:b w:val="0"/>
          <w:bCs w:val="0"/>
          <w:color w:val="auto"/>
          <w:sz w:val="22"/>
          <w:szCs w:val="22"/>
          <w:lang w:val="es-ES"/>
        </w:rPr>
        <w:fldChar w:fldCharType="separate"/>
      </w:r>
      <w:r w:rsidR="00D92A24" w:rsidRPr="0086788D">
        <w:rPr>
          <w:rFonts w:ascii="Humanst521 BT" w:eastAsia="Verdana" w:hAnsi="Humanst521 BT" w:cs="Verdana"/>
          <w:b w:val="0"/>
          <w:bCs w:val="0"/>
          <w:noProof/>
          <w:color w:val="auto"/>
          <w:sz w:val="22"/>
          <w:szCs w:val="22"/>
          <w:lang w:val="es-ES"/>
        </w:rPr>
        <w:t>37</w:t>
      </w:r>
      <w:r w:rsidRPr="0086788D">
        <w:rPr>
          <w:rFonts w:ascii="Humanst521 BT" w:eastAsia="Verdana" w:hAnsi="Humanst521 BT" w:cs="Verdana"/>
          <w:b w:val="0"/>
          <w:bCs w:val="0"/>
          <w:color w:val="auto"/>
          <w:sz w:val="22"/>
          <w:szCs w:val="22"/>
          <w:lang w:val="es-ES"/>
        </w:rPr>
        <w:fldChar w:fldCharType="end"/>
      </w:r>
      <w:r w:rsidR="00D92A24" w:rsidRPr="0086788D">
        <w:rPr>
          <w:rFonts w:ascii="Humanst521 BT" w:eastAsia="Verdana" w:hAnsi="Humanst521 BT" w:cs="Verdana"/>
          <w:b w:val="0"/>
          <w:bCs w:val="0"/>
          <w:color w:val="auto"/>
          <w:sz w:val="22"/>
          <w:szCs w:val="22"/>
          <w:lang w:val="es-ES"/>
        </w:rPr>
        <w:t>.</w:t>
      </w:r>
      <w:r w:rsidRPr="0086788D">
        <w:rPr>
          <w:rFonts w:ascii="Humanst521 BT" w:eastAsia="Verdana" w:hAnsi="Humanst521 BT" w:cs="Verdana"/>
          <w:b w:val="0"/>
          <w:bCs w:val="0"/>
          <w:color w:val="auto"/>
          <w:sz w:val="22"/>
          <w:szCs w:val="22"/>
          <w:lang w:val="es-ES"/>
        </w:rPr>
        <w:t xml:space="preserve"> Tasa de mortalidad ajustada por edad, según subgrupos de muerte, UISALUD Santander, 202</w:t>
      </w:r>
      <w:bookmarkEnd w:id="168"/>
      <w:bookmarkEnd w:id="169"/>
      <w:r w:rsidR="00CB1A94" w:rsidRPr="0086788D">
        <w:rPr>
          <w:rFonts w:ascii="Humanst521 BT" w:eastAsia="Verdana" w:hAnsi="Humanst521 BT" w:cs="Verdana"/>
          <w:b w:val="0"/>
          <w:bCs w:val="0"/>
          <w:color w:val="auto"/>
          <w:sz w:val="22"/>
          <w:szCs w:val="22"/>
          <w:lang w:val="es-ES"/>
        </w:rPr>
        <w:t>4</w:t>
      </w:r>
      <w:bookmarkEnd w:id="170"/>
    </w:p>
    <w:tbl>
      <w:tblPr>
        <w:tblStyle w:val="Tablaconcuadrcula4-nfasis2"/>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1"/>
        <w:gridCol w:w="3186"/>
        <w:gridCol w:w="2449"/>
        <w:gridCol w:w="1949"/>
      </w:tblGrid>
      <w:tr w:rsidR="00E32CB0" w:rsidRPr="007F0FA7" w14:paraId="1E3DC1A2" w14:textId="77777777" w:rsidTr="00735F2B">
        <w:trPr>
          <w:cnfStyle w:val="100000000000" w:firstRow="1" w:lastRow="0" w:firstColumn="0" w:lastColumn="0" w:oddVBand="0" w:evenVBand="0" w:oddHBand="0" w:evenHBand="0" w:firstRowFirstColumn="0" w:firstRowLastColumn="0" w:lastRowFirstColumn="0" w:lastRowLastColumn="0"/>
          <w:trHeight w:val="673"/>
          <w:tblHeader/>
        </w:trPr>
        <w:tc>
          <w:tcPr>
            <w:cnfStyle w:val="001000000000" w:firstRow="0" w:lastRow="0" w:firstColumn="1" w:lastColumn="0" w:oddVBand="0" w:evenVBand="0" w:oddHBand="0" w:evenHBand="0" w:firstRowFirstColumn="0" w:firstRowLastColumn="0" w:lastRowFirstColumn="0" w:lastRowLastColumn="0"/>
            <w:tcW w:w="968" w:type="pc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020F3F1D" w14:textId="77777777" w:rsidR="00074E05" w:rsidRPr="007F0FA7" w:rsidRDefault="00074E05" w:rsidP="00093B44">
            <w:pPr>
              <w:jc w:val="both"/>
              <w:rPr>
                <w:rFonts w:ascii="Humanst521 BT" w:hAnsi="Humanst521 BT" w:cs="Arial"/>
                <w:color w:val="auto"/>
                <w:sz w:val="22"/>
                <w:szCs w:val="22"/>
              </w:rPr>
            </w:pPr>
            <w:r w:rsidRPr="007F0FA7">
              <w:rPr>
                <w:rFonts w:ascii="Humanst521 BT" w:hAnsi="Humanst521 BT" w:cs="Arial"/>
                <w:color w:val="auto"/>
                <w:sz w:val="22"/>
                <w:szCs w:val="22"/>
              </w:rPr>
              <w:t>Grupos de muerte según lista 6/67 OPS-OMS</w:t>
            </w:r>
          </w:p>
        </w:tc>
        <w:tc>
          <w:tcPr>
            <w:tcW w:w="1694" w:type="pc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1DF4FD7A"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Subgrupos de muerte</w:t>
            </w:r>
          </w:p>
        </w:tc>
        <w:tc>
          <w:tcPr>
            <w:tcW w:w="1302" w:type="pc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5AACF5CC"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mortalidad UISALUD </w:t>
            </w:r>
            <w:r w:rsidRPr="007F0FA7">
              <w:rPr>
                <w:rFonts w:ascii="Humanst521 BT" w:hAnsi="Humanst521 BT" w:cs="Arial"/>
                <w:color w:val="auto"/>
                <w:sz w:val="22"/>
                <w:szCs w:val="22"/>
                <w:vertAlign w:val="superscript"/>
              </w:rPr>
              <w:t>*</w:t>
            </w:r>
          </w:p>
        </w:tc>
        <w:tc>
          <w:tcPr>
            <w:tcW w:w="1036" w:type="pc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385E8C6B"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mortalidad departamento de Santander </w:t>
            </w:r>
            <w:r w:rsidRPr="007F0FA7">
              <w:rPr>
                <w:rFonts w:ascii="Humanst521 BT" w:hAnsi="Humanst521 BT" w:cs="Arial"/>
                <w:color w:val="auto"/>
                <w:sz w:val="22"/>
                <w:szCs w:val="22"/>
                <w:vertAlign w:val="superscript"/>
              </w:rPr>
              <w:t>*</w:t>
            </w:r>
          </w:p>
        </w:tc>
      </w:tr>
      <w:tr w:rsidR="00E32CB0" w:rsidRPr="007F0FA7" w14:paraId="2785CE1F" w14:textId="77777777" w:rsidTr="00735F2B">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68" w:type="pct"/>
            <w:shd w:val="clear" w:color="auto" w:fill="auto"/>
            <w:hideMark/>
          </w:tcPr>
          <w:p w14:paraId="423A38BF" w14:textId="77777777" w:rsidR="00132B4F" w:rsidRPr="007F0FA7" w:rsidRDefault="00132B4F" w:rsidP="00093B44">
            <w:pPr>
              <w:jc w:val="both"/>
              <w:rPr>
                <w:rFonts w:ascii="Humanst521 BT" w:hAnsi="Humanst521 BT" w:cs="Arial"/>
                <w:sz w:val="22"/>
                <w:szCs w:val="22"/>
              </w:rPr>
            </w:pPr>
            <w:r w:rsidRPr="007F0FA7">
              <w:rPr>
                <w:rFonts w:ascii="Humanst521 BT" w:hAnsi="Humanst521 BT" w:cs="Arial"/>
                <w:sz w:val="22"/>
                <w:szCs w:val="22"/>
              </w:rPr>
              <w:t>Enfermedades transmisibles</w:t>
            </w:r>
          </w:p>
          <w:p w14:paraId="4E9FC982" w14:textId="77777777" w:rsidR="00132B4F" w:rsidRPr="007F0FA7" w:rsidRDefault="00132B4F" w:rsidP="00093B44">
            <w:pPr>
              <w:jc w:val="both"/>
              <w:rPr>
                <w:rFonts w:ascii="Humanst521 BT" w:hAnsi="Humanst521 BT" w:cs="Arial"/>
                <w:sz w:val="22"/>
                <w:szCs w:val="22"/>
              </w:rPr>
            </w:pPr>
            <w:r w:rsidRPr="007F0FA7">
              <w:rPr>
                <w:rFonts w:ascii="Humanst521 BT" w:hAnsi="Humanst521 BT" w:cs="Arial"/>
                <w:sz w:val="22"/>
                <w:szCs w:val="22"/>
              </w:rPr>
              <w:lastRenderedPageBreak/>
              <w:t> </w:t>
            </w:r>
          </w:p>
        </w:tc>
        <w:tc>
          <w:tcPr>
            <w:tcW w:w="1694" w:type="pct"/>
          </w:tcPr>
          <w:p w14:paraId="63025D10" w14:textId="77777777" w:rsidR="00132B4F" w:rsidRPr="007F0FA7" w:rsidRDefault="00132B4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lastRenderedPageBreak/>
              <w:t>Infecciones respiratorias agudas</w:t>
            </w:r>
          </w:p>
        </w:tc>
        <w:tc>
          <w:tcPr>
            <w:tcW w:w="1302" w:type="pct"/>
            <w:shd w:val="clear" w:color="auto" w:fill="FFFF00"/>
            <w:noWrap/>
          </w:tcPr>
          <w:p w14:paraId="6CB90AAC" w14:textId="4B0A0A31" w:rsidR="00132B4F" w:rsidRPr="007F0FA7" w:rsidRDefault="00132B4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5,39</w:t>
            </w:r>
          </w:p>
        </w:tc>
        <w:tc>
          <w:tcPr>
            <w:tcW w:w="1036" w:type="pct"/>
            <w:shd w:val="clear" w:color="auto" w:fill="auto"/>
          </w:tcPr>
          <w:p w14:paraId="11DB5CDA" w14:textId="40F2167B" w:rsidR="00132B4F" w:rsidRPr="007F0FA7" w:rsidRDefault="00132B4F"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9,98</w:t>
            </w:r>
          </w:p>
        </w:tc>
      </w:tr>
      <w:tr w:rsidR="00E32CB0" w:rsidRPr="007F0FA7" w14:paraId="258DC3DD" w14:textId="77777777" w:rsidTr="00735F2B">
        <w:trPr>
          <w:trHeight w:val="415"/>
        </w:trPr>
        <w:tc>
          <w:tcPr>
            <w:cnfStyle w:val="001000000000" w:firstRow="0" w:lastRow="0" w:firstColumn="1" w:lastColumn="0" w:oddVBand="0" w:evenVBand="0" w:oddHBand="0" w:evenHBand="0" w:firstRowFirstColumn="0" w:firstRowLastColumn="0" w:lastRowFirstColumn="0" w:lastRowLastColumn="0"/>
            <w:tcW w:w="968" w:type="pct"/>
            <w:vMerge w:val="restart"/>
            <w:shd w:val="clear" w:color="auto" w:fill="auto"/>
            <w:hideMark/>
          </w:tcPr>
          <w:p w14:paraId="35A61A26"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Neoplasias</w:t>
            </w:r>
          </w:p>
          <w:p w14:paraId="4045F3FA"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p w14:paraId="56ADA54C"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p w14:paraId="5EAB2887"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p w14:paraId="673EADAA"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tc>
        <w:tc>
          <w:tcPr>
            <w:tcW w:w="1694" w:type="pct"/>
            <w:shd w:val="clear" w:color="auto" w:fill="auto"/>
          </w:tcPr>
          <w:p w14:paraId="6A993ECD" w14:textId="497E7EE8" w:rsidR="00074E05" w:rsidRPr="007F0FA7" w:rsidRDefault="0053000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Tumor maligno de otros órganos genitourinarios</w:t>
            </w:r>
          </w:p>
        </w:tc>
        <w:tc>
          <w:tcPr>
            <w:tcW w:w="1302" w:type="pct"/>
            <w:shd w:val="clear" w:color="auto" w:fill="FF0000"/>
            <w:noWrap/>
          </w:tcPr>
          <w:p w14:paraId="140B3BD5" w14:textId="62A4A6D2"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w:t>
            </w:r>
            <w:r w:rsidR="00104E1E" w:rsidRPr="007F0FA7">
              <w:rPr>
                <w:rFonts w:ascii="Humanst521 BT" w:hAnsi="Humanst521 BT" w:cs="Arial"/>
                <w:sz w:val="22"/>
                <w:szCs w:val="22"/>
              </w:rPr>
              <w:t>41</w:t>
            </w:r>
          </w:p>
        </w:tc>
        <w:tc>
          <w:tcPr>
            <w:tcW w:w="1036" w:type="pct"/>
            <w:shd w:val="clear" w:color="auto" w:fill="auto"/>
          </w:tcPr>
          <w:p w14:paraId="0E030970" w14:textId="38304D75"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w:t>
            </w:r>
            <w:r w:rsidR="00157F0A" w:rsidRPr="007F0FA7">
              <w:rPr>
                <w:rFonts w:ascii="Humanst521 BT" w:hAnsi="Humanst521 BT" w:cs="Arial"/>
                <w:sz w:val="22"/>
                <w:szCs w:val="22"/>
              </w:rPr>
              <w:t>24</w:t>
            </w:r>
          </w:p>
        </w:tc>
      </w:tr>
      <w:tr w:rsidR="00E32CB0" w:rsidRPr="007F0FA7" w14:paraId="5E600998" w14:textId="77777777" w:rsidTr="00735F2B">
        <w:trPr>
          <w:cnfStyle w:val="000000100000" w:firstRow="0" w:lastRow="0" w:firstColumn="0" w:lastColumn="0" w:oddVBand="0" w:evenVBand="0" w:oddHBand="1"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968" w:type="pct"/>
            <w:vMerge/>
            <w:shd w:val="clear" w:color="auto" w:fill="auto"/>
            <w:hideMark/>
          </w:tcPr>
          <w:p w14:paraId="4A9FB546" w14:textId="77777777" w:rsidR="00074E05" w:rsidRPr="007F0FA7" w:rsidRDefault="00074E05" w:rsidP="00093B44">
            <w:pPr>
              <w:jc w:val="both"/>
              <w:rPr>
                <w:rFonts w:ascii="Humanst521 BT" w:hAnsi="Humanst521 BT" w:cs="Arial"/>
                <w:sz w:val="22"/>
                <w:szCs w:val="22"/>
              </w:rPr>
            </w:pPr>
          </w:p>
        </w:tc>
        <w:tc>
          <w:tcPr>
            <w:tcW w:w="1694" w:type="pct"/>
            <w:hideMark/>
          </w:tcPr>
          <w:p w14:paraId="6BFA1CE9"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Tumor maligno de los órganos digestivos y del peritoneo, excepto estómago y colon</w:t>
            </w:r>
          </w:p>
        </w:tc>
        <w:tc>
          <w:tcPr>
            <w:tcW w:w="1302" w:type="pct"/>
            <w:shd w:val="clear" w:color="auto" w:fill="FFFF00"/>
            <w:noWrap/>
            <w:hideMark/>
          </w:tcPr>
          <w:p w14:paraId="753418B8" w14:textId="571E05E4" w:rsidR="00074E05" w:rsidRPr="007F0FA7" w:rsidRDefault="007F794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14,57</w:t>
            </w:r>
          </w:p>
        </w:tc>
        <w:tc>
          <w:tcPr>
            <w:tcW w:w="1036" w:type="pct"/>
            <w:shd w:val="clear" w:color="auto" w:fill="auto"/>
            <w:hideMark/>
          </w:tcPr>
          <w:p w14:paraId="6AA53145" w14:textId="65798A3A"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w:t>
            </w:r>
            <w:r w:rsidR="00450662" w:rsidRPr="007F0FA7">
              <w:rPr>
                <w:rFonts w:ascii="Humanst521 BT" w:hAnsi="Humanst521 BT" w:cs="Arial"/>
                <w:sz w:val="22"/>
                <w:szCs w:val="22"/>
              </w:rPr>
              <w:t>5</w:t>
            </w:r>
            <w:r w:rsidRPr="007F0FA7">
              <w:rPr>
                <w:rFonts w:ascii="Humanst521 BT" w:hAnsi="Humanst521 BT" w:cs="Arial"/>
                <w:sz w:val="22"/>
                <w:szCs w:val="22"/>
              </w:rPr>
              <w:t>,</w:t>
            </w:r>
            <w:r w:rsidR="00450662" w:rsidRPr="007F0FA7">
              <w:rPr>
                <w:rFonts w:ascii="Humanst521 BT" w:hAnsi="Humanst521 BT" w:cs="Arial"/>
                <w:sz w:val="22"/>
                <w:szCs w:val="22"/>
              </w:rPr>
              <w:t>3</w:t>
            </w:r>
            <w:r w:rsidRPr="007F0FA7">
              <w:rPr>
                <w:rFonts w:ascii="Humanst521 BT" w:hAnsi="Humanst521 BT" w:cs="Arial"/>
                <w:sz w:val="22"/>
                <w:szCs w:val="22"/>
              </w:rPr>
              <w:t>6</w:t>
            </w:r>
          </w:p>
        </w:tc>
      </w:tr>
      <w:tr w:rsidR="00E32CB0" w:rsidRPr="007F0FA7" w14:paraId="54B12A31" w14:textId="77777777" w:rsidTr="00735F2B">
        <w:trPr>
          <w:trHeight w:val="290"/>
        </w:trPr>
        <w:tc>
          <w:tcPr>
            <w:cnfStyle w:val="001000000000" w:firstRow="0" w:lastRow="0" w:firstColumn="1" w:lastColumn="0" w:oddVBand="0" w:evenVBand="0" w:oddHBand="0" w:evenHBand="0" w:firstRowFirstColumn="0" w:firstRowLastColumn="0" w:lastRowFirstColumn="0" w:lastRowLastColumn="0"/>
            <w:tcW w:w="968" w:type="pct"/>
            <w:vMerge/>
            <w:shd w:val="clear" w:color="auto" w:fill="auto"/>
            <w:hideMark/>
          </w:tcPr>
          <w:p w14:paraId="255CEAC8" w14:textId="77777777" w:rsidR="00074E05" w:rsidRPr="007F0FA7" w:rsidRDefault="00074E05" w:rsidP="00093B44">
            <w:pPr>
              <w:jc w:val="both"/>
              <w:rPr>
                <w:rFonts w:ascii="Humanst521 BT" w:hAnsi="Humanst521 BT" w:cs="Arial"/>
                <w:sz w:val="22"/>
                <w:szCs w:val="22"/>
              </w:rPr>
            </w:pPr>
          </w:p>
        </w:tc>
        <w:tc>
          <w:tcPr>
            <w:tcW w:w="1694" w:type="pct"/>
            <w:shd w:val="clear" w:color="auto" w:fill="auto"/>
            <w:hideMark/>
          </w:tcPr>
          <w:p w14:paraId="78A7B6F8" w14:textId="3207DF9E" w:rsidR="00074E05" w:rsidRPr="007F0FA7" w:rsidRDefault="00D2136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Tumor maligno del tejido linfático, de otros órganos hematopoyéticos y de tejidos afines</w:t>
            </w:r>
          </w:p>
        </w:tc>
        <w:tc>
          <w:tcPr>
            <w:tcW w:w="1302" w:type="pct"/>
            <w:shd w:val="clear" w:color="auto" w:fill="FFFF00"/>
            <w:noWrap/>
            <w:hideMark/>
          </w:tcPr>
          <w:p w14:paraId="552350C3" w14:textId="64B2AC7D" w:rsidR="00074E05" w:rsidRPr="007F0FA7" w:rsidRDefault="00D2136F"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5,39</w:t>
            </w:r>
          </w:p>
        </w:tc>
        <w:tc>
          <w:tcPr>
            <w:tcW w:w="1036" w:type="pct"/>
            <w:shd w:val="clear" w:color="auto" w:fill="auto"/>
            <w:hideMark/>
          </w:tcPr>
          <w:p w14:paraId="46DE2EAB" w14:textId="68FE9102" w:rsidR="00074E05" w:rsidRPr="007F0FA7" w:rsidRDefault="00253EF3"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3,52</w:t>
            </w:r>
          </w:p>
        </w:tc>
      </w:tr>
      <w:tr w:rsidR="00E32CB0" w:rsidRPr="007F0FA7" w14:paraId="2D0FE41A" w14:textId="77777777" w:rsidTr="00735F2B">
        <w:trPr>
          <w:cnfStyle w:val="000000100000" w:firstRow="0" w:lastRow="0" w:firstColumn="0" w:lastColumn="0" w:oddVBand="0" w:evenVBand="0" w:oddHBand="1"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968" w:type="pct"/>
            <w:vMerge/>
            <w:shd w:val="clear" w:color="auto" w:fill="auto"/>
            <w:hideMark/>
          </w:tcPr>
          <w:p w14:paraId="2BAC6C00" w14:textId="77777777" w:rsidR="00074E05" w:rsidRPr="007F0FA7" w:rsidRDefault="00074E05" w:rsidP="00093B44">
            <w:pPr>
              <w:jc w:val="both"/>
              <w:rPr>
                <w:rFonts w:ascii="Humanst521 BT" w:hAnsi="Humanst521 BT" w:cs="Arial"/>
                <w:sz w:val="22"/>
                <w:szCs w:val="22"/>
              </w:rPr>
            </w:pPr>
          </w:p>
        </w:tc>
        <w:tc>
          <w:tcPr>
            <w:tcW w:w="1694" w:type="pct"/>
            <w:shd w:val="clear" w:color="auto" w:fill="auto"/>
            <w:hideMark/>
          </w:tcPr>
          <w:p w14:paraId="10B7F972" w14:textId="4AD13A92" w:rsidR="00074E05" w:rsidRPr="007F0FA7" w:rsidRDefault="00245DA6"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Tumores malignos de otras localizaciones y de las no especificadas</w:t>
            </w:r>
          </w:p>
        </w:tc>
        <w:tc>
          <w:tcPr>
            <w:tcW w:w="1302" w:type="pct"/>
            <w:shd w:val="clear" w:color="auto" w:fill="FFFF00"/>
            <w:noWrap/>
            <w:hideMark/>
          </w:tcPr>
          <w:p w14:paraId="7CE93BCA" w14:textId="37600D76" w:rsidR="00074E05" w:rsidRPr="007F0FA7" w:rsidRDefault="00124BD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5,39</w:t>
            </w:r>
          </w:p>
        </w:tc>
        <w:tc>
          <w:tcPr>
            <w:tcW w:w="1036" w:type="pct"/>
            <w:shd w:val="clear" w:color="auto" w:fill="auto"/>
            <w:hideMark/>
          </w:tcPr>
          <w:p w14:paraId="1AA7A920" w14:textId="02651475" w:rsidR="00074E05" w:rsidRPr="007F0FA7" w:rsidRDefault="00124BD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11,91</w:t>
            </w:r>
          </w:p>
        </w:tc>
      </w:tr>
      <w:tr w:rsidR="00E32CB0" w:rsidRPr="007F0FA7" w14:paraId="64413913" w14:textId="77777777" w:rsidTr="00735F2B">
        <w:trPr>
          <w:trHeight w:val="500"/>
        </w:trPr>
        <w:tc>
          <w:tcPr>
            <w:cnfStyle w:val="001000000000" w:firstRow="0" w:lastRow="0" w:firstColumn="1" w:lastColumn="0" w:oddVBand="0" w:evenVBand="0" w:oddHBand="0" w:evenHBand="0" w:firstRowFirstColumn="0" w:firstRowLastColumn="0" w:lastRowFirstColumn="0" w:lastRowLastColumn="0"/>
            <w:tcW w:w="968" w:type="pct"/>
            <w:vMerge/>
            <w:shd w:val="clear" w:color="auto" w:fill="auto"/>
            <w:hideMark/>
          </w:tcPr>
          <w:p w14:paraId="55AE8B1E" w14:textId="77777777" w:rsidR="00074E05" w:rsidRPr="007F0FA7" w:rsidRDefault="00074E05" w:rsidP="00093B44">
            <w:pPr>
              <w:jc w:val="both"/>
              <w:rPr>
                <w:rFonts w:ascii="Humanst521 BT" w:hAnsi="Humanst521 BT" w:cs="Arial"/>
                <w:sz w:val="22"/>
                <w:szCs w:val="22"/>
              </w:rPr>
            </w:pPr>
          </w:p>
        </w:tc>
        <w:tc>
          <w:tcPr>
            <w:tcW w:w="1694" w:type="pct"/>
            <w:shd w:val="clear" w:color="auto" w:fill="auto"/>
            <w:hideMark/>
          </w:tcPr>
          <w:p w14:paraId="241BD74A" w14:textId="088DD024" w:rsidR="00074E05" w:rsidRPr="007F0FA7" w:rsidRDefault="00124BD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Tumores in situ, benignos y los de comportamiento incierto o desconocido</w:t>
            </w:r>
          </w:p>
        </w:tc>
        <w:tc>
          <w:tcPr>
            <w:tcW w:w="1302" w:type="pct"/>
            <w:shd w:val="clear" w:color="auto" w:fill="FFFF00"/>
            <w:noWrap/>
            <w:hideMark/>
          </w:tcPr>
          <w:p w14:paraId="5B1F001B" w14:textId="75880365" w:rsidR="00074E05" w:rsidRPr="007F0FA7" w:rsidRDefault="00FE637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5,19</w:t>
            </w:r>
          </w:p>
        </w:tc>
        <w:tc>
          <w:tcPr>
            <w:tcW w:w="1036" w:type="pct"/>
            <w:shd w:val="clear" w:color="auto" w:fill="auto"/>
            <w:hideMark/>
          </w:tcPr>
          <w:p w14:paraId="4F53FDEC" w14:textId="0124AC03" w:rsidR="00074E05" w:rsidRPr="007F0FA7" w:rsidRDefault="00FE637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3,56</w:t>
            </w:r>
          </w:p>
        </w:tc>
      </w:tr>
      <w:tr w:rsidR="00E32CB0" w:rsidRPr="007F0FA7" w14:paraId="2887191C"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68" w:type="pct"/>
            <w:vMerge w:val="restart"/>
            <w:shd w:val="clear" w:color="auto" w:fill="auto"/>
            <w:hideMark/>
          </w:tcPr>
          <w:p w14:paraId="35376EC9"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Enfermedades sistema circulatorio</w:t>
            </w:r>
          </w:p>
          <w:p w14:paraId="2AA1E98A"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tc>
        <w:tc>
          <w:tcPr>
            <w:tcW w:w="1694" w:type="pct"/>
          </w:tcPr>
          <w:p w14:paraId="208928C7" w14:textId="4202D252" w:rsidR="00074E05" w:rsidRPr="007F0FA7" w:rsidRDefault="00D9203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Enfermedades isquémicas del corazón</w:t>
            </w:r>
          </w:p>
        </w:tc>
        <w:tc>
          <w:tcPr>
            <w:tcW w:w="1302" w:type="pct"/>
            <w:shd w:val="clear" w:color="auto" w:fill="92D050"/>
            <w:noWrap/>
          </w:tcPr>
          <w:p w14:paraId="48EE255F" w14:textId="3A15E763" w:rsidR="00074E05" w:rsidRPr="007F0FA7" w:rsidRDefault="00D9203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21,57</w:t>
            </w:r>
          </w:p>
        </w:tc>
        <w:tc>
          <w:tcPr>
            <w:tcW w:w="1036" w:type="pct"/>
            <w:shd w:val="clear" w:color="auto" w:fill="auto"/>
          </w:tcPr>
          <w:p w14:paraId="731C877F" w14:textId="59E3F437" w:rsidR="00074E05" w:rsidRPr="007F0FA7" w:rsidRDefault="0002155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70,21</w:t>
            </w:r>
          </w:p>
        </w:tc>
      </w:tr>
      <w:tr w:rsidR="00E32CB0" w:rsidRPr="007F0FA7" w14:paraId="1780E059" w14:textId="77777777" w:rsidTr="00735F2B">
        <w:trPr>
          <w:trHeight w:val="294"/>
        </w:trPr>
        <w:tc>
          <w:tcPr>
            <w:cnfStyle w:val="001000000000" w:firstRow="0" w:lastRow="0" w:firstColumn="1" w:lastColumn="0" w:oddVBand="0" w:evenVBand="0" w:oddHBand="0" w:evenHBand="0" w:firstRowFirstColumn="0" w:firstRowLastColumn="0" w:lastRowFirstColumn="0" w:lastRowLastColumn="0"/>
            <w:tcW w:w="968" w:type="pct"/>
            <w:vMerge/>
            <w:shd w:val="clear" w:color="auto" w:fill="auto"/>
            <w:hideMark/>
          </w:tcPr>
          <w:p w14:paraId="61DB1851" w14:textId="77777777" w:rsidR="00074E05" w:rsidRPr="007F0FA7" w:rsidRDefault="00074E05" w:rsidP="00093B44">
            <w:pPr>
              <w:jc w:val="both"/>
              <w:rPr>
                <w:rFonts w:ascii="Humanst521 BT" w:hAnsi="Humanst521 BT" w:cs="Arial"/>
                <w:sz w:val="22"/>
                <w:szCs w:val="22"/>
              </w:rPr>
            </w:pPr>
          </w:p>
        </w:tc>
        <w:tc>
          <w:tcPr>
            <w:tcW w:w="1694" w:type="pct"/>
            <w:shd w:val="clear" w:color="auto" w:fill="auto"/>
            <w:hideMark/>
          </w:tcPr>
          <w:p w14:paraId="2D40D0C4" w14:textId="140DBBAA" w:rsidR="00074E05" w:rsidRPr="007F0FA7" w:rsidRDefault="00E844A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Enfermedad cardiopulmonar, enfermedades de la circulación pulmonar y otras formas de enfermedad del corazón</w:t>
            </w:r>
          </w:p>
        </w:tc>
        <w:tc>
          <w:tcPr>
            <w:tcW w:w="1302" w:type="pct"/>
            <w:shd w:val="clear" w:color="auto" w:fill="FFFF00"/>
            <w:noWrap/>
            <w:hideMark/>
          </w:tcPr>
          <w:p w14:paraId="2A95B3EA" w14:textId="47E0F3DE"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w:t>
            </w:r>
            <w:r w:rsidR="00E844A2" w:rsidRPr="007F0FA7">
              <w:rPr>
                <w:rFonts w:ascii="Humanst521 BT" w:hAnsi="Humanst521 BT" w:cs="Arial"/>
                <w:sz w:val="22"/>
                <w:szCs w:val="22"/>
              </w:rPr>
              <w:t>15</w:t>
            </w:r>
          </w:p>
        </w:tc>
        <w:tc>
          <w:tcPr>
            <w:tcW w:w="1036" w:type="pct"/>
            <w:shd w:val="clear" w:color="auto" w:fill="auto"/>
            <w:hideMark/>
          </w:tcPr>
          <w:p w14:paraId="4C23E123" w14:textId="679B13D9" w:rsidR="00074E05" w:rsidRPr="007F0FA7" w:rsidRDefault="00FE23D6"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8,71</w:t>
            </w:r>
          </w:p>
        </w:tc>
      </w:tr>
      <w:tr w:rsidR="00E32CB0" w:rsidRPr="007F0FA7" w14:paraId="2A7F9412" w14:textId="77777777" w:rsidTr="00735F2B">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68" w:type="pct"/>
            <w:vMerge/>
            <w:shd w:val="clear" w:color="auto" w:fill="auto"/>
            <w:hideMark/>
          </w:tcPr>
          <w:p w14:paraId="462B67A3" w14:textId="77777777" w:rsidR="00074E05" w:rsidRPr="007F0FA7" w:rsidRDefault="00074E05" w:rsidP="00093B44">
            <w:pPr>
              <w:jc w:val="both"/>
              <w:rPr>
                <w:rFonts w:ascii="Humanst521 BT" w:hAnsi="Humanst521 BT" w:cs="Arial"/>
                <w:sz w:val="22"/>
                <w:szCs w:val="22"/>
              </w:rPr>
            </w:pPr>
          </w:p>
        </w:tc>
        <w:tc>
          <w:tcPr>
            <w:tcW w:w="1694" w:type="pct"/>
            <w:shd w:val="clear" w:color="auto" w:fill="auto"/>
            <w:hideMark/>
          </w:tcPr>
          <w:p w14:paraId="0A339FA0"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cerebrovasculares</w:t>
            </w:r>
          </w:p>
        </w:tc>
        <w:tc>
          <w:tcPr>
            <w:tcW w:w="1302" w:type="pct"/>
            <w:shd w:val="clear" w:color="auto" w:fill="92D050"/>
            <w:noWrap/>
            <w:hideMark/>
          </w:tcPr>
          <w:p w14:paraId="797F7492" w14:textId="789C3941" w:rsidR="00074E05" w:rsidRPr="007F0FA7" w:rsidRDefault="00FE23D6"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1,55</w:t>
            </w:r>
          </w:p>
        </w:tc>
        <w:tc>
          <w:tcPr>
            <w:tcW w:w="1036" w:type="pct"/>
            <w:shd w:val="clear" w:color="auto" w:fill="auto"/>
            <w:hideMark/>
          </w:tcPr>
          <w:p w14:paraId="29A7EEC4" w14:textId="4C210EDB"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w:t>
            </w:r>
            <w:r w:rsidR="00FE23D6" w:rsidRPr="007F0FA7">
              <w:rPr>
                <w:rFonts w:ascii="Humanst521 BT" w:hAnsi="Humanst521 BT" w:cs="Arial"/>
                <w:sz w:val="22"/>
                <w:szCs w:val="22"/>
              </w:rPr>
              <w:t>2</w:t>
            </w:r>
            <w:r w:rsidRPr="007F0FA7">
              <w:rPr>
                <w:rFonts w:ascii="Humanst521 BT" w:hAnsi="Humanst521 BT" w:cs="Arial"/>
                <w:sz w:val="22"/>
                <w:szCs w:val="22"/>
              </w:rPr>
              <w:t>,</w:t>
            </w:r>
            <w:r w:rsidR="00FE23D6" w:rsidRPr="007F0FA7">
              <w:rPr>
                <w:rFonts w:ascii="Humanst521 BT" w:hAnsi="Humanst521 BT" w:cs="Arial"/>
                <w:sz w:val="22"/>
                <w:szCs w:val="22"/>
              </w:rPr>
              <w:t>41</w:t>
            </w:r>
          </w:p>
        </w:tc>
      </w:tr>
      <w:tr w:rsidR="00E32CB0" w:rsidRPr="007F0FA7" w14:paraId="748C0A0F" w14:textId="77777777" w:rsidTr="00735F2B">
        <w:trPr>
          <w:trHeight w:val="70"/>
        </w:trPr>
        <w:tc>
          <w:tcPr>
            <w:cnfStyle w:val="001000000000" w:firstRow="0" w:lastRow="0" w:firstColumn="1" w:lastColumn="0" w:oddVBand="0" w:evenVBand="0" w:oddHBand="0" w:evenHBand="0" w:firstRowFirstColumn="0" w:firstRowLastColumn="0" w:lastRowFirstColumn="0" w:lastRowLastColumn="0"/>
            <w:tcW w:w="968" w:type="pct"/>
            <w:vMerge w:val="restart"/>
            <w:shd w:val="clear" w:color="auto" w:fill="auto"/>
            <w:hideMark/>
          </w:tcPr>
          <w:p w14:paraId="7B603939"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Las demás causas</w:t>
            </w:r>
          </w:p>
          <w:p w14:paraId="358032DF"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p w14:paraId="122C75E6"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p w14:paraId="4EB3A6B6"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p w14:paraId="5D0F69C2"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p w14:paraId="335928EB"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 </w:t>
            </w:r>
          </w:p>
        </w:tc>
        <w:tc>
          <w:tcPr>
            <w:tcW w:w="1694" w:type="pct"/>
            <w:shd w:val="clear" w:color="auto" w:fill="FBE4D5" w:themeFill="accent2" w:themeFillTint="33"/>
            <w:hideMark/>
          </w:tcPr>
          <w:p w14:paraId="7E83995B" w14:textId="703C2E61" w:rsidR="00074E05" w:rsidRPr="007F0FA7" w:rsidRDefault="004B1006"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Trastornos mentales y del comportamiento</w:t>
            </w:r>
          </w:p>
        </w:tc>
        <w:tc>
          <w:tcPr>
            <w:tcW w:w="1302" w:type="pct"/>
            <w:shd w:val="clear" w:color="auto" w:fill="FF0000"/>
            <w:noWrap/>
            <w:hideMark/>
          </w:tcPr>
          <w:p w14:paraId="199F3E08" w14:textId="335D9E45"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w:t>
            </w:r>
            <w:r w:rsidR="0008166F" w:rsidRPr="007F0FA7">
              <w:rPr>
                <w:rFonts w:ascii="Humanst521 BT" w:hAnsi="Humanst521 BT" w:cs="Arial"/>
                <w:sz w:val="22"/>
                <w:szCs w:val="22"/>
              </w:rPr>
              <w:t>8</w:t>
            </w:r>
            <w:r w:rsidRPr="007F0FA7">
              <w:rPr>
                <w:rFonts w:ascii="Humanst521 BT" w:hAnsi="Humanst521 BT" w:cs="Arial"/>
                <w:sz w:val="22"/>
                <w:szCs w:val="22"/>
              </w:rPr>
              <w:t>,</w:t>
            </w:r>
            <w:r w:rsidR="0008166F" w:rsidRPr="007F0FA7">
              <w:rPr>
                <w:rFonts w:ascii="Humanst521 BT" w:hAnsi="Humanst521 BT" w:cs="Arial"/>
                <w:sz w:val="22"/>
                <w:szCs w:val="22"/>
              </w:rPr>
              <w:t>94</w:t>
            </w:r>
          </w:p>
        </w:tc>
        <w:tc>
          <w:tcPr>
            <w:tcW w:w="1036" w:type="pct"/>
            <w:shd w:val="clear" w:color="auto" w:fill="auto"/>
            <w:hideMark/>
          </w:tcPr>
          <w:p w14:paraId="0D1B8A0F" w14:textId="6E99613A" w:rsidR="00074E05" w:rsidRPr="007F0FA7" w:rsidRDefault="000B783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5,47</w:t>
            </w:r>
          </w:p>
        </w:tc>
      </w:tr>
      <w:tr w:rsidR="00E32CB0" w:rsidRPr="007F0FA7" w14:paraId="09DFCB30" w14:textId="77777777" w:rsidTr="00735F2B">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968" w:type="pct"/>
            <w:vMerge/>
            <w:shd w:val="clear" w:color="auto" w:fill="auto"/>
            <w:hideMark/>
          </w:tcPr>
          <w:p w14:paraId="3B6ACC86" w14:textId="77777777" w:rsidR="00074E05" w:rsidRPr="007F0FA7" w:rsidRDefault="00074E05" w:rsidP="00093B44">
            <w:pPr>
              <w:jc w:val="both"/>
              <w:rPr>
                <w:rFonts w:ascii="Humanst521 BT" w:hAnsi="Humanst521 BT" w:cs="Arial"/>
                <w:sz w:val="22"/>
                <w:szCs w:val="22"/>
              </w:rPr>
            </w:pPr>
          </w:p>
        </w:tc>
        <w:tc>
          <w:tcPr>
            <w:tcW w:w="1694" w:type="pct"/>
            <w:shd w:val="clear" w:color="auto" w:fill="auto"/>
            <w:hideMark/>
          </w:tcPr>
          <w:p w14:paraId="0B34F9E3"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del sistema nervioso, excepto meningitis</w:t>
            </w:r>
          </w:p>
        </w:tc>
        <w:tc>
          <w:tcPr>
            <w:tcW w:w="1302" w:type="pct"/>
            <w:shd w:val="clear" w:color="auto" w:fill="92D050"/>
            <w:noWrap/>
            <w:hideMark/>
          </w:tcPr>
          <w:p w14:paraId="0A633EB4" w14:textId="29079747" w:rsidR="00074E05" w:rsidRPr="007F0FA7" w:rsidRDefault="000B783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5,39</w:t>
            </w:r>
          </w:p>
        </w:tc>
        <w:tc>
          <w:tcPr>
            <w:tcW w:w="1036" w:type="pct"/>
            <w:shd w:val="clear" w:color="auto" w:fill="auto"/>
            <w:hideMark/>
          </w:tcPr>
          <w:p w14:paraId="1C692C93"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9,14</w:t>
            </w:r>
          </w:p>
        </w:tc>
      </w:tr>
      <w:tr w:rsidR="00E32CB0" w:rsidRPr="007F0FA7" w14:paraId="5DF452F3" w14:textId="77777777" w:rsidTr="00735F2B">
        <w:trPr>
          <w:trHeight w:val="1583"/>
        </w:trPr>
        <w:tc>
          <w:tcPr>
            <w:cnfStyle w:val="001000000000" w:firstRow="0" w:lastRow="0" w:firstColumn="1" w:lastColumn="0" w:oddVBand="0" w:evenVBand="0" w:oddHBand="0" w:evenHBand="0" w:firstRowFirstColumn="0" w:firstRowLastColumn="0" w:lastRowFirstColumn="0" w:lastRowLastColumn="0"/>
            <w:tcW w:w="968" w:type="pct"/>
            <w:vMerge/>
            <w:shd w:val="clear" w:color="auto" w:fill="auto"/>
            <w:hideMark/>
          </w:tcPr>
          <w:p w14:paraId="6982A45C" w14:textId="77777777" w:rsidR="00A47527" w:rsidRPr="007F0FA7" w:rsidRDefault="00A47527" w:rsidP="00093B44">
            <w:pPr>
              <w:jc w:val="both"/>
              <w:rPr>
                <w:rFonts w:ascii="Humanst521 BT" w:hAnsi="Humanst521 BT" w:cs="Arial"/>
                <w:sz w:val="22"/>
                <w:szCs w:val="22"/>
              </w:rPr>
            </w:pPr>
          </w:p>
        </w:tc>
        <w:tc>
          <w:tcPr>
            <w:tcW w:w="1694" w:type="pct"/>
            <w:shd w:val="clear" w:color="auto" w:fill="auto"/>
            <w:hideMark/>
          </w:tcPr>
          <w:p w14:paraId="53E858E7" w14:textId="267D661A" w:rsidR="00A47527" w:rsidRPr="007F0FA7" w:rsidRDefault="00A4752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Resto de las enfermedades</w:t>
            </w:r>
          </w:p>
        </w:tc>
        <w:tc>
          <w:tcPr>
            <w:tcW w:w="1302" w:type="pct"/>
            <w:shd w:val="clear" w:color="auto" w:fill="92D050"/>
            <w:noWrap/>
            <w:hideMark/>
          </w:tcPr>
          <w:p w14:paraId="13A77CF3" w14:textId="5BCE0AC4" w:rsidR="00A47527" w:rsidRPr="007F0FA7" w:rsidRDefault="00A4752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5,39</w:t>
            </w:r>
          </w:p>
        </w:tc>
        <w:tc>
          <w:tcPr>
            <w:tcW w:w="1036" w:type="pct"/>
            <w:shd w:val="clear" w:color="auto" w:fill="auto"/>
            <w:hideMark/>
          </w:tcPr>
          <w:p w14:paraId="1B712064" w14:textId="4DBC7A05" w:rsidR="00A47527" w:rsidRPr="007F0FA7" w:rsidRDefault="00A4752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11,76</w:t>
            </w:r>
          </w:p>
        </w:tc>
      </w:tr>
    </w:tbl>
    <w:p w14:paraId="635BF926" w14:textId="00FACA26" w:rsidR="008431C6" w:rsidRPr="007F0FA7" w:rsidRDefault="00074E05" w:rsidP="00093B44">
      <w:pPr>
        <w:pStyle w:val="Cita"/>
        <w:spacing w:line="240" w:lineRule="auto"/>
        <w:jc w:val="both"/>
        <w:rPr>
          <w:rFonts w:ascii="Humanst521 BT" w:hAnsi="Humanst521 BT"/>
          <w:sz w:val="22"/>
          <w:szCs w:val="22"/>
        </w:rPr>
      </w:pPr>
      <w:r w:rsidRPr="007F0FA7">
        <w:rPr>
          <w:rFonts w:ascii="Humanst521 BT" w:hAnsi="Humanst521 BT"/>
          <w:sz w:val="22"/>
          <w:szCs w:val="22"/>
        </w:rPr>
        <w:t>Fuente: Bodega de Datos de SISPRO (SGD) 202</w:t>
      </w:r>
      <w:r w:rsidR="00CB1A94">
        <w:rPr>
          <w:rFonts w:ascii="Humanst521 BT" w:hAnsi="Humanst521 BT"/>
          <w:sz w:val="22"/>
          <w:szCs w:val="22"/>
        </w:rPr>
        <w:t>4</w:t>
      </w:r>
      <w:r w:rsidRPr="007F0FA7">
        <w:rPr>
          <w:rFonts w:ascii="Humanst521 BT" w:hAnsi="Humanst521 BT"/>
          <w:sz w:val="22"/>
          <w:szCs w:val="22"/>
          <w:vertAlign w:val="superscript"/>
        </w:rPr>
        <w:t>. *</w:t>
      </w:r>
      <w:r w:rsidRPr="007F0FA7">
        <w:rPr>
          <w:rFonts w:ascii="Humanst521 BT" w:hAnsi="Humanst521 BT"/>
          <w:sz w:val="22"/>
          <w:szCs w:val="22"/>
        </w:rPr>
        <w:t>tasa ajustada de mortalidad por 100.000 afiliados</w:t>
      </w:r>
    </w:p>
    <w:p w14:paraId="0F28A782" w14:textId="7B218193" w:rsidR="008431C6" w:rsidRPr="007F0FA7" w:rsidRDefault="0096414E" w:rsidP="00093B44">
      <w:pPr>
        <w:jc w:val="both"/>
        <w:rPr>
          <w:rFonts w:ascii="Humanst521 BT" w:hAnsi="Humanst521 BT"/>
        </w:rPr>
      </w:pPr>
      <w:r>
        <w:rPr>
          <w:rFonts w:ascii="Humanst521 BT" w:hAnsi="Humanst521 BT"/>
        </w:rPr>
        <w:lastRenderedPageBreak/>
        <w:t>Se</w:t>
      </w:r>
      <w:r w:rsidR="00D70F53" w:rsidRPr="007F0FA7">
        <w:rPr>
          <w:rFonts w:ascii="Humanst521 BT" w:hAnsi="Humanst521 BT"/>
        </w:rPr>
        <w:t xml:space="preserve"> presentan las ajustadas de mortalidad y sus subgrupos de causas para Santander</w:t>
      </w:r>
      <w:r w:rsidR="00B219D6" w:rsidRPr="007F0FA7">
        <w:rPr>
          <w:rFonts w:ascii="Humanst521 BT" w:hAnsi="Humanst521 BT"/>
        </w:rPr>
        <w:t xml:space="preserve"> y comparado con el departamento</w:t>
      </w:r>
      <w:r w:rsidR="00200F2C">
        <w:rPr>
          <w:rFonts w:ascii="Humanst521 BT" w:hAnsi="Humanst521 BT"/>
        </w:rPr>
        <w:t>, como lo muestra la siguiente figura</w:t>
      </w:r>
      <w:r w:rsidR="00B219D6" w:rsidRPr="007F0FA7">
        <w:rPr>
          <w:rFonts w:ascii="Humanst521 BT" w:hAnsi="Humanst521 BT"/>
        </w:rPr>
        <w:t>.</w:t>
      </w:r>
    </w:p>
    <w:p w14:paraId="068749D8" w14:textId="160EF8F5" w:rsidR="008431C6" w:rsidRPr="007F0FA7" w:rsidRDefault="008431C6" w:rsidP="00093B44">
      <w:pPr>
        <w:pStyle w:val="Descripcin"/>
        <w:spacing w:line="240" w:lineRule="auto"/>
        <w:jc w:val="both"/>
        <w:rPr>
          <w:rFonts w:ascii="Humanst521 BT" w:eastAsia="Verdana" w:hAnsi="Humanst521 BT" w:cs="Verdana"/>
          <w:color w:val="auto"/>
          <w:sz w:val="22"/>
          <w:szCs w:val="22"/>
          <w:lang w:val="es-ES"/>
        </w:rPr>
      </w:pPr>
      <w:bookmarkStart w:id="171" w:name="_Toc231286768"/>
      <w:r w:rsidRPr="007F0FA7">
        <w:rPr>
          <w:rFonts w:ascii="Humanst521 BT" w:eastAsia="Verdana" w:hAnsi="Humanst521 BT" w:cs="Verdana"/>
          <w:color w:val="auto"/>
          <w:sz w:val="22"/>
          <w:szCs w:val="22"/>
          <w:lang w:val="es-ES"/>
        </w:rPr>
        <w:t xml:space="preserve">Figura  </w:t>
      </w:r>
      <w:r w:rsidRPr="007F0FA7">
        <w:rPr>
          <w:rFonts w:ascii="Humanst521 BT" w:eastAsia="Verdana" w:hAnsi="Humanst521 BT" w:cs="Verdana"/>
          <w:color w:val="auto"/>
          <w:sz w:val="22"/>
          <w:szCs w:val="22"/>
          <w:lang w:val="es-ES"/>
        </w:rPr>
        <w:fldChar w:fldCharType="begin"/>
      </w:r>
      <w:r w:rsidRPr="007F0FA7">
        <w:rPr>
          <w:rFonts w:ascii="Humanst521 BT" w:eastAsia="Verdana" w:hAnsi="Humanst521 BT" w:cs="Verdana"/>
          <w:color w:val="auto"/>
          <w:sz w:val="22"/>
          <w:szCs w:val="22"/>
          <w:lang w:val="es-ES"/>
        </w:rPr>
        <w:instrText xml:space="preserve"> SEQ Figura_ \* ARABIC </w:instrText>
      </w:r>
      <w:r w:rsidRPr="007F0FA7">
        <w:rPr>
          <w:rFonts w:ascii="Humanst521 BT" w:eastAsia="Verdana" w:hAnsi="Humanst521 BT" w:cs="Verdana"/>
          <w:color w:val="auto"/>
          <w:sz w:val="22"/>
          <w:szCs w:val="22"/>
          <w:lang w:val="es-ES"/>
        </w:rPr>
        <w:fldChar w:fldCharType="separate"/>
      </w:r>
      <w:r w:rsidR="00C10A54">
        <w:rPr>
          <w:rFonts w:ascii="Humanst521 BT" w:eastAsia="Verdana" w:hAnsi="Humanst521 BT" w:cs="Verdana"/>
          <w:noProof/>
          <w:color w:val="auto"/>
          <w:sz w:val="22"/>
          <w:szCs w:val="22"/>
          <w:lang w:val="es-ES"/>
        </w:rPr>
        <w:t>6</w:t>
      </w:r>
      <w:r w:rsidRPr="007F0FA7">
        <w:rPr>
          <w:rFonts w:ascii="Humanst521 BT" w:eastAsia="Verdana" w:hAnsi="Humanst521 BT" w:cs="Verdana"/>
          <w:color w:val="auto"/>
          <w:sz w:val="22"/>
          <w:szCs w:val="22"/>
          <w:lang w:val="es-ES"/>
        </w:rPr>
        <w:fldChar w:fldCharType="end"/>
      </w:r>
      <w:r w:rsidR="00C10A54">
        <w:rPr>
          <w:rFonts w:ascii="Humanst521 BT" w:eastAsia="Verdana" w:hAnsi="Humanst521 BT" w:cs="Verdana"/>
          <w:color w:val="auto"/>
          <w:sz w:val="22"/>
          <w:szCs w:val="22"/>
          <w:lang w:val="es-ES"/>
        </w:rPr>
        <w:t xml:space="preserve">. </w:t>
      </w:r>
      <w:r w:rsidRPr="007F0FA7">
        <w:rPr>
          <w:rFonts w:ascii="Humanst521 BT" w:eastAsia="Verdana" w:hAnsi="Humanst521 BT" w:cs="Verdana"/>
          <w:color w:val="auto"/>
          <w:sz w:val="22"/>
          <w:szCs w:val="22"/>
          <w:lang w:val="es-ES"/>
        </w:rPr>
        <w:t xml:space="preserve"> Tasa ajustada de mortalidad por </w:t>
      </w:r>
      <w:r w:rsidR="00B219D6" w:rsidRPr="007F0FA7">
        <w:rPr>
          <w:rFonts w:ascii="Humanst521 BT" w:eastAsia="Verdana" w:hAnsi="Humanst521 BT" w:cs="Verdana"/>
          <w:color w:val="auto"/>
          <w:sz w:val="22"/>
          <w:szCs w:val="22"/>
          <w:lang w:val="es-ES"/>
        </w:rPr>
        <w:t>subgrupos</w:t>
      </w:r>
      <w:r w:rsidRPr="007F0FA7">
        <w:rPr>
          <w:rFonts w:ascii="Humanst521 BT" w:eastAsia="Verdana" w:hAnsi="Humanst521 BT" w:cs="Verdana"/>
          <w:color w:val="auto"/>
          <w:sz w:val="22"/>
          <w:szCs w:val="22"/>
          <w:lang w:val="es-ES"/>
        </w:rPr>
        <w:t xml:space="preserve"> en mujeres UISALUD, 202</w:t>
      </w:r>
      <w:r w:rsidR="00CB1A94">
        <w:rPr>
          <w:rFonts w:ascii="Humanst521 BT" w:eastAsia="Verdana" w:hAnsi="Humanst521 BT" w:cs="Verdana"/>
          <w:color w:val="auto"/>
          <w:sz w:val="22"/>
          <w:szCs w:val="22"/>
          <w:lang w:val="es-ES"/>
        </w:rPr>
        <w:t>4</w:t>
      </w:r>
      <w:bookmarkEnd w:id="171"/>
    </w:p>
    <w:p w14:paraId="00968AF3" w14:textId="2EFC4316" w:rsidR="009B2D3F" w:rsidRPr="007F0FA7" w:rsidRDefault="00AC430E" w:rsidP="00093B44">
      <w:pPr>
        <w:jc w:val="both"/>
        <w:rPr>
          <w:rFonts w:ascii="Humanst521 BT" w:hAnsi="Humanst521 BT"/>
          <w:lang w:val="es-CO"/>
        </w:rPr>
      </w:pPr>
      <w:r w:rsidRPr="007F0FA7">
        <w:rPr>
          <w:rFonts w:ascii="Humanst521 BT" w:hAnsi="Humanst521 BT"/>
          <w:noProof/>
        </w:rPr>
        <w:drawing>
          <wp:inline distT="0" distB="0" distL="0" distR="0" wp14:anchorId="1EA6739E" wp14:editId="18991164">
            <wp:extent cx="5995988" cy="3500438"/>
            <wp:effectExtent l="0" t="0" r="5080" b="5080"/>
            <wp:docPr id="58" name="Gráfico 58">
              <a:extLst xmlns:a="http://schemas.openxmlformats.org/drawingml/2006/main">
                <a:ext uri="{FF2B5EF4-FFF2-40B4-BE49-F238E27FC236}">
                  <a16:creationId xmlns:a16="http://schemas.microsoft.com/office/drawing/2014/main" id="{02AA83E6-2F0D-4BDA-B1CE-82073E6627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F54C80" w14:textId="4CA9B405" w:rsidR="005F06D2" w:rsidRPr="007F0FA7" w:rsidRDefault="006724FF" w:rsidP="00093B44">
      <w:pPr>
        <w:pStyle w:val="Cita"/>
        <w:spacing w:line="240" w:lineRule="auto"/>
        <w:jc w:val="both"/>
        <w:rPr>
          <w:rStyle w:val="nfasissutil"/>
          <w:rFonts w:ascii="Humanst521 BT" w:hAnsi="Humanst521 BT"/>
          <w:i/>
          <w:iCs/>
          <w:color w:val="auto"/>
          <w:sz w:val="22"/>
          <w:szCs w:val="22"/>
        </w:rPr>
      </w:pPr>
      <w:r w:rsidRPr="007F0FA7">
        <w:rPr>
          <w:rFonts w:ascii="Humanst521 BT" w:hAnsi="Humanst521 BT"/>
          <w:i w:val="0"/>
          <w:iCs w:val="0"/>
          <w:sz w:val="22"/>
          <w:szCs w:val="22"/>
        </w:rPr>
        <w:t>Fuente: Bodega de Datos de SISPRO (SGD) 202</w:t>
      </w:r>
      <w:r w:rsidR="00CB1A94">
        <w:rPr>
          <w:rFonts w:ascii="Humanst521 BT" w:hAnsi="Humanst521 BT"/>
          <w:i w:val="0"/>
          <w:iCs w:val="0"/>
          <w:sz w:val="22"/>
          <w:szCs w:val="22"/>
        </w:rPr>
        <w:t>4</w:t>
      </w:r>
      <w:r w:rsidRPr="007F0FA7">
        <w:rPr>
          <w:rFonts w:ascii="Humanst521 BT" w:hAnsi="Humanst521 BT"/>
          <w:i w:val="0"/>
          <w:iCs w:val="0"/>
          <w:sz w:val="22"/>
          <w:szCs w:val="22"/>
          <w:vertAlign w:val="superscript"/>
        </w:rPr>
        <w:t>. *</w:t>
      </w:r>
      <w:r w:rsidRPr="007F0FA7">
        <w:rPr>
          <w:rFonts w:ascii="Humanst521 BT" w:hAnsi="Humanst521 BT"/>
          <w:i w:val="0"/>
          <w:iCs w:val="0"/>
          <w:sz w:val="22"/>
          <w:szCs w:val="22"/>
        </w:rPr>
        <w:t>tasa ajustada de mortalidad por 100.000 afiliados</w:t>
      </w:r>
    </w:p>
    <w:p w14:paraId="7C19D4C7" w14:textId="65ACB053" w:rsidR="00074E05" w:rsidRPr="007F0FA7" w:rsidRDefault="005F06D2" w:rsidP="00093B44">
      <w:pPr>
        <w:jc w:val="both"/>
        <w:rPr>
          <w:rStyle w:val="nfasissutil"/>
          <w:rFonts w:ascii="Humanst521 BT" w:hAnsi="Humanst521 BT"/>
          <w:color w:val="auto"/>
        </w:rPr>
      </w:pPr>
      <w:r w:rsidRPr="007F0FA7">
        <w:rPr>
          <w:rStyle w:val="nfasissutil"/>
          <w:rFonts w:ascii="Humanst521 BT" w:hAnsi="Humanst521 BT"/>
          <w:color w:val="auto"/>
        </w:rPr>
        <w:t>No se presentaron eventos de mortalidad en otros departamento o municipios.</w:t>
      </w:r>
    </w:p>
    <w:p w14:paraId="0C62CACE" w14:textId="77777777" w:rsidR="00915445" w:rsidRPr="007F0FA7" w:rsidRDefault="00915445" w:rsidP="00093B44">
      <w:pPr>
        <w:jc w:val="both"/>
        <w:rPr>
          <w:rFonts w:ascii="Humanst521 BT" w:hAnsi="Humanst521 BT"/>
        </w:rPr>
      </w:pPr>
    </w:p>
    <w:p w14:paraId="0604E0D7" w14:textId="77777777" w:rsidR="00074E05" w:rsidRPr="007F0FA7" w:rsidRDefault="00074E05" w:rsidP="00093B44">
      <w:pPr>
        <w:pStyle w:val="Ttulo5"/>
      </w:pPr>
      <w:bookmarkStart w:id="172" w:name="_Toc161297424"/>
      <w:r w:rsidRPr="007F0FA7">
        <w:t>Mortalidad especifica por subgrupo de causas en hombres (tasas ajustadas por edad)</w:t>
      </w:r>
      <w:bookmarkEnd w:id="172"/>
    </w:p>
    <w:p w14:paraId="0432460A" w14:textId="77777777" w:rsidR="00074E05" w:rsidRPr="007F0FA7" w:rsidRDefault="00074E05" w:rsidP="00093B44">
      <w:pPr>
        <w:adjustRightInd w:val="0"/>
        <w:jc w:val="both"/>
        <w:rPr>
          <w:rFonts w:ascii="Humanst521 BT" w:hAnsi="Humanst521 BT" w:cs="Arial"/>
        </w:rPr>
      </w:pPr>
    </w:p>
    <w:p w14:paraId="7419B831" w14:textId="77777777" w:rsidR="003E5572" w:rsidRPr="007F0FA7" w:rsidRDefault="003E5572" w:rsidP="00093B44">
      <w:pPr>
        <w:jc w:val="both"/>
        <w:rPr>
          <w:rFonts w:ascii="Humanst521 BT" w:hAnsi="Humanst521 BT"/>
          <w:lang w:val="es-CO"/>
        </w:rPr>
      </w:pPr>
      <w:r w:rsidRPr="007F0FA7">
        <w:rPr>
          <w:rFonts w:ascii="Humanst521 BT" w:hAnsi="Humanst521 BT"/>
          <w:lang w:val="es-CO"/>
        </w:rPr>
        <w:t>A continuación, se presentan las causas de mortalidad en hombres según subgrupos de causas para UISALUD en Santander:</w:t>
      </w:r>
    </w:p>
    <w:p w14:paraId="04ADDFE9" w14:textId="77777777" w:rsidR="00756704" w:rsidRPr="007F0FA7" w:rsidRDefault="00756704" w:rsidP="00093B44">
      <w:pPr>
        <w:jc w:val="both"/>
        <w:rPr>
          <w:rFonts w:ascii="Humanst521 BT" w:hAnsi="Humanst521 BT"/>
          <w:b/>
          <w:bCs/>
          <w:lang w:val="es-CO"/>
        </w:rPr>
      </w:pPr>
    </w:p>
    <w:p w14:paraId="710E91DD" w14:textId="77777777" w:rsidR="00775076" w:rsidRPr="007F0FA7" w:rsidRDefault="00775076" w:rsidP="00093B44">
      <w:pPr>
        <w:pStyle w:val="NormalWeb"/>
        <w:jc w:val="both"/>
        <w:rPr>
          <w:rFonts w:ascii="Humanst521 BT" w:hAnsi="Humanst521 BT"/>
          <w:sz w:val="22"/>
          <w:szCs w:val="22"/>
        </w:rPr>
      </w:pPr>
      <w:r w:rsidRPr="007F0FA7">
        <w:rPr>
          <w:rStyle w:val="Textoennegrita"/>
          <w:rFonts w:ascii="Humanst521 BT" w:hAnsi="Humanst521 BT"/>
          <w:sz w:val="22"/>
          <w:szCs w:val="22"/>
        </w:rPr>
        <w:t>Mortalidad por enfermedades transmisibles</w:t>
      </w:r>
      <w:r w:rsidRPr="007F0FA7">
        <w:rPr>
          <w:rFonts w:ascii="Humanst521 BT" w:hAnsi="Humanst521 BT"/>
          <w:sz w:val="22"/>
          <w:szCs w:val="22"/>
        </w:rPr>
        <w:t xml:space="preserve">: La principal </w:t>
      </w:r>
      <w:proofErr w:type="spellStart"/>
      <w:r w:rsidRPr="007F0FA7">
        <w:rPr>
          <w:rFonts w:ascii="Humanst521 BT" w:hAnsi="Humanst521 BT"/>
          <w:sz w:val="22"/>
          <w:szCs w:val="22"/>
        </w:rPr>
        <w:t>subcausa</w:t>
      </w:r>
      <w:proofErr w:type="spellEnd"/>
      <w:r w:rsidRPr="007F0FA7">
        <w:rPr>
          <w:rFonts w:ascii="Humanst521 BT" w:hAnsi="Humanst521 BT"/>
          <w:sz w:val="22"/>
          <w:szCs w:val="22"/>
        </w:rPr>
        <w:t xml:space="preserve"> fue la mortalidad por </w:t>
      </w:r>
      <w:r w:rsidRPr="007F0FA7">
        <w:rPr>
          <w:rStyle w:val="Textoennegrita"/>
          <w:rFonts w:ascii="Humanst521 BT" w:hAnsi="Humanst521 BT"/>
          <w:sz w:val="22"/>
          <w:szCs w:val="22"/>
        </w:rPr>
        <w:t>infecciones respiratorias agudas</w:t>
      </w:r>
      <w:r w:rsidRPr="007F0FA7">
        <w:rPr>
          <w:rFonts w:ascii="Humanst521 BT" w:hAnsi="Humanst521 BT"/>
          <w:sz w:val="22"/>
          <w:szCs w:val="22"/>
        </w:rPr>
        <w:t>, cuya tasa fue inferior a la reportada por el departamento, sin presentar una diferencia significativa.</w:t>
      </w:r>
    </w:p>
    <w:p w14:paraId="56FECBB6" w14:textId="77777777" w:rsidR="00775076" w:rsidRPr="007F0FA7" w:rsidRDefault="00775076" w:rsidP="00093B44">
      <w:pPr>
        <w:pStyle w:val="NormalWeb"/>
        <w:jc w:val="both"/>
        <w:rPr>
          <w:rFonts w:ascii="Humanst521 BT" w:hAnsi="Humanst521 BT"/>
          <w:sz w:val="22"/>
          <w:szCs w:val="22"/>
        </w:rPr>
      </w:pPr>
      <w:r w:rsidRPr="007F0FA7">
        <w:rPr>
          <w:rStyle w:val="Textoennegrita"/>
          <w:rFonts w:ascii="Humanst521 BT" w:hAnsi="Humanst521 BT"/>
          <w:sz w:val="22"/>
          <w:szCs w:val="22"/>
        </w:rPr>
        <w:t>Mortalidad por neoplasias</w:t>
      </w:r>
      <w:r w:rsidRPr="007F0FA7">
        <w:rPr>
          <w:rFonts w:ascii="Humanst521 BT" w:hAnsi="Humanst521 BT"/>
          <w:sz w:val="22"/>
          <w:szCs w:val="22"/>
        </w:rPr>
        <w:t xml:space="preserve">: En hombres, las principales subcausas fueron el </w:t>
      </w:r>
      <w:r w:rsidRPr="007F0FA7">
        <w:rPr>
          <w:rStyle w:val="Textoennegrita"/>
          <w:rFonts w:ascii="Humanst521 BT" w:hAnsi="Humanst521 BT"/>
          <w:sz w:val="22"/>
          <w:szCs w:val="22"/>
        </w:rPr>
        <w:t>tumor maligno de los órganos digestivos y del peritoneo</w:t>
      </w:r>
      <w:r w:rsidRPr="007F0FA7">
        <w:rPr>
          <w:rFonts w:ascii="Humanst521 BT" w:hAnsi="Humanst521 BT"/>
          <w:sz w:val="22"/>
          <w:szCs w:val="22"/>
        </w:rPr>
        <w:t xml:space="preserve"> (excepto estómago y colon), los </w:t>
      </w:r>
      <w:r w:rsidRPr="007F0FA7">
        <w:rPr>
          <w:rStyle w:val="Textoennegrita"/>
          <w:rFonts w:ascii="Humanst521 BT" w:hAnsi="Humanst521 BT"/>
          <w:sz w:val="22"/>
          <w:szCs w:val="22"/>
        </w:rPr>
        <w:t>tumores in situ, benignos y de comportamiento incierto o desconocido</w:t>
      </w:r>
      <w:r w:rsidRPr="007F0FA7">
        <w:rPr>
          <w:rFonts w:ascii="Humanst521 BT" w:hAnsi="Humanst521 BT"/>
          <w:sz w:val="22"/>
          <w:szCs w:val="22"/>
        </w:rPr>
        <w:t xml:space="preserve">, y el </w:t>
      </w:r>
      <w:r w:rsidRPr="007F0FA7">
        <w:rPr>
          <w:rStyle w:val="Textoennegrita"/>
          <w:rFonts w:ascii="Humanst521 BT" w:hAnsi="Humanst521 BT"/>
          <w:sz w:val="22"/>
          <w:szCs w:val="22"/>
        </w:rPr>
        <w:t>tumor maligno de otros órganos genitourinarios</w:t>
      </w:r>
      <w:r w:rsidRPr="007F0FA7">
        <w:rPr>
          <w:rFonts w:ascii="Humanst521 BT" w:hAnsi="Humanst521 BT"/>
          <w:sz w:val="22"/>
          <w:szCs w:val="22"/>
        </w:rPr>
        <w:t>. Todas estas subcausas presentaron tasas superiores a las reportadas por el departamento, con diferencias significativas.</w:t>
      </w:r>
    </w:p>
    <w:p w14:paraId="07D9EBD9" w14:textId="77777777" w:rsidR="00775076" w:rsidRPr="007F0FA7" w:rsidRDefault="00775076" w:rsidP="00093B44">
      <w:pPr>
        <w:pStyle w:val="NormalWeb"/>
        <w:jc w:val="both"/>
        <w:rPr>
          <w:rFonts w:ascii="Humanst521 BT" w:hAnsi="Humanst521 BT"/>
          <w:sz w:val="22"/>
          <w:szCs w:val="22"/>
        </w:rPr>
      </w:pPr>
      <w:r w:rsidRPr="007F0FA7">
        <w:rPr>
          <w:rStyle w:val="Textoennegrita"/>
          <w:rFonts w:ascii="Humanst521 BT" w:hAnsi="Humanst521 BT"/>
          <w:sz w:val="22"/>
          <w:szCs w:val="22"/>
        </w:rPr>
        <w:lastRenderedPageBreak/>
        <w:t>Mortalidad por enfermedades del sistema circulatorio</w:t>
      </w:r>
      <w:r w:rsidRPr="007F0FA7">
        <w:rPr>
          <w:rFonts w:ascii="Humanst521 BT" w:hAnsi="Humanst521 BT"/>
          <w:sz w:val="22"/>
          <w:szCs w:val="22"/>
        </w:rPr>
        <w:t xml:space="preserve">: Las principales subcausas fueron las </w:t>
      </w:r>
      <w:r w:rsidRPr="007F0FA7">
        <w:rPr>
          <w:rStyle w:val="Textoennegrita"/>
          <w:rFonts w:ascii="Humanst521 BT" w:hAnsi="Humanst521 BT"/>
          <w:sz w:val="22"/>
          <w:szCs w:val="22"/>
        </w:rPr>
        <w:t>enfermedades cerebrovasculares</w:t>
      </w:r>
      <w:r w:rsidRPr="007F0FA7">
        <w:rPr>
          <w:rFonts w:ascii="Humanst521 BT" w:hAnsi="Humanst521 BT"/>
          <w:sz w:val="22"/>
          <w:szCs w:val="22"/>
        </w:rPr>
        <w:t xml:space="preserve">, cuya tasa fue superior al promedio departamental; las </w:t>
      </w:r>
      <w:r w:rsidRPr="007F0FA7">
        <w:rPr>
          <w:rStyle w:val="Textoennegrita"/>
          <w:rFonts w:ascii="Humanst521 BT" w:hAnsi="Humanst521 BT"/>
          <w:sz w:val="22"/>
          <w:szCs w:val="22"/>
        </w:rPr>
        <w:t>enfermedades isquémicas del corazón</w:t>
      </w:r>
      <w:r w:rsidRPr="007F0FA7">
        <w:rPr>
          <w:rFonts w:ascii="Humanst521 BT" w:hAnsi="Humanst521 BT"/>
          <w:sz w:val="22"/>
          <w:szCs w:val="22"/>
        </w:rPr>
        <w:t xml:space="preserve">, que tuvieron una tasa inferior al promedio del departamento y una diferencia significativa; y la </w:t>
      </w:r>
      <w:r w:rsidRPr="007F0FA7">
        <w:rPr>
          <w:rStyle w:val="Textoennegrita"/>
          <w:rFonts w:ascii="Humanst521 BT" w:hAnsi="Humanst521 BT"/>
          <w:sz w:val="22"/>
          <w:szCs w:val="22"/>
        </w:rPr>
        <w:t>enfermedad cardiopulmonar</w:t>
      </w:r>
      <w:r w:rsidRPr="007F0FA7">
        <w:rPr>
          <w:rFonts w:ascii="Humanst521 BT" w:hAnsi="Humanst521 BT"/>
          <w:sz w:val="22"/>
          <w:szCs w:val="22"/>
        </w:rPr>
        <w:t xml:space="preserve">, así como las </w:t>
      </w:r>
      <w:r w:rsidRPr="007F0FA7">
        <w:rPr>
          <w:rStyle w:val="Textoennegrita"/>
          <w:rFonts w:ascii="Humanst521 BT" w:hAnsi="Humanst521 BT"/>
          <w:sz w:val="22"/>
          <w:szCs w:val="22"/>
        </w:rPr>
        <w:t>enfermedades de la circulación pulmonar y otras formas de enfermedad del corazón</w:t>
      </w:r>
      <w:r w:rsidRPr="007F0FA7">
        <w:rPr>
          <w:rFonts w:ascii="Humanst521 BT" w:hAnsi="Humanst521 BT"/>
          <w:sz w:val="22"/>
          <w:szCs w:val="22"/>
        </w:rPr>
        <w:t>, que presentaron una tasa superior a la del departamento.</w:t>
      </w:r>
    </w:p>
    <w:p w14:paraId="486777F6" w14:textId="7D1863BB" w:rsidR="00074E05" w:rsidRPr="007F0FA7" w:rsidRDefault="00775076" w:rsidP="00093B44">
      <w:pPr>
        <w:pStyle w:val="NormalWeb"/>
        <w:jc w:val="both"/>
        <w:rPr>
          <w:rFonts w:ascii="Humanst521 BT" w:hAnsi="Humanst521 BT"/>
          <w:sz w:val="22"/>
          <w:szCs w:val="22"/>
        </w:rPr>
      </w:pPr>
      <w:r w:rsidRPr="007F0FA7">
        <w:rPr>
          <w:rStyle w:val="Textoennegrita"/>
          <w:rFonts w:ascii="Humanst521 BT" w:hAnsi="Humanst521 BT"/>
          <w:sz w:val="22"/>
          <w:szCs w:val="22"/>
        </w:rPr>
        <w:t>Mortalidad por otras causas</w:t>
      </w:r>
      <w:r w:rsidRPr="007F0FA7">
        <w:rPr>
          <w:rFonts w:ascii="Humanst521 BT" w:hAnsi="Humanst521 BT"/>
          <w:sz w:val="22"/>
          <w:szCs w:val="22"/>
        </w:rPr>
        <w:t xml:space="preserve">: La única </w:t>
      </w:r>
      <w:proofErr w:type="spellStart"/>
      <w:r w:rsidRPr="007F0FA7">
        <w:rPr>
          <w:rFonts w:ascii="Humanst521 BT" w:hAnsi="Humanst521 BT"/>
          <w:sz w:val="22"/>
          <w:szCs w:val="22"/>
        </w:rPr>
        <w:t>subcausa</w:t>
      </w:r>
      <w:proofErr w:type="spellEnd"/>
      <w:r w:rsidRPr="007F0FA7">
        <w:rPr>
          <w:rFonts w:ascii="Humanst521 BT" w:hAnsi="Humanst521 BT"/>
          <w:sz w:val="22"/>
          <w:szCs w:val="22"/>
        </w:rPr>
        <w:t xml:space="preserve"> destacada en este grupo fue la mortalidad por </w:t>
      </w:r>
      <w:r w:rsidRPr="007F0FA7">
        <w:rPr>
          <w:rStyle w:val="Textoennegrita"/>
          <w:rFonts w:ascii="Humanst521 BT" w:hAnsi="Humanst521 BT"/>
          <w:sz w:val="22"/>
          <w:szCs w:val="22"/>
        </w:rPr>
        <w:t>trastornos mentales y del comportamiento</w:t>
      </w:r>
      <w:r w:rsidRPr="007F0FA7">
        <w:rPr>
          <w:rFonts w:ascii="Humanst521 BT" w:hAnsi="Humanst521 BT"/>
          <w:sz w:val="22"/>
          <w:szCs w:val="22"/>
        </w:rPr>
        <w:t>, con una tasa superior a la del departamento y una diferencia significativa.</w:t>
      </w:r>
    </w:p>
    <w:p w14:paraId="38AE2C76" w14:textId="3B418027" w:rsidR="00074E05" w:rsidRPr="007F0FA7" w:rsidRDefault="00074E05" w:rsidP="00093B44">
      <w:pPr>
        <w:jc w:val="both"/>
        <w:rPr>
          <w:rFonts w:ascii="Humanst521 BT" w:hAnsi="Humanst521 BT" w:cs="Arial"/>
        </w:rPr>
      </w:pPr>
      <w:r w:rsidRPr="007F0FA7">
        <w:rPr>
          <w:rFonts w:ascii="Humanst521 BT" w:hAnsi="Humanst521 BT" w:cs="Arial"/>
        </w:rPr>
        <w:t>E</w:t>
      </w:r>
      <w:r w:rsidR="008F2F09">
        <w:rPr>
          <w:rFonts w:ascii="Humanst521 BT" w:hAnsi="Humanst521 BT" w:cs="Arial"/>
        </w:rPr>
        <w:t>n la siguiente tabla</w:t>
      </w:r>
      <w:r w:rsidRPr="007F0FA7">
        <w:rPr>
          <w:rFonts w:ascii="Humanst521 BT" w:hAnsi="Humanst521 BT" w:cs="Arial"/>
        </w:rPr>
        <w:t xml:space="preserve">, se presenta la mortalidad por subgrupos en hombres para Santander.   </w:t>
      </w:r>
    </w:p>
    <w:p w14:paraId="0CEC805D" w14:textId="2D43E59E" w:rsidR="00074E05" w:rsidRPr="00D92A24"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173" w:name="_Toc161298180"/>
      <w:bookmarkStart w:id="174" w:name="_Toc161318800"/>
      <w:bookmarkStart w:id="175" w:name="_Toc231286283"/>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D92A24" w:rsidRPr="00D92A24">
        <w:rPr>
          <w:rFonts w:ascii="Humanst521 BT" w:eastAsia="Verdana" w:hAnsi="Humanst521 BT" w:cs="Verdana"/>
          <w:b w:val="0"/>
          <w:bCs w:val="0"/>
          <w:noProof/>
          <w:color w:val="auto"/>
          <w:sz w:val="22"/>
          <w:szCs w:val="22"/>
          <w:lang w:val="es-ES"/>
        </w:rPr>
        <w:t>38</w:t>
      </w:r>
      <w:r w:rsidRPr="00D92A24">
        <w:rPr>
          <w:rFonts w:ascii="Humanst521 BT" w:eastAsia="Verdana" w:hAnsi="Humanst521 BT" w:cs="Verdana"/>
          <w:b w:val="0"/>
          <w:bCs w:val="0"/>
          <w:color w:val="auto"/>
          <w:sz w:val="22"/>
          <w:szCs w:val="22"/>
          <w:lang w:val="es-ES"/>
        </w:rPr>
        <w:fldChar w:fldCharType="end"/>
      </w:r>
      <w:r w:rsidR="00D92A24" w:rsidRPr="00D92A24">
        <w:rPr>
          <w:rFonts w:ascii="Humanst521 BT" w:eastAsia="Verdana" w:hAnsi="Humanst521 BT" w:cs="Verdana"/>
          <w:b w:val="0"/>
          <w:bCs w:val="0"/>
          <w:color w:val="auto"/>
          <w:sz w:val="22"/>
          <w:szCs w:val="22"/>
          <w:lang w:val="es-ES"/>
        </w:rPr>
        <w:t>.</w:t>
      </w:r>
      <w:r w:rsidRPr="00D92A24">
        <w:rPr>
          <w:rFonts w:ascii="Humanst521 BT" w:eastAsia="Verdana" w:hAnsi="Humanst521 BT" w:cs="Verdana"/>
          <w:b w:val="0"/>
          <w:bCs w:val="0"/>
          <w:color w:val="auto"/>
          <w:sz w:val="22"/>
          <w:szCs w:val="22"/>
          <w:lang w:val="es-ES"/>
        </w:rPr>
        <w:t xml:space="preserve"> Tasa de mortalidad ajustada por edad, según subgrupos de muerte en hombres, UISALUD Santander, 202</w:t>
      </w:r>
      <w:bookmarkEnd w:id="173"/>
      <w:bookmarkEnd w:id="174"/>
      <w:r w:rsidR="00C21B23" w:rsidRPr="00D92A24">
        <w:rPr>
          <w:rFonts w:ascii="Humanst521 BT" w:eastAsia="Verdana" w:hAnsi="Humanst521 BT" w:cs="Verdana"/>
          <w:b w:val="0"/>
          <w:bCs w:val="0"/>
          <w:color w:val="auto"/>
          <w:sz w:val="22"/>
          <w:szCs w:val="22"/>
          <w:lang w:val="es-ES"/>
        </w:rPr>
        <w:t>4</w:t>
      </w:r>
      <w:bookmarkEnd w:id="175"/>
    </w:p>
    <w:tbl>
      <w:tblPr>
        <w:tblStyle w:val="Tablaconcuadrcula4-nfasis2"/>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3187"/>
        <w:gridCol w:w="1982"/>
        <w:gridCol w:w="1945"/>
      </w:tblGrid>
      <w:tr w:rsidR="00E32CB0" w:rsidRPr="007F0FA7" w14:paraId="46A29413" w14:textId="77777777" w:rsidTr="00735F2B">
        <w:trPr>
          <w:cnfStyle w:val="100000000000" w:firstRow="1" w:lastRow="0" w:firstColumn="0" w:lastColumn="0" w:oddVBand="0" w:evenVBand="0" w:oddHBand="0" w:evenHBand="0" w:firstRowFirstColumn="0" w:firstRowLastColumn="0" w:lastRowFirstColumn="0" w:lastRowLastColumn="0"/>
          <w:trHeight w:val="331"/>
          <w:tblHeader/>
        </w:trPr>
        <w:tc>
          <w:tcPr>
            <w:cnfStyle w:val="001000000000" w:firstRow="0" w:lastRow="0" w:firstColumn="1" w:lastColumn="0" w:oddVBand="0" w:evenVBand="0" w:oddHBand="0" w:evenHBand="0" w:firstRowFirstColumn="0" w:firstRowLastColumn="0" w:lastRowFirstColumn="0" w:lastRowLastColumn="0"/>
            <w:tcW w:w="1127"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68052CED" w14:textId="77777777" w:rsidR="00074E05" w:rsidRPr="007F0FA7" w:rsidRDefault="00074E05" w:rsidP="00093B44">
            <w:pPr>
              <w:jc w:val="both"/>
              <w:rPr>
                <w:rFonts w:ascii="Humanst521 BT" w:hAnsi="Humanst521 BT" w:cs="Arial"/>
                <w:color w:val="auto"/>
                <w:sz w:val="22"/>
                <w:szCs w:val="22"/>
                <w:lang w:eastAsia="es-CO"/>
              </w:rPr>
            </w:pPr>
            <w:bookmarkStart w:id="176" w:name="_Hlk156507717"/>
            <w:r w:rsidRPr="007F0FA7">
              <w:rPr>
                <w:rFonts w:ascii="Humanst521 BT" w:hAnsi="Humanst521 BT" w:cs="Arial"/>
                <w:color w:val="auto"/>
                <w:sz w:val="22"/>
                <w:szCs w:val="22"/>
              </w:rPr>
              <w:t>Grupos de muerte según lista 6/67 OPS-OMS</w:t>
            </w:r>
          </w:p>
        </w:tc>
        <w:tc>
          <w:tcPr>
            <w:tcW w:w="1735"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29996255"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Subgrupos de muerte</w:t>
            </w:r>
          </w:p>
        </w:tc>
        <w:tc>
          <w:tcPr>
            <w:tcW w:w="1079"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7C5E0F5F"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mortalidad UISALUD </w:t>
            </w:r>
            <w:r w:rsidRPr="007F0FA7">
              <w:rPr>
                <w:rFonts w:ascii="Humanst521 BT" w:hAnsi="Humanst521 BT" w:cs="Arial"/>
                <w:color w:val="auto"/>
                <w:sz w:val="22"/>
                <w:szCs w:val="22"/>
                <w:vertAlign w:val="superscript"/>
              </w:rPr>
              <w:t>*</w:t>
            </w:r>
          </w:p>
        </w:tc>
        <w:tc>
          <w:tcPr>
            <w:tcW w:w="1059"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3F80AE11"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Tasa ajustada de mortalidad departamento de Santander</w:t>
            </w:r>
            <w:r w:rsidRPr="007F0FA7">
              <w:rPr>
                <w:rFonts w:ascii="Humanst521 BT" w:hAnsi="Humanst521 BT" w:cs="Arial"/>
                <w:color w:val="auto"/>
                <w:sz w:val="22"/>
                <w:szCs w:val="22"/>
                <w:vertAlign w:val="superscript"/>
              </w:rPr>
              <w:t>*</w:t>
            </w:r>
          </w:p>
        </w:tc>
      </w:tr>
      <w:tr w:rsidR="00E32CB0" w:rsidRPr="007F0FA7" w14:paraId="40D9A0A0" w14:textId="77777777" w:rsidTr="00735F2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hideMark/>
          </w:tcPr>
          <w:p w14:paraId="661764D5"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Enfermedades transmisibles</w:t>
            </w:r>
          </w:p>
        </w:tc>
        <w:tc>
          <w:tcPr>
            <w:tcW w:w="1735" w:type="pct"/>
            <w:shd w:val="clear" w:color="auto" w:fill="auto"/>
          </w:tcPr>
          <w:p w14:paraId="2A84279B" w14:textId="4733D028" w:rsidR="00074E05" w:rsidRPr="007F0FA7" w:rsidRDefault="00FE0F8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Infecciones respiratorias agudas</w:t>
            </w:r>
          </w:p>
        </w:tc>
        <w:tc>
          <w:tcPr>
            <w:tcW w:w="1079" w:type="pct"/>
            <w:shd w:val="clear" w:color="auto" w:fill="FFFF00"/>
            <w:noWrap/>
          </w:tcPr>
          <w:p w14:paraId="2AF03230" w14:textId="02009864" w:rsidR="00074E05" w:rsidRPr="007F0FA7" w:rsidRDefault="00FE0F8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10,94</w:t>
            </w:r>
          </w:p>
        </w:tc>
        <w:tc>
          <w:tcPr>
            <w:tcW w:w="1059" w:type="pct"/>
            <w:shd w:val="clear" w:color="auto" w:fill="auto"/>
          </w:tcPr>
          <w:p w14:paraId="5BC21CD9" w14:textId="63EC60E7" w:rsidR="00074E05" w:rsidRPr="007F0FA7" w:rsidRDefault="00FE0F8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17,7</w:t>
            </w:r>
          </w:p>
        </w:tc>
      </w:tr>
      <w:tr w:rsidR="00E32CB0" w:rsidRPr="007F0FA7" w14:paraId="4F170D9B" w14:textId="77777777" w:rsidTr="00735F2B">
        <w:trPr>
          <w:trHeight w:val="286"/>
        </w:trPr>
        <w:tc>
          <w:tcPr>
            <w:cnfStyle w:val="001000000000" w:firstRow="0" w:lastRow="0" w:firstColumn="1" w:lastColumn="0" w:oddVBand="0" w:evenVBand="0" w:oddHBand="0" w:evenHBand="0" w:firstRowFirstColumn="0" w:firstRowLastColumn="0" w:lastRowFirstColumn="0" w:lastRowLastColumn="0"/>
            <w:tcW w:w="1127" w:type="pct"/>
            <w:vMerge w:val="restart"/>
            <w:shd w:val="clear" w:color="auto" w:fill="auto"/>
            <w:hideMark/>
          </w:tcPr>
          <w:p w14:paraId="77F3F443"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Neoplasias</w:t>
            </w:r>
          </w:p>
        </w:tc>
        <w:tc>
          <w:tcPr>
            <w:tcW w:w="1735" w:type="pct"/>
            <w:shd w:val="clear" w:color="auto" w:fill="FBE4D5" w:themeFill="accent2" w:themeFillTint="33"/>
          </w:tcPr>
          <w:p w14:paraId="64EE9BE2" w14:textId="01BFF233" w:rsidR="00074E05" w:rsidRPr="007F0FA7" w:rsidRDefault="007F76E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Tumor maligno de los órganos digestivos y del peritoneo, excepto estómago y colon</w:t>
            </w:r>
          </w:p>
        </w:tc>
        <w:tc>
          <w:tcPr>
            <w:tcW w:w="1079" w:type="pct"/>
            <w:shd w:val="clear" w:color="auto" w:fill="FF0000"/>
            <w:noWrap/>
          </w:tcPr>
          <w:p w14:paraId="30DF1C85" w14:textId="15041CAB" w:rsidR="00074E05" w:rsidRPr="007F0FA7" w:rsidRDefault="007F76E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31,50</w:t>
            </w:r>
          </w:p>
        </w:tc>
        <w:tc>
          <w:tcPr>
            <w:tcW w:w="1059" w:type="pct"/>
            <w:shd w:val="clear" w:color="auto" w:fill="auto"/>
          </w:tcPr>
          <w:p w14:paraId="7A55F7F9" w14:textId="701E9343" w:rsidR="00074E05" w:rsidRPr="007F0FA7" w:rsidRDefault="007F76E0"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15,01</w:t>
            </w:r>
          </w:p>
        </w:tc>
      </w:tr>
      <w:tr w:rsidR="00E32CB0" w:rsidRPr="007F0FA7" w14:paraId="39237F66" w14:textId="77777777" w:rsidTr="00735F2B">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hideMark/>
          </w:tcPr>
          <w:p w14:paraId="4271E0C7" w14:textId="77777777" w:rsidR="00074E05" w:rsidRPr="007F0FA7" w:rsidRDefault="00074E05" w:rsidP="00093B44">
            <w:pPr>
              <w:jc w:val="both"/>
              <w:rPr>
                <w:rFonts w:ascii="Humanst521 BT" w:hAnsi="Humanst521 BT" w:cs="Arial"/>
                <w:sz w:val="22"/>
                <w:szCs w:val="22"/>
              </w:rPr>
            </w:pPr>
          </w:p>
        </w:tc>
        <w:tc>
          <w:tcPr>
            <w:tcW w:w="1735" w:type="pct"/>
            <w:shd w:val="clear" w:color="auto" w:fill="auto"/>
          </w:tcPr>
          <w:p w14:paraId="25C91A98" w14:textId="2C27BEBD" w:rsidR="00074E05" w:rsidRPr="007F0FA7" w:rsidRDefault="00C1792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Tumor maligno de otros órganos genitourinarios</w:t>
            </w:r>
          </w:p>
        </w:tc>
        <w:tc>
          <w:tcPr>
            <w:tcW w:w="1079" w:type="pct"/>
            <w:shd w:val="clear" w:color="auto" w:fill="FFFF00"/>
            <w:noWrap/>
          </w:tcPr>
          <w:p w14:paraId="2F0E0D11" w14:textId="3C375253" w:rsidR="00074E05" w:rsidRPr="007F0FA7" w:rsidRDefault="00C1792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12,77</w:t>
            </w:r>
          </w:p>
        </w:tc>
        <w:tc>
          <w:tcPr>
            <w:tcW w:w="1059" w:type="pct"/>
            <w:shd w:val="clear" w:color="auto" w:fill="auto"/>
          </w:tcPr>
          <w:p w14:paraId="49180278" w14:textId="545BDFFF" w:rsidR="00074E05" w:rsidRPr="007F0FA7" w:rsidRDefault="00C1792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4,55</w:t>
            </w:r>
          </w:p>
        </w:tc>
      </w:tr>
      <w:tr w:rsidR="00E32CB0" w:rsidRPr="007F0FA7" w14:paraId="07991488" w14:textId="77777777" w:rsidTr="00735F2B">
        <w:trPr>
          <w:trHeight w:val="769"/>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hideMark/>
          </w:tcPr>
          <w:p w14:paraId="21DB42AD" w14:textId="77777777" w:rsidR="00523541" w:rsidRPr="007F0FA7" w:rsidRDefault="00523541" w:rsidP="00093B44">
            <w:pPr>
              <w:jc w:val="both"/>
              <w:rPr>
                <w:rFonts w:ascii="Humanst521 BT" w:hAnsi="Humanst521 BT" w:cs="Arial"/>
                <w:sz w:val="22"/>
                <w:szCs w:val="22"/>
              </w:rPr>
            </w:pPr>
          </w:p>
        </w:tc>
        <w:tc>
          <w:tcPr>
            <w:tcW w:w="1735" w:type="pct"/>
            <w:shd w:val="clear" w:color="auto" w:fill="auto"/>
            <w:hideMark/>
          </w:tcPr>
          <w:p w14:paraId="7399996C" w14:textId="56F62E6D" w:rsidR="00523541" w:rsidRPr="007F0FA7" w:rsidRDefault="00523541" w:rsidP="00093B44">
            <w:pPr>
              <w:jc w:val="both"/>
              <w:cnfStyle w:val="000000000000" w:firstRow="0" w:lastRow="0" w:firstColumn="0" w:lastColumn="0" w:oddVBand="0" w:evenVBand="0" w:oddHBand="0" w:evenHBand="0" w:firstRowFirstColumn="0" w:firstRowLastColumn="0" w:lastRowFirstColumn="0" w:lastRowLastColumn="0"/>
              <w:rPr>
                <w:rFonts w:ascii="Humanst521 BT" w:eastAsia="Times New Roman" w:hAnsi="Humanst521 BT" w:cs="Arial"/>
                <w:sz w:val="22"/>
                <w:szCs w:val="22"/>
                <w:lang w:val="es-CO"/>
              </w:rPr>
            </w:pPr>
            <w:r w:rsidRPr="007F0FA7">
              <w:rPr>
                <w:rFonts w:ascii="Humanst521 BT" w:hAnsi="Humanst521 BT" w:cs="Arial"/>
                <w:sz w:val="22"/>
                <w:szCs w:val="22"/>
              </w:rPr>
              <w:t>Tumores in situ, benignos y los de comportamiento incierto o desconocido</w:t>
            </w:r>
          </w:p>
        </w:tc>
        <w:tc>
          <w:tcPr>
            <w:tcW w:w="1079" w:type="pct"/>
            <w:shd w:val="clear" w:color="auto" w:fill="FF0000"/>
            <w:noWrap/>
            <w:hideMark/>
          </w:tcPr>
          <w:p w14:paraId="669FB560" w14:textId="5A3CD604" w:rsidR="00523541" w:rsidRPr="007F0FA7" w:rsidRDefault="0052354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18,73</w:t>
            </w:r>
          </w:p>
        </w:tc>
        <w:tc>
          <w:tcPr>
            <w:tcW w:w="1059" w:type="pct"/>
            <w:shd w:val="clear" w:color="auto" w:fill="auto"/>
            <w:hideMark/>
          </w:tcPr>
          <w:p w14:paraId="17FE0882" w14:textId="6623E806" w:rsidR="00523541" w:rsidRPr="007F0FA7" w:rsidRDefault="00523541"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6,53</w:t>
            </w:r>
          </w:p>
        </w:tc>
      </w:tr>
      <w:tr w:rsidR="00E32CB0" w:rsidRPr="007F0FA7" w14:paraId="0109617E" w14:textId="77777777" w:rsidTr="00735F2B">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127" w:type="pct"/>
            <w:vMerge w:val="restart"/>
            <w:shd w:val="clear" w:color="auto" w:fill="auto"/>
            <w:hideMark/>
          </w:tcPr>
          <w:p w14:paraId="1662BB59" w14:textId="403C68B6" w:rsidR="00A940FC" w:rsidRPr="007F0FA7" w:rsidRDefault="00A940FC" w:rsidP="00093B44">
            <w:pPr>
              <w:jc w:val="both"/>
              <w:rPr>
                <w:rFonts w:ascii="Humanst521 BT" w:hAnsi="Humanst521 BT" w:cs="Arial"/>
                <w:sz w:val="22"/>
                <w:szCs w:val="22"/>
              </w:rPr>
            </w:pPr>
            <w:r w:rsidRPr="007F0FA7">
              <w:rPr>
                <w:rFonts w:ascii="Humanst521 BT" w:hAnsi="Humanst521 BT" w:cs="Arial"/>
                <w:sz w:val="22"/>
                <w:szCs w:val="22"/>
              </w:rPr>
              <w:t>Enfermedades sistema circulatorio</w:t>
            </w:r>
          </w:p>
        </w:tc>
        <w:tc>
          <w:tcPr>
            <w:tcW w:w="1735" w:type="pct"/>
            <w:shd w:val="clear" w:color="auto" w:fill="auto"/>
            <w:hideMark/>
          </w:tcPr>
          <w:p w14:paraId="64B9FF66" w14:textId="2A8EF90E"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Enfermedades isquémicas del corazón</w:t>
            </w:r>
          </w:p>
        </w:tc>
        <w:tc>
          <w:tcPr>
            <w:tcW w:w="1079" w:type="pct"/>
            <w:shd w:val="clear" w:color="auto" w:fill="92D050"/>
            <w:noWrap/>
            <w:hideMark/>
          </w:tcPr>
          <w:p w14:paraId="4E87E37D" w14:textId="744E8D25"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21,88</w:t>
            </w:r>
          </w:p>
        </w:tc>
        <w:tc>
          <w:tcPr>
            <w:tcW w:w="1059" w:type="pct"/>
            <w:shd w:val="clear" w:color="auto" w:fill="auto"/>
            <w:hideMark/>
          </w:tcPr>
          <w:p w14:paraId="4E2F20C7" w14:textId="2E98A85A"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86,64</w:t>
            </w:r>
          </w:p>
        </w:tc>
      </w:tr>
      <w:tr w:rsidR="00E32CB0" w:rsidRPr="007F0FA7" w14:paraId="09EA2E18" w14:textId="77777777" w:rsidTr="00735F2B">
        <w:trPr>
          <w:trHeight w:val="204"/>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hideMark/>
          </w:tcPr>
          <w:p w14:paraId="5FEDC12A" w14:textId="77777777" w:rsidR="00A940FC" w:rsidRPr="007F0FA7" w:rsidRDefault="00A940FC" w:rsidP="00093B44">
            <w:pPr>
              <w:jc w:val="both"/>
              <w:rPr>
                <w:rFonts w:ascii="Humanst521 BT" w:hAnsi="Humanst521 BT" w:cs="Arial"/>
                <w:sz w:val="22"/>
                <w:szCs w:val="22"/>
              </w:rPr>
            </w:pPr>
          </w:p>
        </w:tc>
        <w:tc>
          <w:tcPr>
            <w:tcW w:w="1735" w:type="pct"/>
            <w:shd w:val="clear" w:color="auto" w:fill="auto"/>
            <w:hideMark/>
          </w:tcPr>
          <w:p w14:paraId="3F185069" w14:textId="10FD1DB4" w:rsidR="00A940FC" w:rsidRPr="007F0FA7" w:rsidRDefault="00A940F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Enfermedad cardiopulmonar, enfermedades de la circulación pulmonar y otras formas de enfermedad del corazón</w:t>
            </w:r>
          </w:p>
        </w:tc>
        <w:tc>
          <w:tcPr>
            <w:tcW w:w="1079" w:type="pct"/>
            <w:shd w:val="clear" w:color="auto" w:fill="FF0000"/>
            <w:noWrap/>
            <w:hideMark/>
          </w:tcPr>
          <w:p w14:paraId="22D19D85" w14:textId="5B753201" w:rsidR="00A940FC" w:rsidRPr="007F0FA7" w:rsidRDefault="00A940F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18,73</w:t>
            </w:r>
          </w:p>
        </w:tc>
        <w:tc>
          <w:tcPr>
            <w:tcW w:w="1059" w:type="pct"/>
            <w:shd w:val="clear" w:color="auto" w:fill="auto"/>
            <w:hideMark/>
          </w:tcPr>
          <w:p w14:paraId="5E94B4D5" w14:textId="59BCBCC4" w:rsidR="00A940FC" w:rsidRPr="007F0FA7" w:rsidRDefault="00A940F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11,13</w:t>
            </w:r>
          </w:p>
        </w:tc>
      </w:tr>
      <w:tr w:rsidR="00E32CB0" w:rsidRPr="007F0FA7" w14:paraId="05065F26" w14:textId="77777777" w:rsidTr="00735F2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tcPr>
          <w:p w14:paraId="1C26D0B3" w14:textId="77777777" w:rsidR="00A940FC" w:rsidRPr="007F0FA7" w:rsidRDefault="00A940FC" w:rsidP="00093B44">
            <w:pPr>
              <w:jc w:val="both"/>
              <w:rPr>
                <w:rFonts w:ascii="Humanst521 BT" w:hAnsi="Humanst521 BT" w:cs="Arial"/>
                <w:sz w:val="22"/>
                <w:szCs w:val="22"/>
              </w:rPr>
            </w:pPr>
          </w:p>
        </w:tc>
        <w:tc>
          <w:tcPr>
            <w:tcW w:w="1735" w:type="pct"/>
          </w:tcPr>
          <w:p w14:paraId="1821323B" w14:textId="00F04284"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Enfermedades cerebrovasculares</w:t>
            </w:r>
          </w:p>
        </w:tc>
        <w:tc>
          <w:tcPr>
            <w:tcW w:w="1079" w:type="pct"/>
            <w:shd w:val="clear" w:color="auto" w:fill="FF0000"/>
            <w:noWrap/>
          </w:tcPr>
          <w:p w14:paraId="4C90B4AF" w14:textId="24F3FEA1"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29,17</w:t>
            </w:r>
          </w:p>
        </w:tc>
        <w:tc>
          <w:tcPr>
            <w:tcW w:w="1059" w:type="pct"/>
            <w:shd w:val="clear" w:color="auto" w:fill="auto"/>
          </w:tcPr>
          <w:p w14:paraId="667080B4" w14:textId="5C28B4AF"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28,21</w:t>
            </w:r>
          </w:p>
        </w:tc>
      </w:tr>
      <w:tr w:rsidR="00E32CB0" w:rsidRPr="007F0FA7" w14:paraId="4F395BBE" w14:textId="77777777" w:rsidTr="00735F2B">
        <w:trPr>
          <w:trHeight w:val="204"/>
        </w:trPr>
        <w:tc>
          <w:tcPr>
            <w:cnfStyle w:val="001000000000" w:firstRow="0" w:lastRow="0" w:firstColumn="1" w:lastColumn="0" w:oddVBand="0" w:evenVBand="0" w:oddHBand="0" w:evenHBand="0" w:firstRowFirstColumn="0" w:firstRowLastColumn="0" w:lastRowFirstColumn="0" w:lastRowLastColumn="0"/>
            <w:tcW w:w="1127" w:type="pct"/>
            <w:vMerge w:val="restart"/>
            <w:shd w:val="clear" w:color="auto" w:fill="auto"/>
          </w:tcPr>
          <w:p w14:paraId="2DF3E4C0" w14:textId="7CDE97C0" w:rsidR="00A940FC" w:rsidRPr="007F0FA7" w:rsidRDefault="00A940FC" w:rsidP="00093B44">
            <w:pPr>
              <w:jc w:val="both"/>
              <w:rPr>
                <w:rFonts w:ascii="Humanst521 BT" w:hAnsi="Humanst521 BT" w:cs="Arial"/>
                <w:sz w:val="22"/>
                <w:szCs w:val="22"/>
              </w:rPr>
            </w:pPr>
            <w:r w:rsidRPr="007F0FA7">
              <w:rPr>
                <w:rFonts w:ascii="Humanst521 BT" w:hAnsi="Humanst521 BT" w:cs="Arial"/>
                <w:sz w:val="22"/>
                <w:szCs w:val="22"/>
              </w:rPr>
              <w:t>Las demás causas</w:t>
            </w:r>
          </w:p>
        </w:tc>
        <w:tc>
          <w:tcPr>
            <w:tcW w:w="1735" w:type="pct"/>
            <w:shd w:val="clear" w:color="auto" w:fill="FBE4D5" w:themeFill="accent2" w:themeFillTint="33"/>
          </w:tcPr>
          <w:p w14:paraId="009B71A5" w14:textId="0A7B8FAD" w:rsidR="00A940FC" w:rsidRPr="007F0FA7" w:rsidRDefault="00A940F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Trastornos mentales y del comportamiento</w:t>
            </w:r>
          </w:p>
        </w:tc>
        <w:tc>
          <w:tcPr>
            <w:tcW w:w="1079" w:type="pct"/>
            <w:shd w:val="clear" w:color="auto" w:fill="FF0000"/>
            <w:noWrap/>
          </w:tcPr>
          <w:p w14:paraId="66637CE3" w14:textId="4BFF5797" w:rsidR="00A940FC" w:rsidRPr="007F0FA7" w:rsidRDefault="00A940F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46,61</w:t>
            </w:r>
          </w:p>
        </w:tc>
        <w:tc>
          <w:tcPr>
            <w:tcW w:w="1059" w:type="pct"/>
            <w:shd w:val="clear" w:color="auto" w:fill="auto"/>
          </w:tcPr>
          <w:p w14:paraId="11BB0848" w14:textId="33AF9F07" w:rsidR="00A940FC" w:rsidRPr="007F0FA7" w:rsidRDefault="00A940FC"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3,18</w:t>
            </w:r>
          </w:p>
        </w:tc>
      </w:tr>
      <w:tr w:rsidR="00E32CB0" w:rsidRPr="007F0FA7" w14:paraId="501E867B" w14:textId="77777777" w:rsidTr="00735F2B">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tcPr>
          <w:p w14:paraId="11B6467A" w14:textId="77777777" w:rsidR="00A940FC" w:rsidRPr="007F0FA7" w:rsidRDefault="00A940FC" w:rsidP="00093B44">
            <w:pPr>
              <w:jc w:val="both"/>
              <w:rPr>
                <w:rFonts w:ascii="Humanst521 BT" w:hAnsi="Humanst521 BT" w:cs="Arial"/>
                <w:sz w:val="22"/>
                <w:szCs w:val="22"/>
              </w:rPr>
            </w:pPr>
          </w:p>
        </w:tc>
        <w:tc>
          <w:tcPr>
            <w:tcW w:w="1735" w:type="pct"/>
            <w:shd w:val="clear" w:color="auto" w:fill="auto"/>
          </w:tcPr>
          <w:p w14:paraId="6E6365E9" w14:textId="77777777"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Enfermedades del sistema nervioso, excepto meningitis</w:t>
            </w:r>
          </w:p>
          <w:p w14:paraId="18BA61A2" w14:textId="77777777"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c>
          <w:tcPr>
            <w:tcW w:w="1079" w:type="pct"/>
            <w:shd w:val="clear" w:color="auto" w:fill="FFFF00"/>
            <w:noWrap/>
          </w:tcPr>
          <w:p w14:paraId="414036E1" w14:textId="42D1A970"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10,94</w:t>
            </w:r>
          </w:p>
        </w:tc>
        <w:tc>
          <w:tcPr>
            <w:tcW w:w="1059" w:type="pct"/>
            <w:shd w:val="clear" w:color="auto" w:fill="auto"/>
          </w:tcPr>
          <w:p w14:paraId="578623F6" w14:textId="2EA6FC9B" w:rsidR="00A940FC" w:rsidRPr="007F0FA7" w:rsidRDefault="00A940FC"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14,54</w:t>
            </w:r>
          </w:p>
        </w:tc>
      </w:tr>
    </w:tbl>
    <w:bookmarkEnd w:id="176"/>
    <w:p w14:paraId="77F6F29B" w14:textId="166EABAD" w:rsidR="00074E05" w:rsidRPr="007F0FA7" w:rsidRDefault="00074E05" w:rsidP="00093B44">
      <w:pPr>
        <w:pStyle w:val="Cita"/>
        <w:spacing w:line="240" w:lineRule="auto"/>
        <w:jc w:val="both"/>
        <w:rPr>
          <w:rFonts w:ascii="Humanst521 BT" w:hAnsi="Humanst521 BT"/>
          <w:i w:val="0"/>
          <w:iCs w:val="0"/>
          <w:sz w:val="22"/>
          <w:szCs w:val="22"/>
        </w:rPr>
      </w:pPr>
      <w:r w:rsidRPr="007F0FA7">
        <w:rPr>
          <w:rFonts w:ascii="Humanst521 BT" w:hAnsi="Humanst521 BT"/>
          <w:i w:val="0"/>
          <w:iCs w:val="0"/>
          <w:sz w:val="22"/>
          <w:szCs w:val="22"/>
        </w:rPr>
        <w:t>Fuente: Bodega de Datos de SISPRO (SGD) 202</w:t>
      </w:r>
      <w:r w:rsidR="00AA58DD" w:rsidRPr="007F0FA7">
        <w:rPr>
          <w:rFonts w:ascii="Humanst521 BT" w:hAnsi="Humanst521 BT"/>
          <w:i w:val="0"/>
          <w:iCs w:val="0"/>
          <w:sz w:val="22"/>
          <w:szCs w:val="22"/>
        </w:rPr>
        <w:t>3</w:t>
      </w:r>
      <w:r w:rsidRPr="007F0FA7">
        <w:rPr>
          <w:rFonts w:ascii="Humanst521 BT" w:hAnsi="Humanst521 BT"/>
          <w:i w:val="0"/>
          <w:iCs w:val="0"/>
          <w:sz w:val="22"/>
          <w:szCs w:val="22"/>
          <w:vertAlign w:val="superscript"/>
        </w:rPr>
        <w:t xml:space="preserve">. </w:t>
      </w:r>
      <w:r w:rsidRPr="007F0FA7">
        <w:rPr>
          <w:rFonts w:ascii="Humanst521 BT" w:hAnsi="Humanst521 BT"/>
          <w:i w:val="0"/>
          <w:iCs w:val="0"/>
          <w:sz w:val="22"/>
          <w:szCs w:val="22"/>
        </w:rPr>
        <w:t>tasa ajustada de mortalidad por 100.000 afiliados</w:t>
      </w:r>
    </w:p>
    <w:p w14:paraId="29E7CE6A" w14:textId="77777777" w:rsidR="00AA58DD" w:rsidRPr="007F0FA7" w:rsidRDefault="00AA58DD" w:rsidP="00093B44">
      <w:pPr>
        <w:jc w:val="both"/>
        <w:rPr>
          <w:rFonts w:ascii="Humanst521 BT" w:hAnsi="Humanst521 BT"/>
          <w:lang w:val="es-CO"/>
        </w:rPr>
      </w:pPr>
    </w:p>
    <w:p w14:paraId="004BBCAF" w14:textId="769A41DA" w:rsidR="006724FF" w:rsidRPr="007F0FA7" w:rsidRDefault="006724FF" w:rsidP="00093B44">
      <w:pPr>
        <w:jc w:val="both"/>
        <w:rPr>
          <w:rFonts w:ascii="Humanst521 BT" w:hAnsi="Humanst521 BT"/>
        </w:rPr>
      </w:pPr>
      <w:r w:rsidRPr="007F0FA7">
        <w:rPr>
          <w:rFonts w:ascii="Humanst521 BT" w:hAnsi="Humanst521 BT"/>
        </w:rPr>
        <w:t xml:space="preserve">En la </w:t>
      </w:r>
      <w:r w:rsidR="00200F2C">
        <w:rPr>
          <w:rFonts w:ascii="Humanst521 BT" w:hAnsi="Humanst521 BT"/>
        </w:rPr>
        <w:t>siguiente figura</w:t>
      </w:r>
      <w:r w:rsidRPr="007F0FA7">
        <w:rPr>
          <w:rFonts w:ascii="Humanst521 BT" w:hAnsi="Humanst521 BT"/>
        </w:rPr>
        <w:t xml:space="preserve">, se presentan las ajustadas de mortalidad y sus subgrupos de causas </w:t>
      </w:r>
      <w:r w:rsidR="00B958B8" w:rsidRPr="007F0FA7">
        <w:rPr>
          <w:rFonts w:ascii="Humanst521 BT" w:hAnsi="Humanst521 BT"/>
        </w:rPr>
        <w:t xml:space="preserve">en los hombres </w:t>
      </w:r>
      <w:r w:rsidRPr="007F0FA7">
        <w:rPr>
          <w:rFonts w:ascii="Humanst521 BT" w:hAnsi="Humanst521 BT"/>
        </w:rPr>
        <w:t>para Santander</w:t>
      </w:r>
      <w:r w:rsidR="00B958B8" w:rsidRPr="007F0FA7">
        <w:rPr>
          <w:rFonts w:ascii="Humanst521 BT" w:hAnsi="Humanst521 BT"/>
        </w:rPr>
        <w:t>, donde se compara con el departamento</w:t>
      </w:r>
    </w:p>
    <w:p w14:paraId="72448C20" w14:textId="442A1A01" w:rsidR="00AA58DD" w:rsidRPr="007F0FA7" w:rsidRDefault="006724FF" w:rsidP="00093B44">
      <w:pPr>
        <w:pStyle w:val="Descripcin"/>
        <w:spacing w:line="240" w:lineRule="auto"/>
        <w:jc w:val="both"/>
        <w:rPr>
          <w:rFonts w:ascii="Humanst521 BT" w:eastAsia="Verdana" w:hAnsi="Humanst521 BT" w:cs="Verdana"/>
          <w:color w:val="auto"/>
          <w:sz w:val="22"/>
          <w:szCs w:val="22"/>
          <w:lang w:val="es-ES"/>
        </w:rPr>
      </w:pPr>
      <w:bookmarkStart w:id="177" w:name="_Toc231286769"/>
      <w:r w:rsidRPr="007F0FA7">
        <w:rPr>
          <w:rFonts w:ascii="Humanst521 BT" w:eastAsia="Verdana" w:hAnsi="Humanst521 BT" w:cs="Verdana"/>
          <w:color w:val="auto"/>
          <w:sz w:val="22"/>
          <w:szCs w:val="22"/>
          <w:lang w:val="es-ES"/>
        </w:rPr>
        <w:t xml:space="preserve">Figura  </w:t>
      </w:r>
      <w:r w:rsidRPr="007F0FA7">
        <w:rPr>
          <w:rFonts w:ascii="Humanst521 BT" w:eastAsia="Verdana" w:hAnsi="Humanst521 BT" w:cs="Verdana"/>
          <w:color w:val="auto"/>
          <w:sz w:val="22"/>
          <w:szCs w:val="22"/>
          <w:lang w:val="es-ES"/>
        </w:rPr>
        <w:fldChar w:fldCharType="begin"/>
      </w:r>
      <w:r w:rsidRPr="007F0FA7">
        <w:rPr>
          <w:rFonts w:ascii="Humanst521 BT" w:eastAsia="Verdana" w:hAnsi="Humanst521 BT" w:cs="Verdana"/>
          <w:color w:val="auto"/>
          <w:sz w:val="22"/>
          <w:szCs w:val="22"/>
          <w:lang w:val="es-ES"/>
        </w:rPr>
        <w:instrText xml:space="preserve"> SEQ Figura_ \* ARABIC </w:instrText>
      </w:r>
      <w:r w:rsidRPr="007F0FA7">
        <w:rPr>
          <w:rFonts w:ascii="Humanst521 BT" w:eastAsia="Verdana" w:hAnsi="Humanst521 BT" w:cs="Verdana"/>
          <w:color w:val="auto"/>
          <w:sz w:val="22"/>
          <w:szCs w:val="22"/>
          <w:lang w:val="es-ES"/>
        </w:rPr>
        <w:fldChar w:fldCharType="separate"/>
      </w:r>
      <w:r w:rsidR="00C10A54">
        <w:rPr>
          <w:rFonts w:ascii="Humanst521 BT" w:eastAsia="Verdana" w:hAnsi="Humanst521 BT" w:cs="Verdana"/>
          <w:noProof/>
          <w:color w:val="auto"/>
          <w:sz w:val="22"/>
          <w:szCs w:val="22"/>
          <w:lang w:val="es-ES"/>
        </w:rPr>
        <w:t>7</w:t>
      </w:r>
      <w:r w:rsidRPr="007F0FA7">
        <w:rPr>
          <w:rFonts w:ascii="Humanst521 BT" w:eastAsia="Verdana" w:hAnsi="Humanst521 BT" w:cs="Verdana"/>
          <w:color w:val="auto"/>
          <w:sz w:val="22"/>
          <w:szCs w:val="22"/>
          <w:lang w:val="es-ES"/>
        </w:rPr>
        <w:fldChar w:fldCharType="end"/>
      </w:r>
      <w:r w:rsidR="00C10A54">
        <w:rPr>
          <w:rFonts w:ascii="Humanst521 BT" w:eastAsia="Verdana" w:hAnsi="Humanst521 BT" w:cs="Verdana"/>
          <w:color w:val="auto"/>
          <w:sz w:val="22"/>
          <w:szCs w:val="22"/>
          <w:lang w:val="es-ES"/>
        </w:rPr>
        <w:t>.</w:t>
      </w:r>
      <w:r w:rsidRPr="007F0FA7">
        <w:rPr>
          <w:rFonts w:ascii="Humanst521 BT" w:eastAsia="Verdana" w:hAnsi="Humanst521 BT" w:cs="Verdana"/>
          <w:color w:val="auto"/>
          <w:sz w:val="22"/>
          <w:szCs w:val="22"/>
          <w:lang w:val="es-ES"/>
        </w:rPr>
        <w:t xml:space="preserve"> Tasa ajustada de mortalidad por subgrupos en </w:t>
      </w:r>
      <w:r w:rsidR="00B958B8" w:rsidRPr="007F0FA7">
        <w:rPr>
          <w:rFonts w:ascii="Humanst521 BT" w:eastAsia="Verdana" w:hAnsi="Humanst521 BT" w:cs="Verdana"/>
          <w:color w:val="auto"/>
          <w:sz w:val="22"/>
          <w:szCs w:val="22"/>
          <w:lang w:val="es-ES"/>
        </w:rPr>
        <w:t>hombres</w:t>
      </w:r>
      <w:r w:rsidRPr="007F0FA7">
        <w:rPr>
          <w:rFonts w:ascii="Humanst521 BT" w:eastAsia="Verdana" w:hAnsi="Humanst521 BT" w:cs="Verdana"/>
          <w:color w:val="auto"/>
          <w:sz w:val="22"/>
          <w:szCs w:val="22"/>
          <w:lang w:val="es-ES"/>
        </w:rPr>
        <w:t xml:space="preserve"> UISALUD, 2023.</w:t>
      </w:r>
      <w:bookmarkEnd w:id="177"/>
    </w:p>
    <w:p w14:paraId="57C624BC" w14:textId="1A2BB45B" w:rsidR="00074E05" w:rsidRPr="007F0FA7" w:rsidRDefault="00E378CD" w:rsidP="00093B44">
      <w:pPr>
        <w:jc w:val="both"/>
        <w:rPr>
          <w:rFonts w:ascii="Humanst521 BT" w:hAnsi="Humanst521 BT"/>
        </w:rPr>
      </w:pPr>
      <w:r w:rsidRPr="007F0FA7">
        <w:rPr>
          <w:rFonts w:ascii="Humanst521 BT" w:hAnsi="Humanst521 BT"/>
          <w:noProof/>
        </w:rPr>
        <w:drawing>
          <wp:inline distT="0" distB="0" distL="0" distR="0" wp14:anchorId="19B2C8D9" wp14:editId="433CEAAA">
            <wp:extent cx="5891214" cy="3348039"/>
            <wp:effectExtent l="0" t="0" r="14605" b="5080"/>
            <wp:docPr id="59" name="Gráfico 59">
              <a:extLst xmlns:a="http://schemas.openxmlformats.org/drawingml/2006/main">
                <a:ext uri="{FF2B5EF4-FFF2-40B4-BE49-F238E27FC236}">
                  <a16:creationId xmlns:a16="http://schemas.microsoft.com/office/drawing/2014/main" id="{C27A3D01-03C9-444F-95C4-649756DEC2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D10A41" w14:textId="4EBD754F" w:rsidR="00AA58DD" w:rsidRPr="007F0FA7" w:rsidRDefault="00AA58DD" w:rsidP="00093B44">
      <w:pPr>
        <w:pStyle w:val="Cita"/>
        <w:spacing w:line="240" w:lineRule="auto"/>
        <w:jc w:val="both"/>
        <w:rPr>
          <w:rStyle w:val="nfasissutil"/>
          <w:rFonts w:ascii="Humanst521 BT" w:hAnsi="Humanst521 BT"/>
          <w:i/>
          <w:iCs/>
          <w:color w:val="auto"/>
          <w:sz w:val="22"/>
          <w:szCs w:val="22"/>
          <w:lang w:eastAsia="es-CO"/>
        </w:rPr>
      </w:pPr>
      <w:r w:rsidRPr="007F0FA7">
        <w:rPr>
          <w:rFonts w:ascii="Humanst521 BT" w:hAnsi="Humanst521 BT"/>
          <w:i w:val="0"/>
          <w:iCs w:val="0"/>
          <w:sz w:val="22"/>
          <w:szCs w:val="22"/>
          <w:lang w:eastAsia="es-CO"/>
        </w:rPr>
        <w:t>Fuente: Bodega de Datos de SISPRO (SGD) 202</w:t>
      </w:r>
      <w:r w:rsidR="00C21B23">
        <w:rPr>
          <w:rFonts w:ascii="Humanst521 BT" w:hAnsi="Humanst521 BT"/>
          <w:i w:val="0"/>
          <w:iCs w:val="0"/>
          <w:sz w:val="22"/>
          <w:szCs w:val="22"/>
          <w:lang w:eastAsia="es-CO"/>
        </w:rPr>
        <w:t>4</w:t>
      </w:r>
      <w:r w:rsidRPr="007F0FA7">
        <w:rPr>
          <w:rFonts w:ascii="Humanst521 BT" w:hAnsi="Humanst521 BT"/>
          <w:i w:val="0"/>
          <w:iCs w:val="0"/>
          <w:sz w:val="22"/>
          <w:szCs w:val="22"/>
        </w:rPr>
        <w:t xml:space="preserve">, </w:t>
      </w:r>
      <w:r w:rsidRPr="007F0FA7">
        <w:rPr>
          <w:rFonts w:ascii="Humanst521 BT" w:hAnsi="Humanst521 BT"/>
          <w:i w:val="0"/>
          <w:iCs w:val="0"/>
          <w:sz w:val="22"/>
          <w:szCs w:val="22"/>
          <w:lang w:eastAsia="es-CO"/>
        </w:rPr>
        <w:t>tasa ajustada de mortalidad por 100.000 afiliados.</w:t>
      </w:r>
    </w:p>
    <w:p w14:paraId="16F34283" w14:textId="7D91D623" w:rsidR="003255D8" w:rsidRPr="007F0FA7" w:rsidRDefault="003255D8" w:rsidP="00093B44">
      <w:pPr>
        <w:jc w:val="both"/>
        <w:rPr>
          <w:rStyle w:val="nfasissutil"/>
          <w:rFonts w:ascii="Humanst521 BT" w:hAnsi="Humanst521 BT"/>
          <w:color w:val="auto"/>
        </w:rPr>
      </w:pPr>
      <w:r w:rsidRPr="007F0FA7">
        <w:rPr>
          <w:rStyle w:val="nfasissutil"/>
          <w:rFonts w:ascii="Humanst521 BT" w:hAnsi="Humanst521 BT"/>
          <w:color w:val="auto"/>
        </w:rPr>
        <w:t>No se presentaron eventos de mortalidad en otros departamento o municipios.</w:t>
      </w:r>
    </w:p>
    <w:p w14:paraId="535BC5F5" w14:textId="77777777" w:rsidR="00E378CD" w:rsidRPr="007F0FA7" w:rsidRDefault="00E378CD" w:rsidP="00093B44">
      <w:pPr>
        <w:jc w:val="both"/>
        <w:rPr>
          <w:rFonts w:ascii="Humanst521 BT" w:hAnsi="Humanst521 BT"/>
        </w:rPr>
      </w:pPr>
    </w:p>
    <w:p w14:paraId="00F9AA20" w14:textId="77777777" w:rsidR="003255D8" w:rsidRPr="007F0FA7" w:rsidRDefault="003255D8" w:rsidP="00093B44">
      <w:pPr>
        <w:jc w:val="both"/>
        <w:rPr>
          <w:rFonts w:ascii="Humanst521 BT" w:hAnsi="Humanst521 BT"/>
        </w:rPr>
      </w:pPr>
    </w:p>
    <w:p w14:paraId="677C2705" w14:textId="77777777" w:rsidR="00074E05" w:rsidRPr="007F0FA7" w:rsidRDefault="00074E05" w:rsidP="00093B44">
      <w:pPr>
        <w:pStyle w:val="Ttulo5"/>
      </w:pPr>
      <w:bookmarkStart w:id="178" w:name="_Toc161297425"/>
      <w:r w:rsidRPr="007F0FA7">
        <w:t>Mortalidad especifica por subgrupo en mujeres (tasas ajustadas por edad)</w:t>
      </w:r>
      <w:bookmarkEnd w:id="178"/>
    </w:p>
    <w:p w14:paraId="20F1EC25" w14:textId="77777777" w:rsidR="00074E05" w:rsidRPr="007F0FA7" w:rsidRDefault="00074E05" w:rsidP="00093B44">
      <w:pPr>
        <w:jc w:val="both"/>
        <w:rPr>
          <w:rFonts w:ascii="Humanst521 BT" w:hAnsi="Humanst521 BT"/>
        </w:rPr>
      </w:pPr>
    </w:p>
    <w:p w14:paraId="69ACE227" w14:textId="58B5522F" w:rsidR="002C2417" w:rsidRPr="007F0FA7" w:rsidRDefault="002C2417" w:rsidP="00093B44">
      <w:pPr>
        <w:adjustRightInd w:val="0"/>
        <w:jc w:val="both"/>
        <w:rPr>
          <w:rFonts w:ascii="Humanst521 BT" w:hAnsi="Humanst521 BT"/>
          <w:lang w:val="es-CO"/>
        </w:rPr>
      </w:pPr>
      <w:r w:rsidRPr="007F0FA7">
        <w:rPr>
          <w:rFonts w:ascii="Humanst521 BT" w:hAnsi="Humanst521 BT"/>
          <w:lang w:val="es-CO"/>
        </w:rPr>
        <w:t>A continuación, se presentan las mortalidades en mujeres según subgrupo de causas para UISALUD Santander:</w:t>
      </w:r>
    </w:p>
    <w:p w14:paraId="16C75D14" w14:textId="77777777" w:rsidR="002C2417" w:rsidRPr="007F0FA7" w:rsidRDefault="002C2417" w:rsidP="00093B44">
      <w:pPr>
        <w:adjustRightInd w:val="0"/>
        <w:jc w:val="both"/>
        <w:rPr>
          <w:rFonts w:ascii="Humanst521 BT" w:hAnsi="Humanst521 BT"/>
          <w:b/>
          <w:bCs/>
          <w:lang w:val="es-CO"/>
        </w:rPr>
      </w:pPr>
    </w:p>
    <w:p w14:paraId="286CF080" w14:textId="3F1EAC5E" w:rsidR="002C2417" w:rsidRPr="007F0FA7" w:rsidRDefault="002C2417" w:rsidP="00093B44">
      <w:pPr>
        <w:adjustRightInd w:val="0"/>
        <w:jc w:val="both"/>
        <w:rPr>
          <w:rFonts w:ascii="Humanst521 BT" w:hAnsi="Humanst521 BT"/>
          <w:lang w:val="es-CO"/>
        </w:rPr>
      </w:pPr>
      <w:r w:rsidRPr="007F0FA7">
        <w:rPr>
          <w:rFonts w:ascii="Humanst521 BT" w:hAnsi="Humanst521 BT"/>
          <w:b/>
          <w:bCs/>
          <w:lang w:val="es-CO"/>
        </w:rPr>
        <w:t>Mortalidad por enfermedades transmisibles</w:t>
      </w:r>
      <w:r w:rsidRPr="007F0FA7">
        <w:rPr>
          <w:rFonts w:ascii="Humanst521 BT" w:hAnsi="Humanst521 BT"/>
          <w:lang w:val="es-CO"/>
        </w:rPr>
        <w:t xml:space="preserve">: La principal causa de mortalidad fue el </w:t>
      </w:r>
      <w:r w:rsidRPr="007F0FA7">
        <w:rPr>
          <w:rFonts w:ascii="Humanst521 BT" w:hAnsi="Humanst521 BT"/>
          <w:b/>
          <w:bCs/>
          <w:lang w:val="es-CO"/>
        </w:rPr>
        <w:t>resto de ciertas enfermedades infecciosas y parasitarias</w:t>
      </w:r>
      <w:r w:rsidRPr="007F0FA7">
        <w:rPr>
          <w:rFonts w:ascii="Humanst521 BT" w:hAnsi="Humanst521 BT"/>
          <w:lang w:val="es-CO"/>
        </w:rPr>
        <w:t xml:space="preserve">, con un valor superior al reportado por el departamento y con una diferencia significativa. En segundo lugar, se ubicaron las </w:t>
      </w:r>
      <w:r w:rsidRPr="007F0FA7">
        <w:rPr>
          <w:rFonts w:ascii="Humanst521 BT" w:hAnsi="Humanst521 BT"/>
          <w:b/>
          <w:bCs/>
          <w:lang w:val="es-CO"/>
        </w:rPr>
        <w:t>infecciones respiratorias agudas</w:t>
      </w:r>
      <w:r w:rsidRPr="007F0FA7">
        <w:rPr>
          <w:rFonts w:ascii="Humanst521 BT" w:hAnsi="Humanst521 BT"/>
          <w:lang w:val="es-CO"/>
        </w:rPr>
        <w:t>.</w:t>
      </w:r>
    </w:p>
    <w:p w14:paraId="3D28CF47" w14:textId="77777777" w:rsidR="002C2417" w:rsidRPr="007F0FA7" w:rsidRDefault="002C2417" w:rsidP="00093B44">
      <w:pPr>
        <w:adjustRightInd w:val="0"/>
        <w:jc w:val="both"/>
        <w:rPr>
          <w:rFonts w:ascii="Humanst521 BT" w:hAnsi="Humanst521 BT"/>
          <w:b/>
          <w:bCs/>
          <w:lang w:val="es-CO"/>
        </w:rPr>
      </w:pPr>
    </w:p>
    <w:p w14:paraId="7653326B" w14:textId="794A9451" w:rsidR="002C2417" w:rsidRPr="007F0FA7" w:rsidRDefault="002C2417" w:rsidP="00093B44">
      <w:pPr>
        <w:adjustRightInd w:val="0"/>
        <w:jc w:val="both"/>
        <w:rPr>
          <w:rFonts w:ascii="Humanst521 BT" w:hAnsi="Humanst521 BT"/>
          <w:lang w:val="es-CO"/>
        </w:rPr>
      </w:pPr>
      <w:r w:rsidRPr="007F0FA7">
        <w:rPr>
          <w:rFonts w:ascii="Humanst521 BT" w:hAnsi="Humanst521 BT"/>
          <w:b/>
          <w:bCs/>
          <w:lang w:val="es-CO"/>
        </w:rPr>
        <w:t>Mortalidad por neoplasias</w:t>
      </w:r>
      <w:r w:rsidRPr="007F0FA7">
        <w:rPr>
          <w:rFonts w:ascii="Humanst521 BT" w:hAnsi="Humanst521 BT"/>
          <w:lang w:val="es-CO"/>
        </w:rPr>
        <w:t xml:space="preserve">: La principal causa fue el </w:t>
      </w:r>
      <w:r w:rsidRPr="007F0FA7">
        <w:rPr>
          <w:rFonts w:ascii="Humanst521 BT" w:hAnsi="Humanst521 BT"/>
          <w:b/>
          <w:bCs/>
          <w:lang w:val="es-CO"/>
        </w:rPr>
        <w:t>tumor maligno del tejido linfático, de otros órganos hematopoyéticos y de tejidos afines</w:t>
      </w:r>
      <w:r w:rsidRPr="007F0FA7">
        <w:rPr>
          <w:rFonts w:ascii="Humanst521 BT" w:hAnsi="Humanst521 BT"/>
          <w:lang w:val="es-CO"/>
        </w:rPr>
        <w:t>, que presentó un valor superior en comparación con el departamento y con una diferencia significativa.</w:t>
      </w:r>
    </w:p>
    <w:p w14:paraId="04B49890" w14:textId="77777777" w:rsidR="002C2417" w:rsidRPr="007F0FA7" w:rsidRDefault="002C2417" w:rsidP="00093B44">
      <w:pPr>
        <w:adjustRightInd w:val="0"/>
        <w:jc w:val="both"/>
        <w:rPr>
          <w:rFonts w:ascii="Humanst521 BT" w:hAnsi="Humanst521 BT"/>
          <w:b/>
          <w:bCs/>
          <w:lang w:val="es-CO"/>
        </w:rPr>
      </w:pPr>
    </w:p>
    <w:p w14:paraId="70C21D7E" w14:textId="61A4A757" w:rsidR="002C2417" w:rsidRPr="007F0FA7" w:rsidRDefault="002C2417" w:rsidP="00093B44">
      <w:pPr>
        <w:adjustRightInd w:val="0"/>
        <w:jc w:val="both"/>
        <w:rPr>
          <w:rFonts w:ascii="Humanst521 BT" w:hAnsi="Humanst521 BT"/>
          <w:lang w:val="es-CO"/>
        </w:rPr>
      </w:pPr>
      <w:r w:rsidRPr="007F0FA7">
        <w:rPr>
          <w:rFonts w:ascii="Humanst521 BT" w:hAnsi="Humanst521 BT"/>
          <w:b/>
          <w:bCs/>
          <w:lang w:val="es-CO"/>
        </w:rPr>
        <w:t>Mortalidad por enfermedades del sistema circulatorio</w:t>
      </w:r>
      <w:r w:rsidRPr="007F0FA7">
        <w:rPr>
          <w:rFonts w:ascii="Humanst521 BT" w:hAnsi="Humanst521 BT"/>
          <w:lang w:val="es-CO"/>
        </w:rPr>
        <w:t xml:space="preserve">: Las principales causas fueron las </w:t>
      </w:r>
      <w:r w:rsidRPr="007F0FA7">
        <w:rPr>
          <w:rFonts w:ascii="Humanst521 BT" w:hAnsi="Humanst521 BT"/>
          <w:b/>
          <w:bCs/>
          <w:lang w:val="es-CO"/>
        </w:rPr>
        <w:t>enfermedades cerebrovasculares</w:t>
      </w:r>
      <w:r w:rsidRPr="007F0FA7">
        <w:rPr>
          <w:rFonts w:ascii="Humanst521 BT" w:hAnsi="Humanst521 BT"/>
          <w:lang w:val="es-CO"/>
        </w:rPr>
        <w:t xml:space="preserve">, seguidas de las </w:t>
      </w:r>
      <w:r w:rsidRPr="007F0FA7">
        <w:rPr>
          <w:rFonts w:ascii="Humanst521 BT" w:hAnsi="Humanst521 BT"/>
          <w:b/>
          <w:bCs/>
          <w:lang w:val="es-CO"/>
        </w:rPr>
        <w:t>enfermedades hipertensivas</w:t>
      </w:r>
      <w:r w:rsidRPr="007F0FA7">
        <w:rPr>
          <w:rFonts w:ascii="Humanst521 BT" w:hAnsi="Humanst521 BT"/>
          <w:lang w:val="es-CO"/>
        </w:rPr>
        <w:t xml:space="preserve"> y las </w:t>
      </w:r>
      <w:r w:rsidRPr="007F0FA7">
        <w:rPr>
          <w:rFonts w:ascii="Humanst521 BT" w:hAnsi="Humanst521 BT"/>
          <w:b/>
          <w:bCs/>
          <w:lang w:val="es-CO"/>
        </w:rPr>
        <w:t>enfermedades isquémicas del corazón</w:t>
      </w:r>
      <w:r w:rsidRPr="007F0FA7">
        <w:rPr>
          <w:rFonts w:ascii="Humanst521 BT" w:hAnsi="Humanst521 BT"/>
          <w:lang w:val="es-CO"/>
        </w:rPr>
        <w:t xml:space="preserve">. </w:t>
      </w:r>
      <w:r w:rsidRPr="007F0FA7">
        <w:rPr>
          <w:rFonts w:ascii="Humanst521 BT" w:hAnsi="Humanst521 BT"/>
          <w:lang w:val="es-CO"/>
        </w:rPr>
        <w:lastRenderedPageBreak/>
        <w:t xml:space="preserve">Las dos primeras registraron valores superiores al departamento y con diferencias significativas. La mortalidad por </w:t>
      </w:r>
      <w:r w:rsidRPr="007F0FA7">
        <w:rPr>
          <w:rFonts w:ascii="Humanst521 BT" w:hAnsi="Humanst521 BT"/>
          <w:b/>
          <w:bCs/>
          <w:lang w:val="es-CO"/>
        </w:rPr>
        <w:t>enfermedades isquémicas del corazón</w:t>
      </w:r>
      <w:r w:rsidRPr="007F0FA7">
        <w:rPr>
          <w:rFonts w:ascii="Humanst521 BT" w:hAnsi="Humanst521 BT"/>
          <w:lang w:val="es-CO"/>
        </w:rPr>
        <w:t xml:space="preserve"> se ubicó en tercer lugar, con un valor inferior al del departamento, pero con una diferencia significativa.</w:t>
      </w:r>
    </w:p>
    <w:p w14:paraId="531E0AA8" w14:textId="77777777" w:rsidR="002C2417" w:rsidRPr="007F0FA7" w:rsidRDefault="002C2417" w:rsidP="00093B44">
      <w:pPr>
        <w:adjustRightInd w:val="0"/>
        <w:jc w:val="both"/>
        <w:rPr>
          <w:rFonts w:ascii="Humanst521 BT" w:hAnsi="Humanst521 BT"/>
          <w:b/>
          <w:bCs/>
          <w:lang w:val="es-CO"/>
        </w:rPr>
      </w:pPr>
    </w:p>
    <w:p w14:paraId="61F256E5" w14:textId="7A315F32" w:rsidR="002C2417" w:rsidRPr="007F0FA7" w:rsidRDefault="002C2417" w:rsidP="00093B44">
      <w:pPr>
        <w:adjustRightInd w:val="0"/>
        <w:jc w:val="both"/>
        <w:rPr>
          <w:rFonts w:ascii="Humanst521 BT" w:hAnsi="Humanst521 BT"/>
          <w:lang w:val="es-CO"/>
        </w:rPr>
      </w:pPr>
      <w:r w:rsidRPr="007F0FA7">
        <w:rPr>
          <w:rFonts w:ascii="Humanst521 BT" w:hAnsi="Humanst521 BT"/>
          <w:b/>
          <w:bCs/>
          <w:lang w:val="es-CO"/>
        </w:rPr>
        <w:t>Mortalidad por las demás causas</w:t>
      </w:r>
      <w:r w:rsidRPr="007F0FA7">
        <w:rPr>
          <w:rFonts w:ascii="Humanst521 BT" w:hAnsi="Humanst521 BT"/>
          <w:lang w:val="es-CO"/>
        </w:rPr>
        <w:t xml:space="preserve">: En este grupo, la primera causa fue el </w:t>
      </w:r>
      <w:r w:rsidRPr="007F0FA7">
        <w:rPr>
          <w:rFonts w:ascii="Humanst521 BT" w:hAnsi="Humanst521 BT"/>
          <w:b/>
          <w:bCs/>
          <w:lang w:val="es-CO"/>
        </w:rPr>
        <w:t>resto de las enfermedades</w:t>
      </w:r>
      <w:r w:rsidRPr="007F0FA7">
        <w:rPr>
          <w:rFonts w:ascii="Humanst521 BT" w:hAnsi="Humanst521 BT"/>
          <w:lang w:val="es-CO"/>
        </w:rPr>
        <w:t xml:space="preserve">, seguida de las </w:t>
      </w:r>
      <w:r w:rsidRPr="007F0FA7">
        <w:rPr>
          <w:rFonts w:ascii="Humanst521 BT" w:hAnsi="Humanst521 BT"/>
          <w:b/>
          <w:bCs/>
          <w:lang w:val="es-CO"/>
        </w:rPr>
        <w:t>enfermedades del sistema respiratorio</w:t>
      </w:r>
      <w:r w:rsidRPr="007F0FA7">
        <w:rPr>
          <w:rFonts w:ascii="Humanst521 BT" w:hAnsi="Humanst521 BT"/>
          <w:lang w:val="es-CO"/>
        </w:rPr>
        <w:t xml:space="preserve"> y la </w:t>
      </w:r>
      <w:r w:rsidRPr="007F0FA7">
        <w:rPr>
          <w:rFonts w:ascii="Humanst521 BT" w:hAnsi="Humanst521 BT"/>
          <w:b/>
          <w:bCs/>
          <w:lang w:val="es-CO"/>
        </w:rPr>
        <w:t>diabetes mellitus</w:t>
      </w:r>
      <w:r w:rsidRPr="007F0FA7">
        <w:rPr>
          <w:rFonts w:ascii="Humanst521 BT" w:hAnsi="Humanst521 BT"/>
          <w:lang w:val="es-CO"/>
        </w:rPr>
        <w:t>. Las dos primeras presentaron un valor superior al del departamento, con una diferencia significativa.</w:t>
      </w:r>
    </w:p>
    <w:p w14:paraId="7CF2659E" w14:textId="77777777" w:rsidR="002C2417" w:rsidRPr="007F0FA7" w:rsidRDefault="002C2417" w:rsidP="00093B44">
      <w:pPr>
        <w:adjustRightInd w:val="0"/>
        <w:jc w:val="both"/>
        <w:rPr>
          <w:rFonts w:ascii="Humanst521 BT" w:hAnsi="Humanst521 BT"/>
          <w:lang w:val="es-CO"/>
        </w:rPr>
      </w:pPr>
    </w:p>
    <w:p w14:paraId="1A4AF991" w14:textId="16A14122" w:rsidR="00074E05" w:rsidRPr="007F0FA7" w:rsidRDefault="008F2F09" w:rsidP="00093B44">
      <w:pPr>
        <w:adjustRightInd w:val="0"/>
        <w:jc w:val="both"/>
        <w:rPr>
          <w:rFonts w:ascii="Humanst521 BT" w:hAnsi="Humanst521 BT"/>
          <w:lang w:val="es-CO"/>
        </w:rPr>
      </w:pPr>
      <w:r>
        <w:rPr>
          <w:rFonts w:ascii="Humanst521 BT" w:hAnsi="Humanst521 BT"/>
          <w:lang w:val="es-CO"/>
        </w:rPr>
        <w:t>Como lo muestra la siguiente tabla</w:t>
      </w:r>
      <w:r w:rsidR="002C2417" w:rsidRPr="007F0FA7">
        <w:rPr>
          <w:rFonts w:ascii="Humanst521 BT" w:hAnsi="Humanst521 BT"/>
          <w:lang w:val="es-CO"/>
        </w:rPr>
        <w:t>, se presenta la mortalidad por subgrupos en mujeres para Santander.</w:t>
      </w:r>
    </w:p>
    <w:p w14:paraId="4954E121" w14:textId="11BFE5B5" w:rsidR="00074E05" w:rsidRPr="00D92A24"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179" w:name="_Toc161298181"/>
      <w:bookmarkStart w:id="180" w:name="_Toc161318801"/>
      <w:bookmarkStart w:id="181" w:name="_Toc231286284"/>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D92A24" w:rsidRPr="00D92A24">
        <w:rPr>
          <w:rFonts w:ascii="Humanst521 BT" w:eastAsia="Verdana" w:hAnsi="Humanst521 BT" w:cs="Verdana"/>
          <w:b w:val="0"/>
          <w:bCs w:val="0"/>
          <w:noProof/>
          <w:color w:val="auto"/>
          <w:sz w:val="22"/>
          <w:szCs w:val="22"/>
          <w:lang w:val="es-ES"/>
        </w:rPr>
        <w:t>39</w:t>
      </w:r>
      <w:r w:rsidRPr="00D92A24">
        <w:rPr>
          <w:rFonts w:ascii="Humanst521 BT" w:eastAsia="Verdana" w:hAnsi="Humanst521 BT" w:cs="Verdana"/>
          <w:b w:val="0"/>
          <w:bCs w:val="0"/>
          <w:color w:val="auto"/>
          <w:sz w:val="22"/>
          <w:szCs w:val="22"/>
          <w:lang w:val="es-ES"/>
        </w:rPr>
        <w:fldChar w:fldCharType="end"/>
      </w:r>
      <w:r w:rsidR="00D92A24" w:rsidRPr="00D92A24">
        <w:rPr>
          <w:rFonts w:ascii="Humanst521 BT" w:eastAsia="Verdana" w:hAnsi="Humanst521 BT" w:cs="Verdana"/>
          <w:b w:val="0"/>
          <w:bCs w:val="0"/>
          <w:color w:val="auto"/>
          <w:sz w:val="22"/>
          <w:szCs w:val="22"/>
          <w:lang w:val="es-ES"/>
        </w:rPr>
        <w:t>.</w:t>
      </w:r>
      <w:r w:rsidRPr="00D92A24">
        <w:rPr>
          <w:rFonts w:ascii="Humanst521 BT" w:eastAsia="Verdana" w:hAnsi="Humanst521 BT" w:cs="Verdana"/>
          <w:b w:val="0"/>
          <w:bCs w:val="0"/>
          <w:color w:val="auto"/>
          <w:sz w:val="22"/>
          <w:szCs w:val="22"/>
          <w:lang w:val="es-ES"/>
        </w:rPr>
        <w:t>Tasa de mortalidad ajustada por edad según subgrupos de muerte en mujeres, UISALUD Santander 202</w:t>
      </w:r>
      <w:bookmarkEnd w:id="179"/>
      <w:bookmarkEnd w:id="180"/>
      <w:r w:rsidR="00C21B23" w:rsidRPr="00D92A24">
        <w:rPr>
          <w:rFonts w:ascii="Humanst521 BT" w:eastAsia="Verdana" w:hAnsi="Humanst521 BT" w:cs="Verdana"/>
          <w:b w:val="0"/>
          <w:bCs w:val="0"/>
          <w:color w:val="auto"/>
          <w:sz w:val="22"/>
          <w:szCs w:val="22"/>
          <w:lang w:val="es-ES"/>
        </w:rPr>
        <w:t>4</w:t>
      </w:r>
      <w:r w:rsidR="00B56D01" w:rsidRPr="00D92A24">
        <w:rPr>
          <w:rFonts w:ascii="Humanst521 BT" w:eastAsia="Verdana" w:hAnsi="Humanst521 BT" w:cs="Verdana"/>
          <w:b w:val="0"/>
          <w:bCs w:val="0"/>
          <w:color w:val="auto"/>
          <w:sz w:val="22"/>
          <w:szCs w:val="22"/>
          <w:lang w:val="es-ES"/>
        </w:rPr>
        <w:t>.</w:t>
      </w:r>
      <w:bookmarkEnd w:id="181"/>
    </w:p>
    <w:tbl>
      <w:tblPr>
        <w:tblStyle w:val="Tablaconcuadrcula4-nfasis2"/>
        <w:tblW w:w="91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3002"/>
        <w:gridCol w:w="1908"/>
        <w:gridCol w:w="1941"/>
      </w:tblGrid>
      <w:tr w:rsidR="00E32CB0" w:rsidRPr="007F0FA7" w14:paraId="407BD5A3" w14:textId="77777777" w:rsidTr="00735F2B">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2318"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584D8455" w14:textId="77777777" w:rsidR="00074E05" w:rsidRPr="007F0FA7" w:rsidRDefault="00074E05" w:rsidP="00093B44">
            <w:pPr>
              <w:jc w:val="both"/>
              <w:rPr>
                <w:rFonts w:ascii="Humanst521 BT" w:hAnsi="Humanst521 BT" w:cs="Arial"/>
                <w:color w:val="auto"/>
                <w:sz w:val="22"/>
                <w:szCs w:val="22"/>
              </w:rPr>
            </w:pPr>
            <w:bookmarkStart w:id="182" w:name="_Hlk156507742"/>
            <w:r w:rsidRPr="007F0FA7">
              <w:rPr>
                <w:rFonts w:ascii="Humanst521 BT" w:hAnsi="Humanst521 BT" w:cs="Arial"/>
                <w:color w:val="auto"/>
                <w:sz w:val="22"/>
                <w:szCs w:val="22"/>
              </w:rPr>
              <w:t>Grupos de muerte según lista 6/67 OPS-OMS</w:t>
            </w:r>
          </w:p>
        </w:tc>
        <w:tc>
          <w:tcPr>
            <w:tcW w:w="3002"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30DA8673"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Subgrupos de muerte</w:t>
            </w:r>
          </w:p>
        </w:tc>
        <w:tc>
          <w:tcPr>
            <w:tcW w:w="1908" w:type="dxa"/>
            <w:tcBorders>
              <w:top w:val="none" w:sz="0" w:space="0" w:color="auto"/>
              <w:left w:val="none" w:sz="0" w:space="0" w:color="auto"/>
              <w:bottom w:val="none" w:sz="0" w:space="0" w:color="auto"/>
              <w:right w:val="none" w:sz="0" w:space="0" w:color="auto"/>
            </w:tcBorders>
            <w:shd w:val="clear" w:color="auto" w:fill="C5E0B3" w:themeFill="accent6" w:themeFillTint="66"/>
            <w:noWrap/>
          </w:tcPr>
          <w:p w14:paraId="4A64ADE3"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mortalidad UISALUD </w:t>
            </w:r>
            <w:r w:rsidRPr="007F0FA7">
              <w:rPr>
                <w:rFonts w:ascii="Humanst521 BT" w:hAnsi="Humanst521 BT" w:cs="Arial"/>
                <w:color w:val="auto"/>
                <w:sz w:val="22"/>
                <w:szCs w:val="22"/>
                <w:vertAlign w:val="superscript"/>
              </w:rPr>
              <w:t>*</w:t>
            </w:r>
          </w:p>
        </w:tc>
        <w:tc>
          <w:tcPr>
            <w:tcW w:w="1941"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136FBB94"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mortalidad departamento de Santander </w:t>
            </w:r>
            <w:r w:rsidRPr="007F0FA7">
              <w:rPr>
                <w:rFonts w:ascii="Humanst521 BT" w:hAnsi="Humanst521 BT" w:cs="Arial"/>
                <w:color w:val="auto"/>
                <w:sz w:val="22"/>
                <w:szCs w:val="22"/>
                <w:vertAlign w:val="superscript"/>
              </w:rPr>
              <w:t>*</w:t>
            </w:r>
          </w:p>
        </w:tc>
      </w:tr>
      <w:tr w:rsidR="004F4AA1" w:rsidRPr="007F0FA7" w14:paraId="10FB9BDC" w14:textId="77777777" w:rsidTr="00735F2B">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318" w:type="dxa"/>
            <w:vMerge w:val="restart"/>
            <w:shd w:val="clear" w:color="auto" w:fill="FFFFFF" w:themeFill="background1"/>
            <w:hideMark/>
          </w:tcPr>
          <w:p w14:paraId="65AFFD73" w14:textId="77777777" w:rsidR="00CC43EE" w:rsidRPr="007F0FA7" w:rsidRDefault="00CC43EE" w:rsidP="00093B44">
            <w:pPr>
              <w:jc w:val="both"/>
              <w:rPr>
                <w:rFonts w:ascii="Humanst521 BT" w:hAnsi="Humanst521 BT" w:cs="Arial"/>
                <w:sz w:val="22"/>
                <w:szCs w:val="22"/>
              </w:rPr>
            </w:pPr>
            <w:r w:rsidRPr="007F0FA7">
              <w:rPr>
                <w:rFonts w:ascii="Humanst521 BT" w:hAnsi="Humanst521 BT" w:cs="Arial"/>
                <w:sz w:val="22"/>
                <w:szCs w:val="22"/>
              </w:rPr>
              <w:t>Neoplasias</w:t>
            </w:r>
          </w:p>
        </w:tc>
        <w:tc>
          <w:tcPr>
            <w:tcW w:w="3002" w:type="dxa"/>
            <w:shd w:val="clear" w:color="auto" w:fill="FFFFFF" w:themeFill="background1"/>
          </w:tcPr>
          <w:p w14:paraId="2B9B18EB" w14:textId="77777777" w:rsidR="00CC43EE" w:rsidRPr="007F0FA7" w:rsidRDefault="00CC43EE"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bookmarkStart w:id="183" w:name="_Hlk155732239"/>
            <w:r w:rsidRPr="007F0FA7">
              <w:rPr>
                <w:rFonts w:ascii="Humanst521 BT" w:hAnsi="Humanst521 BT" w:cs="Arial"/>
                <w:sz w:val="22"/>
                <w:szCs w:val="22"/>
              </w:rPr>
              <w:t>Tumor maligno del tejido linfático, de otros órganos hematopoyéticos y de tejidos afines</w:t>
            </w:r>
            <w:bookmarkEnd w:id="183"/>
          </w:p>
        </w:tc>
        <w:tc>
          <w:tcPr>
            <w:tcW w:w="1908" w:type="dxa"/>
            <w:shd w:val="clear" w:color="auto" w:fill="FF0000"/>
            <w:noWrap/>
          </w:tcPr>
          <w:p w14:paraId="7817B7AC" w14:textId="7ABBF129" w:rsidR="00CC43EE" w:rsidRPr="007F0FA7" w:rsidRDefault="00CC43EE"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9,87</w:t>
            </w:r>
          </w:p>
        </w:tc>
        <w:tc>
          <w:tcPr>
            <w:tcW w:w="1941" w:type="dxa"/>
            <w:shd w:val="clear" w:color="auto" w:fill="FFFFFF" w:themeFill="background1"/>
          </w:tcPr>
          <w:p w14:paraId="40EE4C8D" w14:textId="15436C5C" w:rsidR="00CC43EE" w:rsidRPr="007F0FA7" w:rsidRDefault="00CC43EE"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3,47</w:t>
            </w:r>
          </w:p>
        </w:tc>
      </w:tr>
      <w:tr w:rsidR="004F4AA1" w:rsidRPr="007F0FA7" w14:paraId="0FD0054A" w14:textId="77777777" w:rsidTr="00735F2B">
        <w:trPr>
          <w:trHeight w:val="402"/>
        </w:trPr>
        <w:tc>
          <w:tcPr>
            <w:cnfStyle w:val="001000000000" w:firstRow="0" w:lastRow="0" w:firstColumn="1" w:lastColumn="0" w:oddVBand="0" w:evenVBand="0" w:oddHBand="0" w:evenHBand="0" w:firstRowFirstColumn="0" w:firstRowLastColumn="0" w:lastRowFirstColumn="0" w:lastRowLastColumn="0"/>
            <w:tcW w:w="2318" w:type="dxa"/>
            <w:vMerge/>
            <w:shd w:val="clear" w:color="auto" w:fill="FFFFFF" w:themeFill="background1"/>
          </w:tcPr>
          <w:p w14:paraId="7712D63C" w14:textId="77777777" w:rsidR="00CC43EE" w:rsidRPr="007F0FA7" w:rsidRDefault="00CC43EE" w:rsidP="00093B44">
            <w:pPr>
              <w:jc w:val="both"/>
              <w:rPr>
                <w:rFonts w:ascii="Humanst521 BT" w:hAnsi="Humanst521 BT" w:cs="Arial"/>
                <w:sz w:val="22"/>
                <w:szCs w:val="22"/>
              </w:rPr>
            </w:pPr>
          </w:p>
        </w:tc>
        <w:tc>
          <w:tcPr>
            <w:tcW w:w="3002" w:type="dxa"/>
            <w:shd w:val="clear" w:color="auto" w:fill="FBE4D5" w:themeFill="accent2" w:themeFillTint="33"/>
          </w:tcPr>
          <w:p w14:paraId="28B1ABAB" w14:textId="4F7A0D77" w:rsidR="00CC43EE" w:rsidRPr="007F0FA7" w:rsidRDefault="00CC43EE"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lang w:val="es-CO"/>
              </w:rPr>
            </w:pPr>
            <w:r w:rsidRPr="007F0FA7">
              <w:rPr>
                <w:rFonts w:ascii="Humanst521 BT" w:hAnsi="Humanst521 BT" w:cs="Arial"/>
                <w:sz w:val="22"/>
                <w:szCs w:val="22"/>
              </w:rPr>
              <w:t>Tumores malignos de otras localizaciones y de las no especificadas</w:t>
            </w:r>
          </w:p>
        </w:tc>
        <w:tc>
          <w:tcPr>
            <w:tcW w:w="1908" w:type="dxa"/>
            <w:shd w:val="clear" w:color="auto" w:fill="FF0000"/>
            <w:noWrap/>
          </w:tcPr>
          <w:p w14:paraId="431379F1" w14:textId="394B6F73" w:rsidR="00CC43EE" w:rsidRPr="007F0FA7" w:rsidRDefault="00CC43EE"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34,84</w:t>
            </w:r>
          </w:p>
        </w:tc>
        <w:tc>
          <w:tcPr>
            <w:tcW w:w="1941" w:type="dxa"/>
            <w:shd w:val="clear" w:color="auto" w:fill="FFFFFF" w:themeFill="background1"/>
          </w:tcPr>
          <w:p w14:paraId="5D39DC94" w14:textId="7349B6A0" w:rsidR="00CC43EE" w:rsidRPr="007F0FA7" w:rsidRDefault="00CC43EE"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10,07</w:t>
            </w:r>
          </w:p>
        </w:tc>
      </w:tr>
      <w:tr w:rsidR="004F4AA1" w:rsidRPr="007F0FA7" w14:paraId="2FA7544B" w14:textId="77777777" w:rsidTr="00735F2B">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318" w:type="dxa"/>
            <w:vMerge w:val="restart"/>
            <w:shd w:val="clear" w:color="auto" w:fill="FFFFFF" w:themeFill="background1"/>
            <w:hideMark/>
          </w:tcPr>
          <w:p w14:paraId="1F970A36"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Enfermedades sistema circulatorio</w:t>
            </w:r>
          </w:p>
        </w:tc>
        <w:tc>
          <w:tcPr>
            <w:tcW w:w="3002" w:type="dxa"/>
            <w:shd w:val="clear" w:color="auto" w:fill="FFFFFF" w:themeFill="background1"/>
          </w:tcPr>
          <w:p w14:paraId="006F7171"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hipertensivas</w:t>
            </w:r>
          </w:p>
        </w:tc>
        <w:tc>
          <w:tcPr>
            <w:tcW w:w="1908" w:type="dxa"/>
            <w:shd w:val="clear" w:color="auto" w:fill="FF0000"/>
            <w:noWrap/>
          </w:tcPr>
          <w:p w14:paraId="4E5FBBE4"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25,90</w:t>
            </w:r>
          </w:p>
        </w:tc>
        <w:tc>
          <w:tcPr>
            <w:tcW w:w="1941" w:type="dxa"/>
            <w:shd w:val="clear" w:color="auto" w:fill="FFFFFF" w:themeFill="background1"/>
          </w:tcPr>
          <w:p w14:paraId="49B7EA60"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16,72</w:t>
            </w:r>
          </w:p>
        </w:tc>
      </w:tr>
      <w:tr w:rsidR="004F4AA1" w:rsidRPr="007F0FA7" w14:paraId="57ACAD7A" w14:textId="77777777" w:rsidTr="00735F2B">
        <w:trPr>
          <w:trHeight w:val="227"/>
        </w:trPr>
        <w:tc>
          <w:tcPr>
            <w:cnfStyle w:val="001000000000" w:firstRow="0" w:lastRow="0" w:firstColumn="1" w:lastColumn="0" w:oddVBand="0" w:evenVBand="0" w:oddHBand="0" w:evenHBand="0" w:firstRowFirstColumn="0" w:firstRowLastColumn="0" w:lastRowFirstColumn="0" w:lastRowLastColumn="0"/>
            <w:tcW w:w="2318" w:type="dxa"/>
            <w:vMerge/>
            <w:shd w:val="clear" w:color="auto" w:fill="FFFFFF" w:themeFill="background1"/>
            <w:hideMark/>
          </w:tcPr>
          <w:p w14:paraId="41599EE8" w14:textId="77777777" w:rsidR="00074E05" w:rsidRPr="007F0FA7" w:rsidRDefault="00074E05" w:rsidP="00093B44">
            <w:pPr>
              <w:jc w:val="both"/>
              <w:rPr>
                <w:rFonts w:ascii="Humanst521 BT" w:hAnsi="Humanst521 BT" w:cs="Arial"/>
                <w:sz w:val="22"/>
                <w:szCs w:val="22"/>
              </w:rPr>
            </w:pPr>
          </w:p>
        </w:tc>
        <w:tc>
          <w:tcPr>
            <w:tcW w:w="3002" w:type="dxa"/>
            <w:shd w:val="clear" w:color="auto" w:fill="FFFFFF" w:themeFill="background1"/>
            <w:hideMark/>
          </w:tcPr>
          <w:p w14:paraId="26320612"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isquémicas del corazón</w:t>
            </w:r>
          </w:p>
        </w:tc>
        <w:tc>
          <w:tcPr>
            <w:tcW w:w="1908" w:type="dxa"/>
            <w:shd w:val="clear" w:color="auto" w:fill="92D050"/>
            <w:noWrap/>
            <w:hideMark/>
          </w:tcPr>
          <w:p w14:paraId="681FA792"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15,56</w:t>
            </w:r>
          </w:p>
        </w:tc>
        <w:tc>
          <w:tcPr>
            <w:tcW w:w="1941" w:type="dxa"/>
            <w:shd w:val="clear" w:color="auto" w:fill="FFFFFF" w:themeFill="background1"/>
            <w:hideMark/>
          </w:tcPr>
          <w:p w14:paraId="216C6D60"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61,49</w:t>
            </w:r>
          </w:p>
        </w:tc>
      </w:tr>
      <w:tr w:rsidR="004F4AA1" w:rsidRPr="007F0FA7" w14:paraId="5032BA89" w14:textId="77777777" w:rsidTr="00735F2B">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318" w:type="dxa"/>
            <w:vMerge/>
            <w:shd w:val="clear" w:color="auto" w:fill="FFFFFF" w:themeFill="background1"/>
            <w:hideMark/>
          </w:tcPr>
          <w:p w14:paraId="1688049A" w14:textId="77777777" w:rsidR="00074E05" w:rsidRPr="007F0FA7" w:rsidRDefault="00074E05" w:rsidP="00093B44">
            <w:pPr>
              <w:jc w:val="both"/>
              <w:rPr>
                <w:rFonts w:ascii="Humanst521 BT" w:hAnsi="Humanst521 BT" w:cs="Arial"/>
                <w:sz w:val="22"/>
                <w:szCs w:val="22"/>
              </w:rPr>
            </w:pPr>
          </w:p>
        </w:tc>
        <w:tc>
          <w:tcPr>
            <w:tcW w:w="3002" w:type="dxa"/>
            <w:hideMark/>
          </w:tcPr>
          <w:p w14:paraId="7B255545"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cerebrovasculares</w:t>
            </w:r>
          </w:p>
        </w:tc>
        <w:tc>
          <w:tcPr>
            <w:tcW w:w="1908" w:type="dxa"/>
            <w:shd w:val="clear" w:color="auto" w:fill="FF0000"/>
            <w:noWrap/>
            <w:hideMark/>
          </w:tcPr>
          <w:p w14:paraId="62452349"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38,80</w:t>
            </w:r>
          </w:p>
        </w:tc>
        <w:tc>
          <w:tcPr>
            <w:tcW w:w="1941" w:type="dxa"/>
            <w:shd w:val="clear" w:color="auto" w:fill="FFFFFF" w:themeFill="background1"/>
            <w:hideMark/>
          </w:tcPr>
          <w:p w14:paraId="1167A507"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19,17</w:t>
            </w:r>
          </w:p>
        </w:tc>
      </w:tr>
      <w:tr w:rsidR="004F4AA1" w:rsidRPr="007F0FA7" w14:paraId="576AB3C0" w14:textId="77777777" w:rsidTr="00735F2B">
        <w:trPr>
          <w:trHeight w:val="249"/>
        </w:trPr>
        <w:tc>
          <w:tcPr>
            <w:cnfStyle w:val="001000000000" w:firstRow="0" w:lastRow="0" w:firstColumn="1" w:lastColumn="0" w:oddVBand="0" w:evenVBand="0" w:oddHBand="0" w:evenHBand="0" w:firstRowFirstColumn="0" w:firstRowLastColumn="0" w:lastRowFirstColumn="0" w:lastRowLastColumn="0"/>
            <w:tcW w:w="2318" w:type="dxa"/>
            <w:vMerge w:val="restart"/>
            <w:shd w:val="clear" w:color="auto" w:fill="FFFFFF" w:themeFill="background1"/>
            <w:hideMark/>
          </w:tcPr>
          <w:p w14:paraId="452AEE10" w14:textId="77777777" w:rsidR="00074E05" w:rsidRPr="007F0FA7" w:rsidRDefault="00074E05" w:rsidP="00093B44">
            <w:pPr>
              <w:jc w:val="both"/>
              <w:rPr>
                <w:rFonts w:ascii="Humanst521 BT" w:hAnsi="Humanst521 BT" w:cs="Arial"/>
                <w:sz w:val="22"/>
                <w:szCs w:val="22"/>
              </w:rPr>
            </w:pPr>
            <w:r w:rsidRPr="007F0FA7">
              <w:rPr>
                <w:rFonts w:ascii="Humanst521 BT" w:hAnsi="Humanst521 BT" w:cs="Arial"/>
                <w:sz w:val="22"/>
                <w:szCs w:val="22"/>
              </w:rPr>
              <w:t>Las demás causas</w:t>
            </w:r>
          </w:p>
        </w:tc>
        <w:tc>
          <w:tcPr>
            <w:tcW w:w="3002" w:type="dxa"/>
            <w:shd w:val="clear" w:color="auto" w:fill="FFFFFF" w:themeFill="background1"/>
            <w:hideMark/>
          </w:tcPr>
          <w:p w14:paraId="1AFBC2EB"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Diabetes mellitus</w:t>
            </w:r>
          </w:p>
        </w:tc>
        <w:tc>
          <w:tcPr>
            <w:tcW w:w="1908" w:type="dxa"/>
            <w:shd w:val="clear" w:color="auto" w:fill="FFFF00"/>
            <w:noWrap/>
            <w:hideMark/>
          </w:tcPr>
          <w:p w14:paraId="47716273"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15,56</w:t>
            </w:r>
          </w:p>
        </w:tc>
        <w:tc>
          <w:tcPr>
            <w:tcW w:w="1941" w:type="dxa"/>
            <w:shd w:val="clear" w:color="auto" w:fill="FFFFFF" w:themeFill="background1"/>
            <w:hideMark/>
          </w:tcPr>
          <w:p w14:paraId="63DAAEA4"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17,61</w:t>
            </w:r>
          </w:p>
        </w:tc>
      </w:tr>
      <w:tr w:rsidR="004F4AA1" w:rsidRPr="007F0FA7" w14:paraId="7FE6CCAA" w14:textId="77777777" w:rsidTr="00735F2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318" w:type="dxa"/>
            <w:vMerge/>
            <w:shd w:val="clear" w:color="auto" w:fill="FFFFFF" w:themeFill="background1"/>
            <w:hideMark/>
          </w:tcPr>
          <w:p w14:paraId="337EB55A" w14:textId="77777777" w:rsidR="00074E05" w:rsidRPr="007F0FA7" w:rsidRDefault="00074E05" w:rsidP="00093B44">
            <w:pPr>
              <w:jc w:val="both"/>
              <w:rPr>
                <w:rFonts w:ascii="Humanst521 BT" w:hAnsi="Humanst521 BT" w:cs="Arial"/>
                <w:sz w:val="22"/>
                <w:szCs w:val="22"/>
              </w:rPr>
            </w:pPr>
          </w:p>
        </w:tc>
        <w:tc>
          <w:tcPr>
            <w:tcW w:w="3002" w:type="dxa"/>
            <w:shd w:val="clear" w:color="auto" w:fill="FFFFFF" w:themeFill="background1"/>
            <w:hideMark/>
          </w:tcPr>
          <w:p w14:paraId="1F00070D"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crónicas de las vías respiratorias inferiores</w:t>
            </w:r>
          </w:p>
        </w:tc>
        <w:tc>
          <w:tcPr>
            <w:tcW w:w="1908" w:type="dxa"/>
            <w:shd w:val="clear" w:color="auto" w:fill="FFFF00"/>
            <w:noWrap/>
            <w:hideMark/>
          </w:tcPr>
          <w:p w14:paraId="5F1B50E4"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12,99</w:t>
            </w:r>
          </w:p>
        </w:tc>
        <w:tc>
          <w:tcPr>
            <w:tcW w:w="1941" w:type="dxa"/>
            <w:shd w:val="clear" w:color="auto" w:fill="FFFFFF" w:themeFill="background1"/>
            <w:hideMark/>
          </w:tcPr>
          <w:p w14:paraId="35FB2C7F"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12,08</w:t>
            </w:r>
          </w:p>
        </w:tc>
      </w:tr>
      <w:tr w:rsidR="004F4AA1" w:rsidRPr="007F0FA7" w14:paraId="5A0CFE43" w14:textId="77777777" w:rsidTr="00735F2B">
        <w:trPr>
          <w:trHeight w:val="292"/>
        </w:trPr>
        <w:tc>
          <w:tcPr>
            <w:cnfStyle w:val="001000000000" w:firstRow="0" w:lastRow="0" w:firstColumn="1" w:lastColumn="0" w:oddVBand="0" w:evenVBand="0" w:oddHBand="0" w:evenHBand="0" w:firstRowFirstColumn="0" w:firstRowLastColumn="0" w:lastRowFirstColumn="0" w:lastRowLastColumn="0"/>
            <w:tcW w:w="2318" w:type="dxa"/>
            <w:vMerge/>
            <w:shd w:val="clear" w:color="auto" w:fill="FFFFFF" w:themeFill="background1"/>
            <w:hideMark/>
          </w:tcPr>
          <w:p w14:paraId="54468F5E" w14:textId="77777777" w:rsidR="00074E05" w:rsidRPr="007F0FA7" w:rsidRDefault="00074E05" w:rsidP="00093B44">
            <w:pPr>
              <w:jc w:val="both"/>
              <w:rPr>
                <w:rFonts w:ascii="Humanst521 BT" w:hAnsi="Humanst521 BT" w:cs="Arial"/>
                <w:sz w:val="22"/>
                <w:szCs w:val="22"/>
              </w:rPr>
            </w:pPr>
          </w:p>
        </w:tc>
        <w:tc>
          <w:tcPr>
            <w:tcW w:w="3002" w:type="dxa"/>
            <w:shd w:val="clear" w:color="auto" w:fill="FFFFFF" w:themeFill="background1"/>
            <w:hideMark/>
          </w:tcPr>
          <w:p w14:paraId="31F6DB7F"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Resto de enfermedades del sistema respiratorio</w:t>
            </w:r>
          </w:p>
        </w:tc>
        <w:tc>
          <w:tcPr>
            <w:tcW w:w="1908" w:type="dxa"/>
            <w:shd w:val="clear" w:color="auto" w:fill="FF0000"/>
            <w:noWrap/>
            <w:hideMark/>
          </w:tcPr>
          <w:p w14:paraId="664F6283"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15,56</w:t>
            </w:r>
          </w:p>
        </w:tc>
        <w:tc>
          <w:tcPr>
            <w:tcW w:w="1941" w:type="dxa"/>
            <w:shd w:val="clear" w:color="auto" w:fill="FFFFFF" w:themeFill="background1"/>
            <w:hideMark/>
          </w:tcPr>
          <w:p w14:paraId="0E833175"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6,95</w:t>
            </w:r>
          </w:p>
        </w:tc>
      </w:tr>
      <w:tr w:rsidR="004F4AA1" w:rsidRPr="007F0FA7" w14:paraId="328039C1" w14:textId="77777777" w:rsidTr="00735F2B">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18" w:type="dxa"/>
            <w:vMerge/>
            <w:shd w:val="clear" w:color="auto" w:fill="FFFFFF" w:themeFill="background1"/>
            <w:hideMark/>
          </w:tcPr>
          <w:p w14:paraId="3F834959" w14:textId="77777777" w:rsidR="00074E05" w:rsidRPr="007F0FA7" w:rsidRDefault="00074E05" w:rsidP="00093B44">
            <w:pPr>
              <w:jc w:val="both"/>
              <w:rPr>
                <w:rFonts w:ascii="Humanst521 BT" w:hAnsi="Humanst521 BT" w:cs="Arial"/>
                <w:sz w:val="22"/>
                <w:szCs w:val="22"/>
              </w:rPr>
            </w:pPr>
          </w:p>
        </w:tc>
        <w:tc>
          <w:tcPr>
            <w:tcW w:w="3002" w:type="dxa"/>
            <w:shd w:val="clear" w:color="auto" w:fill="FFFFFF" w:themeFill="background1"/>
            <w:hideMark/>
          </w:tcPr>
          <w:p w14:paraId="2AA1C296"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Cirrosis y ciertas otras enfermedades crónicas del hígado</w:t>
            </w:r>
          </w:p>
        </w:tc>
        <w:tc>
          <w:tcPr>
            <w:tcW w:w="1908" w:type="dxa"/>
            <w:shd w:val="clear" w:color="auto" w:fill="FF0000"/>
            <w:noWrap/>
            <w:hideMark/>
          </w:tcPr>
          <w:p w14:paraId="1AB2B382"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12,91</w:t>
            </w:r>
          </w:p>
        </w:tc>
        <w:tc>
          <w:tcPr>
            <w:tcW w:w="1941" w:type="dxa"/>
            <w:shd w:val="clear" w:color="auto" w:fill="FFFFFF" w:themeFill="background1"/>
            <w:hideMark/>
          </w:tcPr>
          <w:p w14:paraId="549D52D9"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4,84</w:t>
            </w:r>
          </w:p>
        </w:tc>
      </w:tr>
      <w:tr w:rsidR="004F4AA1" w:rsidRPr="007F0FA7" w14:paraId="7621ECCC" w14:textId="77777777" w:rsidTr="00735F2B">
        <w:trPr>
          <w:trHeight w:val="248"/>
        </w:trPr>
        <w:tc>
          <w:tcPr>
            <w:cnfStyle w:val="001000000000" w:firstRow="0" w:lastRow="0" w:firstColumn="1" w:lastColumn="0" w:oddVBand="0" w:evenVBand="0" w:oddHBand="0" w:evenHBand="0" w:firstRowFirstColumn="0" w:firstRowLastColumn="0" w:lastRowFirstColumn="0" w:lastRowLastColumn="0"/>
            <w:tcW w:w="2318" w:type="dxa"/>
            <w:vMerge/>
            <w:shd w:val="clear" w:color="auto" w:fill="FFFFFF" w:themeFill="background1"/>
            <w:hideMark/>
          </w:tcPr>
          <w:p w14:paraId="7C3482AB" w14:textId="77777777" w:rsidR="00074E05" w:rsidRPr="007F0FA7" w:rsidRDefault="00074E05" w:rsidP="00093B44">
            <w:pPr>
              <w:jc w:val="both"/>
              <w:rPr>
                <w:rFonts w:ascii="Humanst521 BT" w:hAnsi="Humanst521 BT" w:cs="Arial"/>
                <w:sz w:val="22"/>
                <w:szCs w:val="22"/>
              </w:rPr>
            </w:pPr>
          </w:p>
        </w:tc>
        <w:tc>
          <w:tcPr>
            <w:tcW w:w="3002" w:type="dxa"/>
            <w:shd w:val="clear" w:color="auto" w:fill="FBE4D5" w:themeFill="accent2" w:themeFillTint="33"/>
            <w:hideMark/>
          </w:tcPr>
          <w:p w14:paraId="0585C6FF"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Resto de las enfermedades</w:t>
            </w:r>
          </w:p>
        </w:tc>
        <w:tc>
          <w:tcPr>
            <w:tcW w:w="1908" w:type="dxa"/>
            <w:shd w:val="clear" w:color="auto" w:fill="FF0000"/>
            <w:noWrap/>
            <w:hideMark/>
          </w:tcPr>
          <w:p w14:paraId="782FD543"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28,47</w:t>
            </w:r>
          </w:p>
        </w:tc>
        <w:tc>
          <w:tcPr>
            <w:tcW w:w="1941" w:type="dxa"/>
            <w:shd w:val="clear" w:color="auto" w:fill="FFFFFF" w:themeFill="background1"/>
            <w:hideMark/>
          </w:tcPr>
          <w:p w14:paraId="5E15671F" w14:textId="77777777" w:rsidR="00074E05" w:rsidRPr="007F0FA7" w:rsidRDefault="00074E0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12,87</w:t>
            </w:r>
          </w:p>
        </w:tc>
      </w:tr>
    </w:tbl>
    <w:bookmarkEnd w:id="182"/>
    <w:p w14:paraId="0E863477" w14:textId="72699ECB" w:rsidR="00074E05" w:rsidRPr="007F0FA7" w:rsidRDefault="00074E05" w:rsidP="00093B44">
      <w:pPr>
        <w:pStyle w:val="Cita"/>
        <w:spacing w:line="240" w:lineRule="auto"/>
        <w:jc w:val="both"/>
        <w:rPr>
          <w:rFonts w:ascii="Humanst521 BT" w:hAnsi="Humanst521 BT"/>
          <w:sz w:val="22"/>
          <w:szCs w:val="22"/>
        </w:rPr>
      </w:pPr>
      <w:r w:rsidRPr="007F0FA7">
        <w:rPr>
          <w:rFonts w:ascii="Humanst521 BT" w:hAnsi="Humanst521 BT"/>
          <w:sz w:val="22"/>
          <w:szCs w:val="22"/>
        </w:rPr>
        <w:t>Fuente: Bodega de Datos de SISPRO (SGD) 202</w:t>
      </w:r>
      <w:r w:rsidR="00C21B23">
        <w:rPr>
          <w:rFonts w:ascii="Humanst521 BT" w:hAnsi="Humanst521 BT"/>
          <w:sz w:val="22"/>
          <w:szCs w:val="22"/>
        </w:rPr>
        <w:t>4</w:t>
      </w:r>
      <w:r w:rsidRPr="007F0FA7">
        <w:rPr>
          <w:rFonts w:ascii="Humanst521 BT" w:hAnsi="Humanst521 BT"/>
          <w:sz w:val="22"/>
          <w:szCs w:val="22"/>
        </w:rPr>
        <w:t>. tasa ajustada de mortalidad por 100.000 afiliados</w:t>
      </w:r>
    </w:p>
    <w:p w14:paraId="465E009B" w14:textId="3DC73320" w:rsidR="00B56D01" w:rsidRPr="007F0FA7" w:rsidRDefault="006C15DB" w:rsidP="00093B44">
      <w:pPr>
        <w:adjustRightInd w:val="0"/>
        <w:jc w:val="both"/>
        <w:rPr>
          <w:rFonts w:ascii="Humanst521 BT" w:hAnsi="Humanst521 BT"/>
          <w:lang w:val="es-CO"/>
        </w:rPr>
      </w:pPr>
      <w:r>
        <w:rPr>
          <w:rFonts w:ascii="Humanst521 BT" w:hAnsi="Humanst521 BT"/>
          <w:lang w:val="es-CO"/>
        </w:rPr>
        <w:t xml:space="preserve">Se </w:t>
      </w:r>
      <w:r w:rsidR="00B56D01" w:rsidRPr="007F0FA7">
        <w:rPr>
          <w:rFonts w:ascii="Humanst521 BT" w:hAnsi="Humanst521 BT"/>
          <w:lang w:val="es-CO"/>
        </w:rPr>
        <w:t>presenta la mortalidad por subgrupos en hombres para Santander</w:t>
      </w:r>
      <w:r>
        <w:rPr>
          <w:rFonts w:ascii="Humanst521 BT" w:hAnsi="Humanst521 BT"/>
          <w:lang w:val="es-CO"/>
        </w:rPr>
        <w:t xml:space="preserve"> en la siguiente figura</w:t>
      </w:r>
      <w:r w:rsidR="00B56D01" w:rsidRPr="007F0FA7">
        <w:rPr>
          <w:rFonts w:ascii="Humanst521 BT" w:hAnsi="Humanst521 BT"/>
          <w:lang w:val="es-CO"/>
        </w:rPr>
        <w:t>.</w:t>
      </w:r>
    </w:p>
    <w:p w14:paraId="4CC89737" w14:textId="758AD091" w:rsidR="00B56D01" w:rsidRPr="007F0FA7" w:rsidRDefault="00C10A54" w:rsidP="00093B44">
      <w:pPr>
        <w:pStyle w:val="Descripcin"/>
        <w:spacing w:line="240" w:lineRule="auto"/>
        <w:rPr>
          <w:rFonts w:ascii="Humanst521 BT" w:eastAsia="Verdana" w:hAnsi="Humanst521 BT" w:cs="Verdana"/>
          <w:color w:val="auto"/>
          <w:sz w:val="22"/>
          <w:szCs w:val="22"/>
          <w:lang w:val="es-ES"/>
        </w:rPr>
      </w:pPr>
      <w:bookmarkStart w:id="184" w:name="_Toc231286770"/>
      <w:r w:rsidRPr="007F0FA7">
        <w:rPr>
          <w:rFonts w:ascii="Humanst521 BT" w:eastAsia="Verdana" w:hAnsi="Humanst521 BT" w:cs="Verdana"/>
          <w:color w:val="auto"/>
          <w:sz w:val="22"/>
          <w:szCs w:val="22"/>
          <w:lang w:val="es-ES"/>
        </w:rPr>
        <w:lastRenderedPageBreak/>
        <w:t xml:space="preserve">Figura  </w:t>
      </w:r>
      <w:r w:rsidRPr="007F0FA7">
        <w:rPr>
          <w:rFonts w:ascii="Humanst521 BT" w:eastAsia="Verdana" w:hAnsi="Humanst521 BT" w:cs="Verdana"/>
          <w:color w:val="auto"/>
          <w:sz w:val="22"/>
          <w:szCs w:val="22"/>
          <w:lang w:val="es-ES"/>
        </w:rPr>
        <w:fldChar w:fldCharType="begin"/>
      </w:r>
      <w:r w:rsidRPr="007F0FA7">
        <w:rPr>
          <w:rFonts w:ascii="Humanst521 BT" w:eastAsia="Verdana" w:hAnsi="Humanst521 BT" w:cs="Verdana"/>
          <w:color w:val="auto"/>
          <w:sz w:val="22"/>
          <w:szCs w:val="22"/>
          <w:lang w:val="es-ES"/>
        </w:rPr>
        <w:instrText xml:space="preserve"> SEQ Figura_ \* ARABIC </w:instrText>
      </w:r>
      <w:r w:rsidRPr="007F0FA7">
        <w:rPr>
          <w:rFonts w:ascii="Humanst521 BT" w:eastAsia="Verdana" w:hAnsi="Humanst521 BT" w:cs="Verdana"/>
          <w:color w:val="auto"/>
          <w:sz w:val="22"/>
          <w:szCs w:val="22"/>
          <w:lang w:val="es-ES"/>
        </w:rPr>
        <w:fldChar w:fldCharType="separate"/>
      </w:r>
      <w:r>
        <w:rPr>
          <w:rFonts w:ascii="Humanst521 BT" w:eastAsia="Verdana" w:hAnsi="Humanst521 BT" w:cs="Verdana"/>
          <w:noProof/>
          <w:color w:val="auto"/>
          <w:sz w:val="22"/>
          <w:szCs w:val="22"/>
          <w:lang w:val="es-ES"/>
        </w:rPr>
        <w:t>8</w:t>
      </w:r>
      <w:r w:rsidRPr="007F0FA7">
        <w:rPr>
          <w:rFonts w:ascii="Humanst521 BT" w:eastAsia="Verdana" w:hAnsi="Humanst521 BT" w:cs="Verdana"/>
          <w:color w:val="auto"/>
          <w:sz w:val="22"/>
          <w:szCs w:val="22"/>
          <w:lang w:val="es-ES"/>
        </w:rPr>
        <w:fldChar w:fldCharType="end"/>
      </w:r>
      <w:r>
        <w:rPr>
          <w:rFonts w:ascii="Humanst521 BT" w:eastAsia="Verdana" w:hAnsi="Humanst521 BT" w:cs="Verdana"/>
          <w:color w:val="auto"/>
          <w:sz w:val="22"/>
          <w:szCs w:val="22"/>
          <w:lang w:val="es-ES"/>
        </w:rPr>
        <w:t>.</w:t>
      </w:r>
      <w:r w:rsidRPr="007F0FA7">
        <w:rPr>
          <w:rFonts w:ascii="Humanst521 BT" w:eastAsia="Verdana" w:hAnsi="Humanst521 BT" w:cs="Verdana"/>
          <w:color w:val="auto"/>
          <w:sz w:val="22"/>
          <w:szCs w:val="22"/>
          <w:lang w:val="es-ES"/>
        </w:rPr>
        <w:t xml:space="preserve"> </w:t>
      </w:r>
      <w:r w:rsidR="00B56D01" w:rsidRPr="007F0FA7">
        <w:rPr>
          <w:rFonts w:ascii="Humanst521 BT" w:eastAsia="Verdana" w:hAnsi="Humanst521 BT" w:cs="Verdana"/>
          <w:color w:val="auto"/>
          <w:sz w:val="22"/>
          <w:szCs w:val="22"/>
          <w:lang w:val="es-ES"/>
        </w:rPr>
        <w:t>Tasa de mortalidad ajustada por edad según subgrupos de muerte en hombres, UISALUD Santander 202</w:t>
      </w:r>
      <w:r w:rsidR="00C21B23">
        <w:rPr>
          <w:rFonts w:ascii="Humanst521 BT" w:eastAsia="Verdana" w:hAnsi="Humanst521 BT" w:cs="Verdana"/>
          <w:color w:val="auto"/>
          <w:sz w:val="22"/>
          <w:szCs w:val="22"/>
          <w:lang w:val="es-ES"/>
        </w:rPr>
        <w:t>4</w:t>
      </w:r>
      <w:r w:rsidR="00B56D01" w:rsidRPr="007F0FA7">
        <w:rPr>
          <w:rFonts w:ascii="Humanst521 BT" w:eastAsia="Verdana" w:hAnsi="Humanst521 BT" w:cs="Verdana"/>
          <w:color w:val="auto"/>
          <w:sz w:val="22"/>
          <w:szCs w:val="22"/>
          <w:lang w:val="es-ES"/>
        </w:rPr>
        <w:t>.</w:t>
      </w:r>
      <w:bookmarkEnd w:id="184"/>
    </w:p>
    <w:p w14:paraId="4D977180" w14:textId="79E0D828" w:rsidR="00074E05" w:rsidRPr="007F0FA7" w:rsidRDefault="002A7BA1" w:rsidP="00093B44">
      <w:pPr>
        <w:jc w:val="both"/>
        <w:rPr>
          <w:rFonts w:ascii="Humanst521 BT" w:hAnsi="Humanst521 BT" w:cs="Arial"/>
        </w:rPr>
      </w:pPr>
      <w:r w:rsidRPr="007F0FA7">
        <w:rPr>
          <w:rFonts w:ascii="Humanst521 BT" w:hAnsi="Humanst521 BT"/>
          <w:noProof/>
        </w:rPr>
        <w:drawing>
          <wp:inline distT="0" distB="0" distL="0" distR="0" wp14:anchorId="41D16D11" wp14:editId="13036496">
            <wp:extent cx="5891214" cy="3348039"/>
            <wp:effectExtent l="0" t="0" r="14605" b="5080"/>
            <wp:docPr id="62" name="Gráfico 62">
              <a:extLst xmlns:a="http://schemas.openxmlformats.org/drawingml/2006/main">
                <a:ext uri="{FF2B5EF4-FFF2-40B4-BE49-F238E27FC236}">
                  <a16:creationId xmlns:a16="http://schemas.microsoft.com/office/drawing/2014/main" id="{C27A3D01-03C9-444F-95C4-649756DEC2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F7E77D1" w14:textId="52537D8B" w:rsidR="00660F02" w:rsidRPr="007F0FA7" w:rsidRDefault="00660F02" w:rsidP="00093B44">
      <w:pPr>
        <w:pStyle w:val="Cita"/>
        <w:spacing w:line="240" w:lineRule="auto"/>
        <w:jc w:val="both"/>
        <w:rPr>
          <w:rStyle w:val="nfasissutil"/>
          <w:rFonts w:ascii="Humanst521 BT" w:hAnsi="Humanst521 BT"/>
          <w:i/>
          <w:iCs/>
          <w:color w:val="auto"/>
          <w:sz w:val="22"/>
          <w:szCs w:val="22"/>
        </w:rPr>
      </w:pPr>
      <w:r w:rsidRPr="007F0FA7">
        <w:rPr>
          <w:rFonts w:ascii="Humanst521 BT" w:hAnsi="Humanst521 BT"/>
          <w:sz w:val="22"/>
          <w:szCs w:val="22"/>
        </w:rPr>
        <w:t>Fuente: Bodega de Datos de SISPRO (SGD) 202</w:t>
      </w:r>
      <w:r w:rsidR="00C21B23">
        <w:rPr>
          <w:rFonts w:ascii="Humanst521 BT" w:hAnsi="Humanst521 BT"/>
          <w:sz w:val="22"/>
          <w:szCs w:val="22"/>
        </w:rPr>
        <w:t>4</w:t>
      </w:r>
      <w:r w:rsidRPr="007F0FA7">
        <w:rPr>
          <w:rFonts w:ascii="Humanst521 BT" w:hAnsi="Humanst521 BT"/>
          <w:sz w:val="22"/>
          <w:szCs w:val="22"/>
        </w:rPr>
        <w:t>. tasa ajustada de mortalidad por 100.000 afiliados</w:t>
      </w:r>
    </w:p>
    <w:p w14:paraId="771ABD43" w14:textId="77777777" w:rsidR="00660F02" w:rsidRPr="007F0FA7" w:rsidRDefault="00660F02" w:rsidP="00093B44">
      <w:pPr>
        <w:jc w:val="both"/>
        <w:rPr>
          <w:rStyle w:val="nfasissutil"/>
          <w:rFonts w:ascii="Humanst521 BT" w:hAnsi="Humanst521 BT"/>
          <w:color w:val="auto"/>
        </w:rPr>
      </w:pPr>
    </w:p>
    <w:p w14:paraId="765E2826" w14:textId="3E326CA3" w:rsidR="00B867E5" w:rsidRPr="007F0FA7" w:rsidRDefault="00B867E5" w:rsidP="00093B44">
      <w:pPr>
        <w:jc w:val="both"/>
        <w:rPr>
          <w:rStyle w:val="nfasissutil"/>
          <w:rFonts w:ascii="Humanst521 BT" w:hAnsi="Humanst521 BT"/>
          <w:color w:val="auto"/>
        </w:rPr>
      </w:pPr>
      <w:r w:rsidRPr="007F0FA7">
        <w:rPr>
          <w:rStyle w:val="nfasissutil"/>
          <w:rFonts w:ascii="Humanst521 BT" w:hAnsi="Humanst521 BT"/>
          <w:color w:val="auto"/>
        </w:rPr>
        <w:t>No se presentaron eventos de mortalidad en otros departamento o municipios.</w:t>
      </w:r>
    </w:p>
    <w:p w14:paraId="45EA2526" w14:textId="77777777" w:rsidR="00074E05" w:rsidRPr="007F0FA7" w:rsidRDefault="00074E05" w:rsidP="00093B44">
      <w:pPr>
        <w:jc w:val="both"/>
        <w:rPr>
          <w:rFonts w:ascii="Humanst521 BT" w:hAnsi="Humanst521 BT" w:cs="Arial"/>
        </w:rPr>
      </w:pPr>
    </w:p>
    <w:p w14:paraId="42A000FD" w14:textId="36F5C5BA" w:rsidR="00074E05" w:rsidRPr="0002437C" w:rsidRDefault="00776B74" w:rsidP="00CF2550">
      <w:pPr>
        <w:pStyle w:val="Descripcin"/>
        <w:spacing w:line="240" w:lineRule="auto"/>
        <w:outlineLvl w:val="3"/>
        <w:rPr>
          <w:rFonts w:ascii="Humanst521 BT" w:eastAsia="Verdana" w:hAnsi="Humanst521 BT" w:cs="Verdana"/>
          <w:sz w:val="22"/>
          <w:szCs w:val="22"/>
          <w:lang w:val="es-ES"/>
        </w:rPr>
      </w:pPr>
      <w:bookmarkStart w:id="185" w:name="_Toc126052044"/>
      <w:bookmarkStart w:id="186" w:name="_Toc161297426"/>
      <w:bookmarkStart w:id="187" w:name="_Toc231286811"/>
      <w:bookmarkEnd w:id="166"/>
      <w:r w:rsidRPr="0002437C">
        <w:rPr>
          <w:rFonts w:ascii="Humanst521 BT" w:eastAsia="Verdana" w:hAnsi="Humanst521 BT" w:cs="Verdana"/>
          <w:sz w:val="22"/>
          <w:szCs w:val="22"/>
          <w:lang w:val="es-ES"/>
        </w:rPr>
        <w:t>5.2.2.3.</w:t>
      </w:r>
      <w:r w:rsidR="00606E20" w:rsidRPr="0002437C">
        <w:rPr>
          <w:rFonts w:ascii="Humanst521 BT" w:eastAsia="Verdana" w:hAnsi="Humanst521 BT" w:cs="Verdana"/>
          <w:sz w:val="22"/>
          <w:szCs w:val="22"/>
          <w:lang w:val="es-ES"/>
        </w:rPr>
        <w:t xml:space="preserve"> </w:t>
      </w:r>
      <w:r w:rsidR="00074E05" w:rsidRPr="0002437C">
        <w:rPr>
          <w:rFonts w:ascii="Humanst521 BT" w:eastAsia="Verdana" w:hAnsi="Humanst521 BT" w:cs="Verdana"/>
          <w:sz w:val="22"/>
          <w:szCs w:val="22"/>
          <w:lang w:val="es-ES"/>
        </w:rPr>
        <w:t>Tasas ajustadas de mortalidad por años de vida potencialmente perdidos - AVPP por grandes causas</w:t>
      </w:r>
      <w:bookmarkEnd w:id="185"/>
      <w:bookmarkEnd w:id="186"/>
      <w:bookmarkEnd w:id="187"/>
    </w:p>
    <w:p w14:paraId="0F52D01E" w14:textId="77777777" w:rsidR="00074E05" w:rsidRPr="007F0FA7" w:rsidRDefault="00074E05" w:rsidP="00093B44">
      <w:pPr>
        <w:jc w:val="both"/>
        <w:rPr>
          <w:rFonts w:ascii="Humanst521 BT" w:hAnsi="Humanst521 BT"/>
        </w:rPr>
      </w:pPr>
    </w:p>
    <w:p w14:paraId="7706B914" w14:textId="77777777" w:rsidR="00074E05" w:rsidRPr="007F0FA7" w:rsidRDefault="00074E05" w:rsidP="00093B44">
      <w:pPr>
        <w:jc w:val="both"/>
        <w:rPr>
          <w:rFonts w:ascii="Humanst521 BT" w:hAnsi="Humanst521 BT"/>
        </w:rPr>
      </w:pPr>
      <w:r w:rsidRPr="007F0FA7">
        <w:rPr>
          <w:rFonts w:ascii="Humanst521 BT" w:hAnsi="Humanst521 BT"/>
        </w:rPr>
        <w:t xml:space="preserve">La muerte se puede definir como el cese irreversible de las funciones biológicas esenciales que sostienen la vida de un organismo. Es un evento natural y universal que ocurre al final de ciclo vital de todos los seres vivos. En ese sentido, es de vital importancia dentro del análisis de mortalidad determinar si la muerte es el desenlace natural del ciclo de vida del ser humano o por lo contrario se presenta de forma temprana. La “muerte temprana” por otro lado es un concepto relativo del que se hace uso para describir el fallecimiento de una persona en una etapa de vida que se considera prematura, es decir, es la muerte que ocurre antes de que una persona alcance una edad que se considere típica dentro un grupo demográfico en particular. </w:t>
      </w:r>
    </w:p>
    <w:p w14:paraId="57F73E95" w14:textId="77777777" w:rsidR="00074E05" w:rsidRPr="007F0FA7" w:rsidRDefault="00074E05" w:rsidP="00093B44">
      <w:pPr>
        <w:jc w:val="both"/>
        <w:rPr>
          <w:rFonts w:ascii="Humanst521 BT" w:hAnsi="Humanst521 BT"/>
        </w:rPr>
      </w:pPr>
    </w:p>
    <w:p w14:paraId="4328BFF5" w14:textId="1DDD90CF" w:rsidR="00074E05" w:rsidRPr="007F0FA7" w:rsidRDefault="00074E05" w:rsidP="00093B44">
      <w:pPr>
        <w:jc w:val="both"/>
        <w:rPr>
          <w:rFonts w:ascii="Humanst521 BT" w:hAnsi="Humanst521 BT"/>
        </w:rPr>
      </w:pPr>
      <w:r w:rsidRPr="007F0FA7">
        <w:rPr>
          <w:rFonts w:ascii="Humanst521 BT" w:hAnsi="Humanst521 BT"/>
        </w:rPr>
        <w:t xml:space="preserve">Dentro de la caracterización poblacional el indicador que mide este efecto es denominado Años de Vida Potencialmente Perdidos – AVPP, y se define como la suma de todos los años que habría vivido una persona que murió por una determinada causa si hubiese vivido hasta una edad típica para tal desenlace. </w:t>
      </w:r>
    </w:p>
    <w:p w14:paraId="0D58EE14" w14:textId="77777777" w:rsidR="00074E05" w:rsidRPr="007F0FA7" w:rsidRDefault="00074E05" w:rsidP="00093B44">
      <w:pPr>
        <w:jc w:val="both"/>
        <w:rPr>
          <w:rFonts w:ascii="Humanst521 BT" w:hAnsi="Humanst521 BT"/>
        </w:rPr>
      </w:pPr>
    </w:p>
    <w:p w14:paraId="27B2211A" w14:textId="77777777" w:rsidR="00074E05" w:rsidRPr="007F0FA7" w:rsidRDefault="00074E05" w:rsidP="00093B44">
      <w:pPr>
        <w:pStyle w:val="Ttulo5"/>
      </w:pPr>
      <w:bookmarkStart w:id="188" w:name="_Toc161297427"/>
      <w:r w:rsidRPr="007F0FA7">
        <w:lastRenderedPageBreak/>
        <w:t>Tasas de AVPP ajustadas por la edad</w:t>
      </w:r>
      <w:bookmarkEnd w:id="188"/>
    </w:p>
    <w:p w14:paraId="77AC9FE2" w14:textId="77777777" w:rsidR="00074E05" w:rsidRPr="007F0FA7" w:rsidRDefault="00074E05" w:rsidP="00093B44">
      <w:pPr>
        <w:jc w:val="both"/>
        <w:rPr>
          <w:rFonts w:ascii="Humanst521 BT" w:hAnsi="Humanst521 BT"/>
        </w:rPr>
      </w:pPr>
    </w:p>
    <w:p w14:paraId="6763EE53" w14:textId="4CB5E23C" w:rsidR="00294803" w:rsidRPr="007F0FA7" w:rsidRDefault="00294803" w:rsidP="00093B44">
      <w:pPr>
        <w:jc w:val="both"/>
        <w:rPr>
          <w:rFonts w:ascii="Humanst521 BT" w:hAnsi="Humanst521 BT"/>
          <w:lang w:val="es-CO"/>
        </w:rPr>
      </w:pPr>
      <w:r w:rsidRPr="007F0FA7">
        <w:rPr>
          <w:rFonts w:ascii="Humanst521 BT" w:hAnsi="Humanst521 BT"/>
          <w:lang w:val="es-CO"/>
        </w:rPr>
        <w:t>A nivel nacional</w:t>
      </w:r>
      <w:r w:rsidR="00774D77" w:rsidRPr="007F0FA7">
        <w:rPr>
          <w:rFonts w:ascii="Humanst521 BT" w:hAnsi="Humanst521 BT"/>
          <w:lang w:val="es-CO"/>
        </w:rPr>
        <w:t xml:space="preserve"> en UISALUD</w:t>
      </w:r>
      <w:r w:rsidRPr="007F0FA7">
        <w:rPr>
          <w:rFonts w:ascii="Humanst521 BT" w:hAnsi="Humanst521 BT"/>
          <w:lang w:val="es-CO"/>
        </w:rPr>
        <w:t xml:space="preserve">, la principal causa de mortalidad fue </w:t>
      </w:r>
      <w:r w:rsidRPr="007F0FA7">
        <w:rPr>
          <w:rFonts w:ascii="Humanst521 BT" w:hAnsi="Humanst521 BT"/>
          <w:b/>
          <w:bCs/>
          <w:lang w:val="es-CO"/>
        </w:rPr>
        <w:t>todas las demás enfermedades</w:t>
      </w:r>
      <w:r w:rsidRPr="007F0FA7">
        <w:rPr>
          <w:rFonts w:ascii="Humanst521 BT" w:hAnsi="Humanst521 BT"/>
          <w:lang w:val="es-CO"/>
        </w:rPr>
        <w:t xml:space="preserve">, con una tasa ajustada de </w:t>
      </w:r>
      <w:r w:rsidRPr="007F0FA7">
        <w:rPr>
          <w:rFonts w:ascii="Humanst521 BT" w:hAnsi="Humanst521 BT"/>
          <w:b/>
          <w:bCs/>
          <w:lang w:val="es-CO"/>
        </w:rPr>
        <w:t>4.494,75 AVPP</w:t>
      </w:r>
      <w:r w:rsidRPr="007F0FA7">
        <w:rPr>
          <w:rFonts w:ascii="Humanst521 BT" w:hAnsi="Humanst521 BT"/>
          <w:lang w:val="es-CO"/>
        </w:rPr>
        <w:t>, la cual es superior al promedio nacional.</w:t>
      </w:r>
    </w:p>
    <w:p w14:paraId="7FBACAB4" w14:textId="77777777" w:rsidR="00294803" w:rsidRPr="007F0FA7" w:rsidRDefault="00294803" w:rsidP="00093B44">
      <w:pPr>
        <w:jc w:val="both"/>
        <w:rPr>
          <w:rFonts w:ascii="Humanst521 BT" w:hAnsi="Humanst521 BT"/>
          <w:lang w:val="es-CO"/>
        </w:rPr>
      </w:pPr>
      <w:r w:rsidRPr="007F0FA7">
        <w:rPr>
          <w:rFonts w:ascii="Humanst521 BT" w:hAnsi="Humanst521 BT"/>
          <w:lang w:val="es-CO"/>
        </w:rPr>
        <w:t>Le siguieron las siguientes causas:</w:t>
      </w:r>
    </w:p>
    <w:p w14:paraId="3BFF5274" w14:textId="77777777" w:rsidR="00294803" w:rsidRPr="007F0FA7" w:rsidRDefault="00294803" w:rsidP="00B6007F">
      <w:pPr>
        <w:numPr>
          <w:ilvl w:val="0"/>
          <w:numId w:val="5"/>
        </w:numPr>
        <w:jc w:val="both"/>
        <w:rPr>
          <w:rFonts w:ascii="Humanst521 BT" w:hAnsi="Humanst521 BT"/>
          <w:lang w:val="es-CO"/>
        </w:rPr>
      </w:pPr>
      <w:r w:rsidRPr="007F0FA7">
        <w:rPr>
          <w:rFonts w:ascii="Humanst521 BT" w:hAnsi="Humanst521 BT"/>
          <w:b/>
          <w:bCs/>
          <w:lang w:val="es-CO"/>
        </w:rPr>
        <w:t>Neoplasias</w:t>
      </w:r>
      <w:r w:rsidRPr="007F0FA7">
        <w:rPr>
          <w:rFonts w:ascii="Humanst521 BT" w:hAnsi="Humanst521 BT"/>
          <w:lang w:val="es-CO"/>
        </w:rPr>
        <w:t xml:space="preserve">, con una tasa de </w:t>
      </w:r>
      <w:r w:rsidRPr="007F0FA7">
        <w:rPr>
          <w:rFonts w:ascii="Humanst521 BT" w:hAnsi="Humanst521 BT"/>
          <w:b/>
          <w:bCs/>
          <w:lang w:val="es-CO"/>
        </w:rPr>
        <w:t>3.262,03 AVPP</w:t>
      </w:r>
      <w:r w:rsidRPr="007F0FA7">
        <w:rPr>
          <w:rFonts w:ascii="Humanst521 BT" w:hAnsi="Humanst521 BT"/>
          <w:lang w:val="es-CO"/>
        </w:rPr>
        <w:t>.</w:t>
      </w:r>
    </w:p>
    <w:p w14:paraId="4D0AF7BE" w14:textId="77777777" w:rsidR="00294803" w:rsidRPr="007F0FA7" w:rsidRDefault="00294803" w:rsidP="00B6007F">
      <w:pPr>
        <w:numPr>
          <w:ilvl w:val="0"/>
          <w:numId w:val="5"/>
        </w:numPr>
        <w:jc w:val="both"/>
        <w:rPr>
          <w:rFonts w:ascii="Humanst521 BT" w:hAnsi="Humanst521 BT"/>
          <w:lang w:val="es-CO"/>
        </w:rPr>
      </w:pPr>
      <w:r w:rsidRPr="007F0FA7">
        <w:rPr>
          <w:rFonts w:ascii="Humanst521 BT" w:hAnsi="Humanst521 BT"/>
          <w:b/>
          <w:bCs/>
          <w:lang w:val="es-CO"/>
        </w:rPr>
        <w:t>Enfermedades del sistema circulatorio</w:t>
      </w:r>
      <w:r w:rsidRPr="007F0FA7">
        <w:rPr>
          <w:rFonts w:ascii="Humanst521 BT" w:hAnsi="Humanst521 BT"/>
          <w:lang w:val="es-CO"/>
        </w:rPr>
        <w:t xml:space="preserve">, con una tasa de </w:t>
      </w:r>
      <w:r w:rsidRPr="007F0FA7">
        <w:rPr>
          <w:rFonts w:ascii="Humanst521 BT" w:hAnsi="Humanst521 BT"/>
          <w:b/>
          <w:bCs/>
          <w:lang w:val="es-CO"/>
        </w:rPr>
        <w:t>2.436,12 AVPP</w:t>
      </w:r>
      <w:r w:rsidRPr="007F0FA7">
        <w:rPr>
          <w:rFonts w:ascii="Humanst521 BT" w:hAnsi="Humanst521 BT"/>
          <w:lang w:val="es-CO"/>
        </w:rPr>
        <w:t>.</w:t>
      </w:r>
    </w:p>
    <w:p w14:paraId="1B62BFC0" w14:textId="77777777" w:rsidR="00294803" w:rsidRPr="007F0FA7" w:rsidRDefault="00294803" w:rsidP="00093B44">
      <w:pPr>
        <w:jc w:val="both"/>
        <w:rPr>
          <w:rFonts w:ascii="Humanst521 BT" w:hAnsi="Humanst521 BT"/>
          <w:lang w:val="es-CO"/>
        </w:rPr>
      </w:pPr>
    </w:p>
    <w:p w14:paraId="7BE8F6B8" w14:textId="7029D8CE" w:rsidR="00294803" w:rsidRPr="007F0FA7" w:rsidRDefault="00294803" w:rsidP="00093B44">
      <w:pPr>
        <w:jc w:val="both"/>
        <w:rPr>
          <w:rFonts w:ascii="Humanst521 BT" w:hAnsi="Humanst521 BT"/>
          <w:lang w:val="es-CO"/>
        </w:rPr>
      </w:pPr>
      <w:r w:rsidRPr="007F0FA7">
        <w:rPr>
          <w:rFonts w:ascii="Humanst521 BT" w:hAnsi="Humanst521 BT"/>
          <w:lang w:val="es-CO"/>
        </w:rPr>
        <w:t xml:space="preserve">Estas tres causas presentaron valores superiores al promedio nacional, con diferencias significativas. Por último, las </w:t>
      </w:r>
      <w:r w:rsidRPr="007F0FA7">
        <w:rPr>
          <w:rFonts w:ascii="Humanst521 BT" w:hAnsi="Humanst521 BT"/>
          <w:b/>
          <w:bCs/>
          <w:lang w:val="es-CO"/>
        </w:rPr>
        <w:t>enfermedades transmisibles</w:t>
      </w:r>
      <w:r w:rsidRPr="007F0FA7">
        <w:rPr>
          <w:rFonts w:ascii="Humanst521 BT" w:hAnsi="Humanst521 BT"/>
          <w:lang w:val="es-CO"/>
        </w:rPr>
        <w:t xml:space="preserve"> registraron una tasa de </w:t>
      </w:r>
      <w:r w:rsidRPr="007F0FA7">
        <w:rPr>
          <w:rFonts w:ascii="Humanst521 BT" w:hAnsi="Humanst521 BT"/>
          <w:b/>
          <w:bCs/>
          <w:lang w:val="es-CO"/>
        </w:rPr>
        <w:t>269,63 AVPP</w:t>
      </w:r>
      <w:r w:rsidRPr="007F0FA7">
        <w:rPr>
          <w:rFonts w:ascii="Humanst521 BT" w:hAnsi="Humanst521 BT"/>
          <w:lang w:val="es-CO"/>
        </w:rPr>
        <w:t>, inferior en comparación con el promedio del ente territorial.</w:t>
      </w:r>
    </w:p>
    <w:p w14:paraId="2E3CFE8F" w14:textId="77777777" w:rsidR="00971CF6" w:rsidRPr="007F0FA7" w:rsidRDefault="00971CF6" w:rsidP="00093B44">
      <w:pPr>
        <w:jc w:val="both"/>
        <w:rPr>
          <w:rFonts w:ascii="Humanst521 BT" w:hAnsi="Humanst521 BT"/>
          <w:lang w:val="es-CO"/>
        </w:rPr>
      </w:pPr>
    </w:p>
    <w:p w14:paraId="424BE49F" w14:textId="33F6718E" w:rsidR="00971CF6" w:rsidRPr="007F0FA7" w:rsidRDefault="00971CF6" w:rsidP="00093B44">
      <w:pPr>
        <w:jc w:val="both"/>
        <w:rPr>
          <w:rFonts w:ascii="Humanst521 BT" w:hAnsi="Humanst521 BT"/>
          <w:lang w:val="es-CO"/>
        </w:rPr>
      </w:pPr>
      <w:r w:rsidRPr="007F0FA7">
        <w:rPr>
          <w:rFonts w:ascii="Humanst521 BT" w:hAnsi="Humanst521 BT"/>
          <w:lang w:val="es-CO"/>
        </w:rPr>
        <w:t>En la</w:t>
      </w:r>
      <w:r w:rsidR="00200F2C">
        <w:rPr>
          <w:rFonts w:ascii="Humanst521 BT" w:hAnsi="Humanst521 BT"/>
          <w:lang w:val="es-CO"/>
        </w:rPr>
        <w:t xml:space="preserve"> siguiente figura</w:t>
      </w:r>
      <w:r w:rsidRPr="007F0FA7">
        <w:rPr>
          <w:rFonts w:ascii="Humanst521 BT" w:hAnsi="Humanst521 BT"/>
          <w:lang w:val="es-CO"/>
        </w:rPr>
        <w:t xml:space="preserve">, se presentan las tasas de AVPP ajustadas por edad para </w:t>
      </w:r>
      <w:r w:rsidR="006F415C" w:rsidRPr="007F0FA7">
        <w:rPr>
          <w:rFonts w:ascii="Humanst521 BT" w:hAnsi="Humanst521 BT"/>
          <w:lang w:val="es-CO"/>
        </w:rPr>
        <w:t xml:space="preserve">a nivel nacional para </w:t>
      </w:r>
      <w:r w:rsidRPr="007F0FA7">
        <w:rPr>
          <w:rFonts w:ascii="Humanst521 BT" w:hAnsi="Humanst521 BT"/>
          <w:lang w:val="es-CO"/>
        </w:rPr>
        <w:t>UISALUD</w:t>
      </w:r>
      <w:r w:rsidR="006F415C" w:rsidRPr="007F0FA7">
        <w:rPr>
          <w:rFonts w:ascii="Humanst521 BT" w:hAnsi="Humanst521 BT"/>
          <w:lang w:val="es-CO"/>
        </w:rPr>
        <w:t xml:space="preserve">, comparado con las </w:t>
      </w:r>
      <w:r w:rsidR="00A21FB7" w:rsidRPr="007F0FA7">
        <w:rPr>
          <w:rFonts w:ascii="Humanst521 BT" w:hAnsi="Humanst521 BT"/>
          <w:lang w:val="es-CO"/>
        </w:rPr>
        <w:t xml:space="preserve">tasas de AVPP por la edad en </w:t>
      </w:r>
      <w:r w:rsidR="00FF5B8E" w:rsidRPr="007F0FA7">
        <w:rPr>
          <w:rFonts w:ascii="Humanst521 BT" w:hAnsi="Humanst521 BT"/>
          <w:lang w:val="es-CO"/>
        </w:rPr>
        <w:t>la población total</w:t>
      </w:r>
      <w:r w:rsidR="00A21FB7" w:rsidRPr="007F0FA7">
        <w:rPr>
          <w:rFonts w:ascii="Humanst521 BT" w:hAnsi="Humanst521 BT"/>
          <w:lang w:val="es-CO"/>
        </w:rPr>
        <w:t>.</w:t>
      </w:r>
    </w:p>
    <w:p w14:paraId="748E85A5" w14:textId="77777777" w:rsidR="00971CF6" w:rsidRPr="007F0FA7" w:rsidRDefault="00971CF6" w:rsidP="00093B44">
      <w:pPr>
        <w:jc w:val="both"/>
        <w:rPr>
          <w:rStyle w:val="nfasissutil"/>
          <w:rFonts w:ascii="Humanst521 BT" w:hAnsi="Humanst521 BT"/>
          <w:color w:val="auto"/>
        </w:rPr>
      </w:pPr>
    </w:p>
    <w:p w14:paraId="35DE8850" w14:textId="77777777" w:rsidR="0076711B" w:rsidRPr="007F0FA7" w:rsidRDefault="0076711B" w:rsidP="00093B44">
      <w:pPr>
        <w:jc w:val="both"/>
        <w:rPr>
          <w:rStyle w:val="nfasissutil"/>
          <w:rFonts w:ascii="Humanst521 BT" w:hAnsi="Humanst521 BT"/>
          <w:color w:val="auto"/>
        </w:rPr>
      </w:pPr>
    </w:p>
    <w:p w14:paraId="1AA9FBA3" w14:textId="66C194DC" w:rsidR="00971CF6" w:rsidRPr="007F0FA7" w:rsidRDefault="00C10A54" w:rsidP="00093B44">
      <w:pPr>
        <w:pStyle w:val="Descripcin"/>
        <w:spacing w:line="240" w:lineRule="auto"/>
        <w:jc w:val="both"/>
        <w:rPr>
          <w:rFonts w:ascii="Humanst521 BT" w:eastAsia="Verdana" w:hAnsi="Humanst521 BT" w:cs="Verdana"/>
          <w:color w:val="auto"/>
          <w:sz w:val="22"/>
          <w:szCs w:val="22"/>
          <w:lang w:val="es-ES"/>
        </w:rPr>
      </w:pPr>
      <w:bookmarkStart w:id="189" w:name="_Toc231286771"/>
      <w:r w:rsidRPr="007F0FA7">
        <w:rPr>
          <w:rFonts w:ascii="Humanst521 BT" w:eastAsia="Verdana" w:hAnsi="Humanst521 BT" w:cs="Verdana"/>
          <w:color w:val="auto"/>
          <w:sz w:val="22"/>
          <w:szCs w:val="22"/>
          <w:lang w:val="es-ES"/>
        </w:rPr>
        <w:t xml:space="preserve">Figura  </w:t>
      </w:r>
      <w:r w:rsidRPr="007F0FA7">
        <w:rPr>
          <w:rFonts w:ascii="Humanst521 BT" w:eastAsia="Verdana" w:hAnsi="Humanst521 BT" w:cs="Verdana"/>
          <w:color w:val="auto"/>
          <w:sz w:val="22"/>
          <w:szCs w:val="22"/>
          <w:lang w:val="es-ES"/>
        </w:rPr>
        <w:fldChar w:fldCharType="begin"/>
      </w:r>
      <w:r w:rsidRPr="007F0FA7">
        <w:rPr>
          <w:rFonts w:ascii="Humanst521 BT" w:eastAsia="Verdana" w:hAnsi="Humanst521 BT" w:cs="Verdana"/>
          <w:color w:val="auto"/>
          <w:sz w:val="22"/>
          <w:szCs w:val="22"/>
          <w:lang w:val="es-ES"/>
        </w:rPr>
        <w:instrText xml:space="preserve"> SEQ Figura_ \* ARABIC </w:instrText>
      </w:r>
      <w:r w:rsidRPr="007F0FA7">
        <w:rPr>
          <w:rFonts w:ascii="Humanst521 BT" w:eastAsia="Verdana" w:hAnsi="Humanst521 BT" w:cs="Verdana"/>
          <w:color w:val="auto"/>
          <w:sz w:val="22"/>
          <w:szCs w:val="22"/>
          <w:lang w:val="es-ES"/>
        </w:rPr>
        <w:fldChar w:fldCharType="separate"/>
      </w:r>
      <w:r>
        <w:rPr>
          <w:rFonts w:ascii="Humanst521 BT" w:eastAsia="Verdana" w:hAnsi="Humanst521 BT" w:cs="Verdana"/>
          <w:noProof/>
          <w:color w:val="auto"/>
          <w:sz w:val="22"/>
          <w:szCs w:val="22"/>
          <w:lang w:val="es-ES"/>
        </w:rPr>
        <w:t>9</w:t>
      </w:r>
      <w:r w:rsidRPr="007F0FA7">
        <w:rPr>
          <w:rFonts w:ascii="Humanst521 BT" w:eastAsia="Verdana" w:hAnsi="Humanst521 BT" w:cs="Verdana"/>
          <w:color w:val="auto"/>
          <w:sz w:val="22"/>
          <w:szCs w:val="22"/>
          <w:lang w:val="es-ES"/>
        </w:rPr>
        <w:fldChar w:fldCharType="end"/>
      </w:r>
      <w:r>
        <w:rPr>
          <w:rFonts w:ascii="Humanst521 BT" w:eastAsia="Verdana" w:hAnsi="Humanst521 BT" w:cs="Verdana"/>
          <w:color w:val="auto"/>
          <w:sz w:val="22"/>
          <w:szCs w:val="22"/>
          <w:lang w:val="es-ES"/>
        </w:rPr>
        <w:t>.</w:t>
      </w:r>
      <w:r w:rsidRPr="007F0FA7">
        <w:rPr>
          <w:rFonts w:ascii="Humanst521 BT" w:eastAsia="Verdana" w:hAnsi="Humanst521 BT" w:cs="Verdana"/>
          <w:color w:val="auto"/>
          <w:sz w:val="22"/>
          <w:szCs w:val="22"/>
          <w:lang w:val="es-ES"/>
        </w:rPr>
        <w:t xml:space="preserve"> </w:t>
      </w:r>
      <w:r w:rsidR="00971CF6" w:rsidRPr="007F0FA7">
        <w:rPr>
          <w:rFonts w:ascii="Humanst521 BT" w:eastAsia="Verdana" w:hAnsi="Humanst521 BT" w:cs="Verdana"/>
          <w:color w:val="auto"/>
          <w:sz w:val="22"/>
          <w:szCs w:val="22"/>
          <w:lang w:val="es-ES"/>
        </w:rPr>
        <w:t>Tasas ajustadas de AVPP en población total, UISALUD 202</w:t>
      </w:r>
      <w:r w:rsidR="00E37498">
        <w:rPr>
          <w:rFonts w:ascii="Humanst521 BT" w:eastAsia="Verdana" w:hAnsi="Humanst521 BT" w:cs="Verdana"/>
          <w:color w:val="auto"/>
          <w:sz w:val="22"/>
          <w:szCs w:val="22"/>
          <w:lang w:val="es-ES"/>
        </w:rPr>
        <w:t>4</w:t>
      </w:r>
      <w:bookmarkEnd w:id="189"/>
    </w:p>
    <w:p w14:paraId="1316B7D4" w14:textId="77777777" w:rsidR="00102F95" w:rsidRPr="007F0FA7" w:rsidRDefault="00102F95" w:rsidP="00093B44">
      <w:pPr>
        <w:jc w:val="both"/>
        <w:rPr>
          <w:rFonts w:ascii="Humanst521 BT" w:hAnsi="Humanst521 BT"/>
          <w:lang w:val="es-CO"/>
        </w:rPr>
      </w:pPr>
    </w:p>
    <w:p w14:paraId="4F6B166C" w14:textId="2C66A0D6" w:rsidR="000D6DE5" w:rsidRPr="007F0FA7" w:rsidRDefault="0004137F" w:rsidP="00093B44">
      <w:pPr>
        <w:jc w:val="both"/>
        <w:rPr>
          <w:rFonts w:ascii="Humanst521 BT" w:hAnsi="Humanst521 BT"/>
          <w:lang w:val="es-CO"/>
        </w:rPr>
      </w:pPr>
      <w:r w:rsidRPr="007F0FA7">
        <w:rPr>
          <w:rFonts w:ascii="Humanst521 BT" w:hAnsi="Humanst521 BT"/>
          <w:noProof/>
        </w:rPr>
        <w:drawing>
          <wp:inline distT="0" distB="0" distL="0" distR="0" wp14:anchorId="7834EC2F" wp14:editId="04368665">
            <wp:extent cx="6070600" cy="4199890"/>
            <wp:effectExtent l="0" t="0" r="6350" b="10160"/>
            <wp:docPr id="64" name="Gráfico 64">
              <a:extLst xmlns:a="http://schemas.openxmlformats.org/drawingml/2006/main">
                <a:ext uri="{FF2B5EF4-FFF2-40B4-BE49-F238E27FC236}">
                  <a16:creationId xmlns:a16="http://schemas.microsoft.com/office/drawing/2014/main" id="{C9282BA6-1B1E-4BC4-B710-E4AB520C3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1BFC3E9" w14:textId="7D905353" w:rsidR="000D6DE5" w:rsidRPr="007F0FA7" w:rsidRDefault="00660F02" w:rsidP="00093B44">
      <w:pPr>
        <w:pStyle w:val="Cita"/>
        <w:spacing w:line="240" w:lineRule="auto"/>
        <w:jc w:val="both"/>
        <w:rPr>
          <w:rFonts w:ascii="Humanst521 BT" w:hAnsi="Humanst521 BT"/>
          <w:sz w:val="22"/>
          <w:szCs w:val="22"/>
        </w:rPr>
      </w:pPr>
      <w:r w:rsidRPr="007F0FA7">
        <w:rPr>
          <w:rFonts w:ascii="Humanst521 BT" w:hAnsi="Humanst521 BT"/>
          <w:sz w:val="22"/>
          <w:szCs w:val="22"/>
        </w:rPr>
        <w:lastRenderedPageBreak/>
        <w:t>Fuente: Bodega de Datos de SISPRO (SGD) 202</w:t>
      </w:r>
      <w:r w:rsidR="00E37498">
        <w:rPr>
          <w:rFonts w:ascii="Humanst521 BT" w:hAnsi="Humanst521 BT"/>
          <w:sz w:val="22"/>
          <w:szCs w:val="22"/>
        </w:rPr>
        <w:t>4</w:t>
      </w:r>
      <w:r w:rsidRPr="007F0FA7">
        <w:rPr>
          <w:rFonts w:ascii="Humanst521 BT" w:hAnsi="Humanst521 BT"/>
          <w:sz w:val="22"/>
          <w:szCs w:val="22"/>
        </w:rPr>
        <w:t>. tasa ajustada de mortalidad por 100.000 afiliados</w:t>
      </w:r>
    </w:p>
    <w:p w14:paraId="4A3992AB" w14:textId="77777777" w:rsidR="006F1862" w:rsidRPr="007F0FA7" w:rsidRDefault="006F1862" w:rsidP="00093B44">
      <w:pPr>
        <w:pStyle w:val="NormalWeb"/>
        <w:jc w:val="both"/>
        <w:rPr>
          <w:rFonts w:ascii="Humanst521 BT" w:hAnsi="Humanst521 BT"/>
          <w:sz w:val="22"/>
          <w:szCs w:val="22"/>
        </w:rPr>
      </w:pPr>
      <w:r w:rsidRPr="007F0FA7">
        <w:rPr>
          <w:rFonts w:ascii="Humanst521 BT" w:hAnsi="Humanst521 BT"/>
          <w:sz w:val="22"/>
          <w:szCs w:val="22"/>
        </w:rPr>
        <w:t xml:space="preserve">En </w:t>
      </w:r>
      <w:r w:rsidRPr="007F0FA7">
        <w:rPr>
          <w:rStyle w:val="Textoennegrita"/>
          <w:rFonts w:ascii="Humanst521 BT" w:hAnsi="Humanst521 BT"/>
          <w:sz w:val="22"/>
          <w:szCs w:val="22"/>
        </w:rPr>
        <w:t>Santander</w:t>
      </w:r>
      <w:r w:rsidRPr="007F0FA7">
        <w:rPr>
          <w:rFonts w:ascii="Humanst521 BT" w:hAnsi="Humanst521 BT"/>
          <w:sz w:val="22"/>
          <w:szCs w:val="22"/>
        </w:rPr>
        <w:t xml:space="preserve">, las principales causas de mortalidad, según las tasas de AVPP ajustadas por edad, fueron: </w:t>
      </w:r>
      <w:r w:rsidRPr="007F0FA7">
        <w:rPr>
          <w:rStyle w:val="Textoennegrita"/>
          <w:rFonts w:ascii="Humanst521 BT" w:hAnsi="Humanst521 BT"/>
          <w:sz w:val="22"/>
          <w:szCs w:val="22"/>
        </w:rPr>
        <w:t>todas las demás enfermedades</w:t>
      </w:r>
      <w:r w:rsidRPr="007F0FA7">
        <w:rPr>
          <w:rFonts w:ascii="Humanst521 BT" w:hAnsi="Humanst521 BT"/>
          <w:sz w:val="22"/>
          <w:szCs w:val="22"/>
        </w:rPr>
        <w:t xml:space="preserve">, con una tasa ajustada de </w:t>
      </w:r>
      <w:r w:rsidRPr="007F0FA7">
        <w:rPr>
          <w:rStyle w:val="Textoennegrita"/>
          <w:rFonts w:ascii="Humanst521 BT" w:hAnsi="Humanst521 BT"/>
          <w:sz w:val="22"/>
          <w:szCs w:val="22"/>
        </w:rPr>
        <w:t>4.535,79 AVPP</w:t>
      </w:r>
      <w:r w:rsidRPr="007F0FA7">
        <w:rPr>
          <w:rFonts w:ascii="Humanst521 BT" w:hAnsi="Humanst521 BT"/>
          <w:sz w:val="22"/>
          <w:szCs w:val="22"/>
        </w:rPr>
        <w:t xml:space="preserve">; </w:t>
      </w:r>
      <w:r w:rsidRPr="007F0FA7">
        <w:rPr>
          <w:rStyle w:val="Textoennegrita"/>
          <w:rFonts w:ascii="Humanst521 BT" w:hAnsi="Humanst521 BT"/>
          <w:sz w:val="22"/>
          <w:szCs w:val="22"/>
        </w:rPr>
        <w:t>neoplasias</w:t>
      </w:r>
      <w:r w:rsidRPr="007F0FA7">
        <w:rPr>
          <w:rFonts w:ascii="Humanst521 BT" w:hAnsi="Humanst521 BT"/>
          <w:sz w:val="22"/>
          <w:szCs w:val="22"/>
        </w:rPr>
        <w:t xml:space="preserve">, con una tasa de </w:t>
      </w:r>
      <w:r w:rsidRPr="007F0FA7">
        <w:rPr>
          <w:rStyle w:val="Textoennegrita"/>
          <w:rFonts w:ascii="Humanst521 BT" w:hAnsi="Humanst521 BT"/>
          <w:sz w:val="22"/>
          <w:szCs w:val="22"/>
        </w:rPr>
        <w:t>2.867,31 AVPP</w:t>
      </w:r>
      <w:r w:rsidRPr="007F0FA7">
        <w:rPr>
          <w:rFonts w:ascii="Humanst521 BT" w:hAnsi="Humanst521 BT"/>
          <w:sz w:val="22"/>
          <w:szCs w:val="22"/>
        </w:rPr>
        <w:t xml:space="preserve">; y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con una tasa de </w:t>
      </w:r>
      <w:r w:rsidRPr="007F0FA7">
        <w:rPr>
          <w:rStyle w:val="Textoennegrita"/>
          <w:rFonts w:ascii="Humanst521 BT" w:hAnsi="Humanst521 BT"/>
          <w:sz w:val="22"/>
          <w:szCs w:val="22"/>
        </w:rPr>
        <w:t>2.458,36 AVPP</w:t>
      </w:r>
      <w:r w:rsidRPr="007F0FA7">
        <w:rPr>
          <w:rFonts w:ascii="Humanst521 BT" w:hAnsi="Humanst521 BT"/>
          <w:sz w:val="22"/>
          <w:szCs w:val="22"/>
        </w:rPr>
        <w:t xml:space="preserve">. Todas estas causas presentaron valores </w:t>
      </w:r>
      <w:r w:rsidRPr="007F0FA7">
        <w:rPr>
          <w:rStyle w:val="Textoennegrita"/>
          <w:rFonts w:ascii="Humanst521 BT" w:hAnsi="Humanst521 BT"/>
          <w:sz w:val="22"/>
          <w:szCs w:val="22"/>
        </w:rPr>
        <w:t>superiores</w:t>
      </w:r>
      <w:r w:rsidRPr="007F0FA7">
        <w:rPr>
          <w:rFonts w:ascii="Humanst521 BT" w:hAnsi="Humanst521 BT"/>
          <w:sz w:val="22"/>
          <w:szCs w:val="22"/>
        </w:rPr>
        <w:t xml:space="preserve"> al promedio departamental, con </w:t>
      </w:r>
      <w:r w:rsidRPr="007F0FA7">
        <w:rPr>
          <w:rStyle w:val="Textoennegrita"/>
          <w:rFonts w:ascii="Humanst521 BT" w:hAnsi="Humanst521 BT"/>
          <w:sz w:val="22"/>
          <w:szCs w:val="22"/>
        </w:rPr>
        <w:t>diferencias significativas</w:t>
      </w:r>
      <w:r w:rsidRPr="007F0FA7">
        <w:rPr>
          <w:rFonts w:ascii="Humanst521 BT" w:hAnsi="Humanst521 BT"/>
          <w:sz w:val="22"/>
          <w:szCs w:val="22"/>
        </w:rPr>
        <w:t>.</w:t>
      </w:r>
    </w:p>
    <w:p w14:paraId="1DBC8589" w14:textId="77777777" w:rsidR="006F1862" w:rsidRPr="007F0FA7" w:rsidRDefault="006F1862" w:rsidP="00093B44">
      <w:pPr>
        <w:pStyle w:val="NormalWeb"/>
        <w:jc w:val="both"/>
        <w:rPr>
          <w:rFonts w:ascii="Humanst521 BT" w:hAnsi="Humanst521 BT"/>
          <w:sz w:val="22"/>
          <w:szCs w:val="22"/>
        </w:rPr>
      </w:pPr>
      <w:r w:rsidRPr="007F0FA7">
        <w:rPr>
          <w:rFonts w:ascii="Humanst521 BT" w:hAnsi="Humanst521 BT"/>
          <w:sz w:val="22"/>
          <w:szCs w:val="22"/>
        </w:rPr>
        <w:t xml:space="preserve">Las tasas ajustadas de AVPP en </w:t>
      </w:r>
      <w:r w:rsidRPr="007F0FA7">
        <w:rPr>
          <w:rStyle w:val="Textoennegrita"/>
          <w:rFonts w:ascii="Humanst521 BT" w:hAnsi="Humanst521 BT"/>
          <w:sz w:val="22"/>
          <w:szCs w:val="22"/>
        </w:rPr>
        <w:t>hombres</w:t>
      </w:r>
      <w:r w:rsidRPr="007F0FA7">
        <w:rPr>
          <w:rFonts w:ascii="Humanst521 BT" w:hAnsi="Humanst521 BT"/>
          <w:sz w:val="22"/>
          <w:szCs w:val="22"/>
        </w:rPr>
        <w:t xml:space="preserve"> para los municipios fueron las siguientes: en </w:t>
      </w:r>
      <w:r w:rsidRPr="007F0FA7">
        <w:rPr>
          <w:rStyle w:val="Textoennegrita"/>
          <w:rFonts w:ascii="Humanst521 BT" w:hAnsi="Humanst521 BT"/>
          <w:sz w:val="22"/>
          <w:szCs w:val="22"/>
        </w:rPr>
        <w:t>Bucaramanga</w:t>
      </w:r>
      <w:r w:rsidRPr="007F0FA7">
        <w:rPr>
          <w:rFonts w:ascii="Humanst521 BT" w:hAnsi="Humanst521 BT"/>
          <w:sz w:val="22"/>
          <w:szCs w:val="22"/>
        </w:rPr>
        <w:t xml:space="preserve">, las principales causas fueron </w:t>
      </w:r>
      <w:r w:rsidRPr="007F0FA7">
        <w:rPr>
          <w:rStyle w:val="Textoennegrita"/>
          <w:rFonts w:ascii="Humanst521 BT" w:hAnsi="Humanst521 BT"/>
          <w:sz w:val="22"/>
          <w:szCs w:val="22"/>
        </w:rPr>
        <w:t>neoplasias</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2.867,31 AVPP</w:t>
      </w:r>
      <w:r w:rsidRPr="007F0FA7">
        <w:rPr>
          <w:rFonts w:ascii="Humanst521 BT" w:hAnsi="Humanst521 BT"/>
          <w:sz w:val="22"/>
          <w:szCs w:val="22"/>
        </w:rPr>
        <w:t xml:space="preserve">;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con una tasa de </w:t>
      </w:r>
      <w:r w:rsidRPr="007F0FA7">
        <w:rPr>
          <w:rStyle w:val="Textoennegrita"/>
          <w:rFonts w:ascii="Humanst521 BT" w:hAnsi="Humanst521 BT"/>
          <w:sz w:val="22"/>
          <w:szCs w:val="22"/>
        </w:rPr>
        <w:t>2.352,82 AVPP</w:t>
      </w:r>
      <w:r w:rsidRPr="007F0FA7">
        <w:rPr>
          <w:rFonts w:ascii="Humanst521 BT" w:hAnsi="Humanst521 BT"/>
          <w:sz w:val="22"/>
          <w:szCs w:val="22"/>
        </w:rPr>
        <w:t xml:space="preserve">; y </w:t>
      </w:r>
      <w:r w:rsidRPr="007F0FA7">
        <w:rPr>
          <w:rStyle w:val="Textoennegrita"/>
          <w:rFonts w:ascii="Humanst521 BT" w:hAnsi="Humanst521 BT"/>
          <w:sz w:val="22"/>
          <w:szCs w:val="22"/>
        </w:rPr>
        <w:t>todas las demás enfermedades</w:t>
      </w:r>
      <w:r w:rsidRPr="007F0FA7">
        <w:rPr>
          <w:rFonts w:ascii="Humanst521 BT" w:hAnsi="Humanst521 BT"/>
          <w:sz w:val="22"/>
          <w:szCs w:val="22"/>
        </w:rPr>
        <w:t xml:space="preserve">, con una tasa de </w:t>
      </w:r>
      <w:r w:rsidRPr="007F0FA7">
        <w:rPr>
          <w:rStyle w:val="Textoennegrita"/>
          <w:rFonts w:ascii="Humanst521 BT" w:hAnsi="Humanst521 BT"/>
          <w:sz w:val="22"/>
          <w:szCs w:val="22"/>
        </w:rPr>
        <w:t>757,80 AVPP</w:t>
      </w:r>
      <w:r w:rsidRPr="007F0FA7">
        <w:rPr>
          <w:rFonts w:ascii="Humanst521 BT" w:hAnsi="Humanst521 BT"/>
          <w:sz w:val="22"/>
          <w:szCs w:val="22"/>
        </w:rPr>
        <w:t xml:space="preserve">. Las dos primeras causas presentaron valores </w:t>
      </w:r>
      <w:r w:rsidRPr="007F0FA7">
        <w:rPr>
          <w:rStyle w:val="Textoennegrita"/>
          <w:rFonts w:ascii="Humanst521 BT" w:hAnsi="Humanst521 BT"/>
          <w:sz w:val="22"/>
          <w:szCs w:val="22"/>
        </w:rPr>
        <w:t>superiores</w:t>
      </w:r>
      <w:r w:rsidRPr="007F0FA7">
        <w:rPr>
          <w:rFonts w:ascii="Humanst521 BT" w:hAnsi="Humanst521 BT"/>
          <w:sz w:val="22"/>
          <w:szCs w:val="22"/>
        </w:rPr>
        <w:t xml:space="preserve"> a los reportados en el municipio, mientras que la última mostró un valor </w:t>
      </w:r>
      <w:r w:rsidRPr="007F0FA7">
        <w:rPr>
          <w:rStyle w:val="Textoennegrita"/>
          <w:rFonts w:ascii="Humanst521 BT" w:hAnsi="Humanst521 BT"/>
          <w:sz w:val="22"/>
          <w:szCs w:val="22"/>
        </w:rPr>
        <w:t>inferior</w:t>
      </w:r>
      <w:r w:rsidRPr="007F0FA7">
        <w:rPr>
          <w:rFonts w:ascii="Humanst521 BT" w:hAnsi="Humanst521 BT"/>
          <w:sz w:val="22"/>
          <w:szCs w:val="22"/>
        </w:rPr>
        <w:t xml:space="preserve">, con </w:t>
      </w:r>
      <w:r w:rsidRPr="007F0FA7">
        <w:rPr>
          <w:rStyle w:val="Textoennegrita"/>
          <w:rFonts w:ascii="Humanst521 BT" w:hAnsi="Humanst521 BT"/>
          <w:sz w:val="22"/>
          <w:szCs w:val="22"/>
        </w:rPr>
        <w:t>una diferencia significativa</w:t>
      </w:r>
      <w:r w:rsidRPr="007F0FA7">
        <w:rPr>
          <w:rFonts w:ascii="Humanst521 BT" w:hAnsi="Humanst521 BT"/>
          <w:sz w:val="22"/>
          <w:szCs w:val="22"/>
        </w:rPr>
        <w:t>.</w:t>
      </w:r>
    </w:p>
    <w:p w14:paraId="645BA352" w14:textId="77777777" w:rsidR="006F1862" w:rsidRPr="007F0FA7" w:rsidRDefault="006F1862" w:rsidP="00093B44">
      <w:pPr>
        <w:pStyle w:val="NormalWeb"/>
        <w:jc w:val="both"/>
        <w:rPr>
          <w:rFonts w:ascii="Humanst521 BT" w:hAnsi="Humanst521 BT"/>
          <w:sz w:val="22"/>
          <w:szCs w:val="22"/>
        </w:rPr>
      </w:pPr>
      <w:r w:rsidRPr="007F0FA7">
        <w:rPr>
          <w:rFonts w:ascii="Humanst521 BT" w:hAnsi="Humanst521 BT"/>
          <w:sz w:val="22"/>
          <w:szCs w:val="22"/>
        </w:rPr>
        <w:t xml:space="preserve">En </w:t>
      </w:r>
      <w:r w:rsidRPr="007F0FA7">
        <w:rPr>
          <w:rStyle w:val="Textoennegrita"/>
          <w:rFonts w:ascii="Humanst521 BT" w:hAnsi="Humanst521 BT"/>
          <w:sz w:val="22"/>
          <w:szCs w:val="22"/>
        </w:rPr>
        <w:t>Floridablanca</w:t>
      </w:r>
      <w:r w:rsidRPr="007F0FA7">
        <w:rPr>
          <w:rFonts w:ascii="Humanst521 BT" w:hAnsi="Humanst521 BT"/>
          <w:sz w:val="22"/>
          <w:szCs w:val="22"/>
        </w:rPr>
        <w:t xml:space="preserve">, las causas de mortalidad incluyeron </w:t>
      </w:r>
      <w:r w:rsidRPr="007F0FA7">
        <w:rPr>
          <w:rStyle w:val="Textoennegrita"/>
          <w:rFonts w:ascii="Humanst521 BT" w:hAnsi="Humanst521 BT"/>
          <w:sz w:val="22"/>
          <w:szCs w:val="22"/>
        </w:rPr>
        <w:t>todas las demás enfermedades</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20.543,23 AVPP</w:t>
      </w:r>
      <w:r w:rsidRPr="007F0FA7">
        <w:rPr>
          <w:rFonts w:ascii="Humanst521 BT" w:hAnsi="Humanst521 BT"/>
          <w:sz w:val="22"/>
          <w:szCs w:val="22"/>
        </w:rPr>
        <w:t xml:space="preserve">;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con una tasa de </w:t>
      </w:r>
      <w:r w:rsidRPr="007F0FA7">
        <w:rPr>
          <w:rStyle w:val="Textoennegrita"/>
          <w:rFonts w:ascii="Humanst521 BT" w:hAnsi="Humanst521 BT"/>
          <w:sz w:val="22"/>
          <w:szCs w:val="22"/>
        </w:rPr>
        <w:t>3.953,01 AVPP</w:t>
      </w:r>
      <w:r w:rsidRPr="007F0FA7">
        <w:rPr>
          <w:rFonts w:ascii="Humanst521 BT" w:hAnsi="Humanst521 BT"/>
          <w:sz w:val="22"/>
          <w:szCs w:val="22"/>
        </w:rPr>
        <w:t xml:space="preserve">; y </w:t>
      </w:r>
      <w:r w:rsidRPr="007F0FA7">
        <w:rPr>
          <w:rStyle w:val="Textoennegrita"/>
          <w:rFonts w:ascii="Humanst521 BT" w:hAnsi="Humanst521 BT"/>
          <w:sz w:val="22"/>
          <w:szCs w:val="22"/>
        </w:rPr>
        <w:t>neoplasias</w:t>
      </w:r>
      <w:r w:rsidRPr="007F0FA7">
        <w:rPr>
          <w:rFonts w:ascii="Humanst521 BT" w:hAnsi="Humanst521 BT"/>
          <w:sz w:val="22"/>
          <w:szCs w:val="22"/>
        </w:rPr>
        <w:t xml:space="preserve">, con una tasa de </w:t>
      </w:r>
      <w:r w:rsidRPr="007F0FA7">
        <w:rPr>
          <w:rStyle w:val="Textoennegrita"/>
          <w:rFonts w:ascii="Humanst521 BT" w:hAnsi="Humanst521 BT"/>
          <w:sz w:val="22"/>
          <w:szCs w:val="22"/>
        </w:rPr>
        <w:t>1.672,93 AVPP</w:t>
      </w:r>
      <w:r w:rsidRPr="007F0FA7">
        <w:rPr>
          <w:rFonts w:ascii="Humanst521 BT" w:hAnsi="Humanst521 BT"/>
          <w:sz w:val="22"/>
          <w:szCs w:val="22"/>
        </w:rPr>
        <w:t xml:space="preserve">. Las dos primeras causas presentaron valores </w:t>
      </w:r>
      <w:r w:rsidRPr="007F0FA7">
        <w:rPr>
          <w:rStyle w:val="Textoennegrita"/>
          <w:rFonts w:ascii="Humanst521 BT" w:hAnsi="Humanst521 BT"/>
          <w:sz w:val="22"/>
          <w:szCs w:val="22"/>
        </w:rPr>
        <w:t>superiores</w:t>
      </w:r>
      <w:r w:rsidRPr="007F0FA7">
        <w:rPr>
          <w:rFonts w:ascii="Humanst521 BT" w:hAnsi="Humanst521 BT"/>
          <w:sz w:val="22"/>
          <w:szCs w:val="22"/>
        </w:rPr>
        <w:t xml:space="preserve"> a los del municipio, con </w:t>
      </w:r>
      <w:r w:rsidRPr="007F0FA7">
        <w:rPr>
          <w:rStyle w:val="Textoennegrita"/>
          <w:rFonts w:ascii="Humanst521 BT" w:hAnsi="Humanst521 BT"/>
          <w:sz w:val="22"/>
          <w:szCs w:val="22"/>
        </w:rPr>
        <w:t>diferencias significativas</w:t>
      </w:r>
      <w:r w:rsidRPr="007F0FA7">
        <w:rPr>
          <w:rFonts w:ascii="Humanst521 BT" w:hAnsi="Humanst521 BT"/>
          <w:sz w:val="22"/>
          <w:szCs w:val="22"/>
        </w:rPr>
        <w:t xml:space="preserve">, mientras que las </w:t>
      </w:r>
      <w:r w:rsidRPr="007F0FA7">
        <w:rPr>
          <w:rStyle w:val="Textoennegrita"/>
          <w:rFonts w:ascii="Humanst521 BT" w:hAnsi="Humanst521 BT"/>
          <w:sz w:val="22"/>
          <w:szCs w:val="22"/>
        </w:rPr>
        <w:t>neoplasias</w:t>
      </w:r>
      <w:r w:rsidRPr="007F0FA7">
        <w:rPr>
          <w:rFonts w:ascii="Humanst521 BT" w:hAnsi="Humanst521 BT"/>
          <w:sz w:val="22"/>
          <w:szCs w:val="22"/>
        </w:rPr>
        <w:t xml:space="preserve"> tuvieron un valor </w:t>
      </w:r>
      <w:r w:rsidRPr="007F0FA7">
        <w:rPr>
          <w:rStyle w:val="Textoennegrita"/>
          <w:rFonts w:ascii="Humanst521 BT" w:hAnsi="Humanst521 BT"/>
          <w:sz w:val="22"/>
          <w:szCs w:val="22"/>
        </w:rPr>
        <w:t>inferior</w:t>
      </w:r>
      <w:r w:rsidRPr="007F0FA7">
        <w:rPr>
          <w:rFonts w:ascii="Humanst521 BT" w:hAnsi="Humanst521 BT"/>
          <w:sz w:val="22"/>
          <w:szCs w:val="22"/>
        </w:rPr>
        <w:t>.</w:t>
      </w:r>
    </w:p>
    <w:p w14:paraId="2A9576BA" w14:textId="77777777" w:rsidR="006F1862" w:rsidRPr="007F0FA7" w:rsidRDefault="006F1862" w:rsidP="00093B44">
      <w:pPr>
        <w:pStyle w:val="NormalWeb"/>
        <w:jc w:val="both"/>
        <w:rPr>
          <w:rFonts w:ascii="Humanst521 BT" w:hAnsi="Humanst521 BT"/>
          <w:sz w:val="22"/>
          <w:szCs w:val="22"/>
        </w:rPr>
      </w:pPr>
      <w:r w:rsidRPr="007F0FA7">
        <w:rPr>
          <w:rFonts w:ascii="Humanst521 BT" w:hAnsi="Humanst521 BT"/>
          <w:sz w:val="22"/>
          <w:szCs w:val="22"/>
        </w:rPr>
        <w:t xml:space="preserve">A continuación, se presentan los resultados para otros departamentos: en </w:t>
      </w:r>
      <w:r w:rsidRPr="007F0FA7">
        <w:rPr>
          <w:rStyle w:val="Textoennegrita"/>
          <w:rFonts w:ascii="Humanst521 BT" w:hAnsi="Humanst521 BT"/>
          <w:sz w:val="22"/>
          <w:szCs w:val="22"/>
        </w:rPr>
        <w:t>Antioquia</w:t>
      </w:r>
      <w:r w:rsidRPr="007F0FA7">
        <w:rPr>
          <w:rFonts w:ascii="Humanst521 BT" w:hAnsi="Humanst521 BT"/>
          <w:sz w:val="22"/>
          <w:szCs w:val="22"/>
        </w:rPr>
        <w:t xml:space="preserve">, las </w:t>
      </w:r>
      <w:r w:rsidRPr="007F0FA7">
        <w:rPr>
          <w:rStyle w:val="Textoennegrita"/>
          <w:rFonts w:ascii="Humanst521 BT" w:hAnsi="Humanst521 BT"/>
          <w:sz w:val="22"/>
          <w:szCs w:val="22"/>
        </w:rPr>
        <w:t>enfermedades transmisibles</w:t>
      </w:r>
      <w:r w:rsidRPr="007F0FA7">
        <w:rPr>
          <w:rFonts w:ascii="Humanst521 BT" w:hAnsi="Humanst521 BT"/>
          <w:sz w:val="22"/>
          <w:szCs w:val="22"/>
        </w:rPr>
        <w:t xml:space="preserve"> registraron una tasa ajustada por edad de </w:t>
      </w:r>
      <w:r w:rsidRPr="007F0FA7">
        <w:rPr>
          <w:rStyle w:val="Textoennegrita"/>
          <w:rFonts w:ascii="Humanst521 BT" w:hAnsi="Humanst521 BT"/>
          <w:sz w:val="22"/>
          <w:szCs w:val="22"/>
        </w:rPr>
        <w:t>18.650,00 AVPP</w:t>
      </w:r>
      <w:r w:rsidRPr="007F0FA7">
        <w:rPr>
          <w:rFonts w:ascii="Humanst521 BT" w:hAnsi="Humanst521 BT"/>
          <w:sz w:val="22"/>
          <w:szCs w:val="22"/>
        </w:rPr>
        <w:t xml:space="preserve">, valor </w:t>
      </w:r>
      <w:r w:rsidRPr="007F0FA7">
        <w:rPr>
          <w:rStyle w:val="Textoennegrita"/>
          <w:rFonts w:ascii="Humanst521 BT" w:hAnsi="Humanst521 BT"/>
          <w:sz w:val="22"/>
          <w:szCs w:val="22"/>
        </w:rPr>
        <w:t>superior</w:t>
      </w:r>
      <w:r w:rsidRPr="007F0FA7">
        <w:rPr>
          <w:rFonts w:ascii="Humanst521 BT" w:hAnsi="Humanst521 BT"/>
          <w:sz w:val="22"/>
          <w:szCs w:val="22"/>
        </w:rPr>
        <w:t xml:space="preserve"> al registrado en el municipio, con </w:t>
      </w:r>
      <w:r w:rsidRPr="007F0FA7">
        <w:rPr>
          <w:rStyle w:val="Textoennegrita"/>
          <w:rFonts w:ascii="Humanst521 BT" w:hAnsi="Humanst521 BT"/>
          <w:sz w:val="22"/>
          <w:szCs w:val="22"/>
        </w:rPr>
        <w:t>una diferencia significativa</w:t>
      </w:r>
      <w:r w:rsidRPr="007F0FA7">
        <w:rPr>
          <w:rFonts w:ascii="Humanst521 BT" w:hAnsi="Humanst521 BT"/>
          <w:sz w:val="22"/>
          <w:szCs w:val="22"/>
        </w:rPr>
        <w:t xml:space="preserve">. En </w:t>
      </w:r>
      <w:r w:rsidRPr="007F0FA7">
        <w:rPr>
          <w:rStyle w:val="Textoennegrita"/>
          <w:rFonts w:ascii="Humanst521 BT" w:hAnsi="Humanst521 BT"/>
          <w:sz w:val="22"/>
          <w:szCs w:val="22"/>
        </w:rPr>
        <w:t>Bogotá D.C.</w:t>
      </w:r>
      <w:r w:rsidRPr="007F0FA7">
        <w:rPr>
          <w:rFonts w:ascii="Humanst521 BT" w:hAnsi="Humanst521 BT"/>
          <w:sz w:val="22"/>
          <w:szCs w:val="22"/>
        </w:rPr>
        <w:t xml:space="preserve">, las </w:t>
      </w:r>
      <w:r w:rsidRPr="007F0FA7">
        <w:rPr>
          <w:rStyle w:val="Textoennegrita"/>
          <w:rFonts w:ascii="Humanst521 BT" w:hAnsi="Humanst521 BT"/>
          <w:sz w:val="22"/>
          <w:szCs w:val="22"/>
        </w:rPr>
        <w:t>neoplasias</w:t>
      </w:r>
      <w:r w:rsidRPr="007F0FA7">
        <w:rPr>
          <w:rFonts w:ascii="Humanst521 BT" w:hAnsi="Humanst521 BT"/>
          <w:sz w:val="22"/>
          <w:szCs w:val="22"/>
        </w:rPr>
        <w:t xml:space="preserve"> mostraron una tasa ajustada por edad de </w:t>
      </w:r>
      <w:r w:rsidRPr="007F0FA7">
        <w:rPr>
          <w:rStyle w:val="Textoennegrita"/>
          <w:rFonts w:ascii="Humanst521 BT" w:hAnsi="Humanst521 BT"/>
          <w:sz w:val="22"/>
          <w:szCs w:val="22"/>
        </w:rPr>
        <w:t>155.187,50 AVPP</w:t>
      </w:r>
      <w:r w:rsidRPr="007F0FA7">
        <w:rPr>
          <w:rFonts w:ascii="Humanst521 BT" w:hAnsi="Humanst521 BT"/>
          <w:sz w:val="22"/>
          <w:szCs w:val="22"/>
        </w:rPr>
        <w:t xml:space="preserve">, valor </w:t>
      </w:r>
      <w:r w:rsidRPr="007F0FA7">
        <w:rPr>
          <w:rStyle w:val="Textoennegrita"/>
          <w:rFonts w:ascii="Humanst521 BT" w:hAnsi="Humanst521 BT"/>
          <w:sz w:val="22"/>
          <w:szCs w:val="22"/>
        </w:rPr>
        <w:t>superior</w:t>
      </w:r>
      <w:r w:rsidRPr="007F0FA7">
        <w:rPr>
          <w:rFonts w:ascii="Humanst521 BT" w:hAnsi="Humanst521 BT"/>
          <w:sz w:val="22"/>
          <w:szCs w:val="22"/>
        </w:rPr>
        <w:t xml:space="preserve"> al reportado por el municipio, con </w:t>
      </w:r>
      <w:r w:rsidRPr="007F0FA7">
        <w:rPr>
          <w:rStyle w:val="Textoennegrita"/>
          <w:rFonts w:ascii="Humanst521 BT" w:hAnsi="Humanst521 BT"/>
          <w:sz w:val="22"/>
          <w:szCs w:val="22"/>
        </w:rPr>
        <w:t>una diferencia significativa</w:t>
      </w:r>
      <w:r w:rsidRPr="007F0FA7">
        <w:rPr>
          <w:rFonts w:ascii="Humanst521 BT" w:hAnsi="Humanst521 BT"/>
          <w:sz w:val="22"/>
          <w:szCs w:val="22"/>
        </w:rPr>
        <w:t>.</w:t>
      </w:r>
    </w:p>
    <w:p w14:paraId="07766987" w14:textId="57F1D3EC" w:rsidR="00102F95" w:rsidRPr="007F0FA7" w:rsidRDefault="00102F95" w:rsidP="00093B44">
      <w:pPr>
        <w:jc w:val="both"/>
        <w:rPr>
          <w:rFonts w:ascii="Humanst521 BT" w:hAnsi="Humanst521 BT"/>
          <w:lang w:val="es-CO"/>
        </w:rPr>
      </w:pPr>
      <w:r w:rsidRPr="007F0FA7">
        <w:rPr>
          <w:rFonts w:ascii="Humanst521 BT" w:hAnsi="Humanst521 BT"/>
          <w:lang w:val="es-CO"/>
        </w:rPr>
        <w:t xml:space="preserve">En la </w:t>
      </w:r>
      <w:r w:rsidRPr="007F0FA7">
        <w:rPr>
          <w:rFonts w:ascii="Humanst521 BT" w:hAnsi="Humanst521 BT"/>
          <w:b/>
          <w:bCs/>
          <w:lang w:val="es-CO"/>
        </w:rPr>
        <w:t xml:space="preserve">tabla </w:t>
      </w:r>
      <w:r w:rsidR="00687D1F" w:rsidRPr="007F0FA7">
        <w:rPr>
          <w:rFonts w:ascii="Humanst521 BT" w:hAnsi="Humanst521 BT"/>
          <w:b/>
          <w:bCs/>
          <w:lang w:val="es-CO"/>
        </w:rPr>
        <w:t>siguiente</w:t>
      </w:r>
      <w:r w:rsidRPr="007F0FA7">
        <w:rPr>
          <w:rFonts w:ascii="Humanst521 BT" w:hAnsi="Humanst521 BT"/>
          <w:lang w:val="es-CO"/>
        </w:rPr>
        <w:t>, se presentan las tasas de AVPP ajustadas por edad para UISALUD, por departamentos y municipios de Santander que reportaron casos.</w:t>
      </w:r>
    </w:p>
    <w:p w14:paraId="59C90D27" w14:textId="77777777" w:rsidR="00102F95" w:rsidRPr="007F0FA7" w:rsidRDefault="00102F95" w:rsidP="00093B44">
      <w:pPr>
        <w:jc w:val="both"/>
        <w:rPr>
          <w:rStyle w:val="nfasissutil"/>
          <w:rFonts w:ascii="Humanst521 BT" w:hAnsi="Humanst521 BT"/>
          <w:color w:val="auto"/>
        </w:rPr>
      </w:pPr>
    </w:p>
    <w:p w14:paraId="7497404D" w14:textId="334B15C0" w:rsidR="00074E05" w:rsidRPr="00D92A24"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190" w:name="_Toc161298182"/>
      <w:bookmarkStart w:id="191" w:name="_Toc161318802"/>
      <w:bookmarkStart w:id="192" w:name="_Toc231286285"/>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D92A24" w:rsidRPr="00D92A24">
        <w:rPr>
          <w:rFonts w:ascii="Humanst521 BT" w:eastAsia="Verdana" w:hAnsi="Humanst521 BT" w:cs="Verdana"/>
          <w:b w:val="0"/>
          <w:bCs w:val="0"/>
          <w:noProof/>
          <w:color w:val="auto"/>
          <w:sz w:val="22"/>
          <w:szCs w:val="22"/>
          <w:lang w:val="es-ES"/>
        </w:rPr>
        <w:t>40</w:t>
      </w:r>
      <w:r w:rsidRPr="00D92A24">
        <w:rPr>
          <w:rFonts w:ascii="Humanst521 BT" w:eastAsia="Verdana" w:hAnsi="Humanst521 BT" w:cs="Verdana"/>
          <w:b w:val="0"/>
          <w:bCs w:val="0"/>
          <w:color w:val="auto"/>
          <w:sz w:val="22"/>
          <w:szCs w:val="22"/>
          <w:lang w:val="es-ES"/>
        </w:rPr>
        <w:fldChar w:fldCharType="end"/>
      </w:r>
      <w:r w:rsidR="00D92A24">
        <w:rPr>
          <w:rFonts w:ascii="Humanst521 BT" w:eastAsia="Verdana" w:hAnsi="Humanst521 BT" w:cs="Verdana"/>
          <w:b w:val="0"/>
          <w:bCs w:val="0"/>
          <w:color w:val="auto"/>
          <w:sz w:val="22"/>
          <w:szCs w:val="22"/>
          <w:lang w:val="es-ES"/>
        </w:rPr>
        <w:t>.</w:t>
      </w:r>
      <w:r w:rsidRPr="00D92A24">
        <w:rPr>
          <w:rFonts w:ascii="Humanst521 BT" w:eastAsia="Verdana" w:hAnsi="Humanst521 BT" w:cs="Verdana"/>
          <w:b w:val="0"/>
          <w:bCs w:val="0"/>
          <w:color w:val="auto"/>
          <w:sz w:val="22"/>
          <w:szCs w:val="22"/>
          <w:lang w:val="es-ES"/>
        </w:rPr>
        <w:t xml:space="preserve"> Tasas ajustadas de AVPP en población total, UISALUD 202</w:t>
      </w:r>
      <w:bookmarkEnd w:id="190"/>
      <w:bookmarkEnd w:id="191"/>
      <w:r w:rsidR="00E37498" w:rsidRPr="00D92A24">
        <w:rPr>
          <w:rFonts w:ascii="Humanst521 BT" w:eastAsia="Verdana" w:hAnsi="Humanst521 BT" w:cs="Verdana"/>
          <w:b w:val="0"/>
          <w:bCs w:val="0"/>
          <w:color w:val="auto"/>
          <w:sz w:val="22"/>
          <w:szCs w:val="22"/>
          <w:lang w:val="es-ES"/>
        </w:rPr>
        <w:t>4</w:t>
      </w:r>
      <w:bookmarkEnd w:id="192"/>
    </w:p>
    <w:tbl>
      <w:tblPr>
        <w:tblStyle w:val="Tablaconcuadrcula4-nfasis2"/>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3680"/>
        <w:gridCol w:w="1770"/>
        <w:gridCol w:w="1889"/>
      </w:tblGrid>
      <w:tr w:rsidR="00E32CB0" w:rsidRPr="007F0FA7" w14:paraId="126E3D3E" w14:textId="77777777" w:rsidTr="00735F2B">
        <w:trPr>
          <w:cnfStyle w:val="100000000000" w:firstRow="1" w:lastRow="0" w:firstColumn="0" w:lastColumn="0" w:oddVBand="0" w:evenVBand="0" w:oddHBand="0" w:evenHBand="0" w:firstRowFirstColumn="0" w:firstRowLastColumn="0" w:lastRowFirstColumn="0" w:lastRowLastColumn="0"/>
          <w:trHeight w:val="532"/>
          <w:tblHeader/>
        </w:trPr>
        <w:tc>
          <w:tcPr>
            <w:cnfStyle w:val="001000000000" w:firstRow="0" w:lastRow="0" w:firstColumn="1" w:lastColumn="0" w:oddVBand="0" w:evenVBand="0" w:oddHBand="0" w:evenHBand="0" w:firstRowFirstColumn="0" w:firstRowLastColumn="0" w:lastRowFirstColumn="0" w:lastRowLastColumn="0"/>
            <w:tcW w:w="1127"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tcPr>
          <w:p w14:paraId="698AC6CD" w14:textId="77777777" w:rsidR="00074E05" w:rsidRPr="007F0FA7" w:rsidRDefault="00074E05" w:rsidP="00093B44">
            <w:pPr>
              <w:jc w:val="both"/>
              <w:rPr>
                <w:rFonts w:ascii="Humanst521 BT" w:hAnsi="Humanst521 BT" w:cs="Arial"/>
                <w:color w:val="auto"/>
                <w:sz w:val="22"/>
                <w:szCs w:val="22"/>
                <w:lang w:eastAsia="es-CO"/>
              </w:rPr>
            </w:pPr>
            <w:bookmarkStart w:id="193" w:name="_Hlk150547023"/>
            <w:r w:rsidRPr="007F0FA7">
              <w:rPr>
                <w:rFonts w:ascii="Humanst521 BT" w:hAnsi="Humanst521 BT" w:cs="Arial"/>
                <w:color w:val="auto"/>
                <w:sz w:val="22"/>
                <w:szCs w:val="22"/>
                <w:lang w:eastAsia="es-CO"/>
              </w:rPr>
              <w:t>Entidad territorial donde residen los afiliados a UISALUD</w:t>
            </w:r>
          </w:p>
        </w:tc>
        <w:tc>
          <w:tcPr>
            <w:tcW w:w="1942"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tcPr>
          <w:p w14:paraId="0BF997FE"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Grupos de muerte según lista 6/67 OPS-OMS</w:t>
            </w:r>
          </w:p>
        </w:tc>
        <w:tc>
          <w:tcPr>
            <w:tcW w:w="934"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tcPr>
          <w:p w14:paraId="0148A5DF"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AVPP   UISALUD por entidad territorial </w:t>
            </w:r>
          </w:p>
        </w:tc>
        <w:tc>
          <w:tcPr>
            <w:tcW w:w="997"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tcPr>
          <w:p w14:paraId="5B101122"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mortalidad en la entidad territorial </w:t>
            </w:r>
            <w:r w:rsidRPr="007F0FA7">
              <w:rPr>
                <w:rFonts w:ascii="Humanst521 BT" w:hAnsi="Humanst521 BT" w:cs="Arial"/>
                <w:color w:val="auto"/>
                <w:sz w:val="22"/>
                <w:szCs w:val="22"/>
                <w:vertAlign w:val="superscript"/>
              </w:rPr>
              <w:t>*</w:t>
            </w:r>
          </w:p>
        </w:tc>
      </w:tr>
      <w:bookmarkEnd w:id="193"/>
      <w:tr w:rsidR="00E32CB0" w:rsidRPr="007F0FA7" w14:paraId="4ED4564E" w14:textId="77777777" w:rsidTr="00735F2B">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C5E0B3" w:themeFill="accent6" w:themeFillTint="66"/>
          </w:tcPr>
          <w:p w14:paraId="2A302414" w14:textId="77777777" w:rsidR="00074E05" w:rsidRPr="007F0FA7" w:rsidRDefault="00074E05" w:rsidP="00093B44">
            <w:pPr>
              <w:jc w:val="both"/>
              <w:rPr>
                <w:rFonts w:ascii="Humanst521 BT" w:hAnsi="Humanst521 BT" w:cs="Arial"/>
                <w:sz w:val="22"/>
                <w:szCs w:val="22"/>
              </w:rPr>
            </w:pPr>
          </w:p>
        </w:tc>
        <w:tc>
          <w:tcPr>
            <w:tcW w:w="1942" w:type="pct"/>
            <w:vMerge/>
            <w:shd w:val="clear" w:color="auto" w:fill="C5E0B3" w:themeFill="accent6" w:themeFillTint="66"/>
          </w:tcPr>
          <w:p w14:paraId="13E4E1B8"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c>
          <w:tcPr>
            <w:tcW w:w="934" w:type="pct"/>
            <w:vMerge/>
            <w:shd w:val="clear" w:color="auto" w:fill="C5E0B3" w:themeFill="accent6" w:themeFillTint="66"/>
          </w:tcPr>
          <w:p w14:paraId="4EB40A23"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c>
          <w:tcPr>
            <w:tcW w:w="997" w:type="pct"/>
            <w:vMerge/>
            <w:shd w:val="clear" w:color="auto" w:fill="C5E0B3" w:themeFill="accent6" w:themeFillTint="66"/>
          </w:tcPr>
          <w:p w14:paraId="6BF5C6B1"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r>
      <w:tr w:rsidR="00E32CB0" w:rsidRPr="007F0FA7" w14:paraId="55501901" w14:textId="77777777" w:rsidTr="00735F2B">
        <w:trPr>
          <w:trHeight w:val="406"/>
        </w:trPr>
        <w:tc>
          <w:tcPr>
            <w:cnfStyle w:val="001000000000" w:firstRow="0" w:lastRow="0" w:firstColumn="1" w:lastColumn="0" w:oddVBand="0" w:evenVBand="0" w:oddHBand="0" w:evenHBand="0" w:firstRowFirstColumn="0" w:firstRowLastColumn="0" w:lastRowFirstColumn="0" w:lastRowLastColumn="0"/>
            <w:tcW w:w="1127" w:type="pct"/>
            <w:vMerge w:val="restart"/>
            <w:shd w:val="clear" w:color="auto" w:fill="auto"/>
            <w:noWrap/>
            <w:hideMark/>
          </w:tcPr>
          <w:p w14:paraId="42FFDEA7" w14:textId="77777777" w:rsidR="009266BB" w:rsidRPr="007F0FA7" w:rsidRDefault="009266BB" w:rsidP="00093B44">
            <w:pPr>
              <w:jc w:val="both"/>
              <w:rPr>
                <w:rFonts w:ascii="Humanst521 BT" w:hAnsi="Humanst521 BT" w:cs="Arial"/>
                <w:sz w:val="22"/>
                <w:szCs w:val="22"/>
              </w:rPr>
            </w:pPr>
            <w:r w:rsidRPr="007F0FA7">
              <w:rPr>
                <w:rFonts w:ascii="Humanst521 BT" w:hAnsi="Humanst521 BT" w:cs="Arial"/>
                <w:sz w:val="22"/>
                <w:szCs w:val="22"/>
              </w:rPr>
              <w:t>SANTANDER</w:t>
            </w:r>
          </w:p>
        </w:tc>
        <w:tc>
          <w:tcPr>
            <w:tcW w:w="1942" w:type="pct"/>
            <w:shd w:val="clear" w:color="auto" w:fill="auto"/>
            <w:noWrap/>
            <w:hideMark/>
          </w:tcPr>
          <w:p w14:paraId="6D0D9138" w14:textId="77777777"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34" w:type="pct"/>
            <w:shd w:val="clear" w:color="000000" w:fill="92D050"/>
            <w:noWrap/>
            <w:vAlign w:val="bottom"/>
            <w:hideMark/>
          </w:tcPr>
          <w:p w14:paraId="3C890868" w14:textId="1F9C799B"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272,10</w:t>
            </w:r>
          </w:p>
        </w:tc>
        <w:tc>
          <w:tcPr>
            <w:tcW w:w="997" w:type="pct"/>
            <w:noWrap/>
            <w:hideMark/>
          </w:tcPr>
          <w:p w14:paraId="70144962" w14:textId="4AA222C8"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565,69</w:t>
            </w:r>
          </w:p>
        </w:tc>
      </w:tr>
      <w:tr w:rsidR="00E32CB0" w:rsidRPr="007F0FA7" w14:paraId="61C1FD35" w14:textId="77777777" w:rsidTr="00735F2B">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7CDC247C" w14:textId="77777777" w:rsidR="009266BB" w:rsidRPr="007F0FA7" w:rsidRDefault="009266BB" w:rsidP="00093B44">
            <w:pPr>
              <w:jc w:val="both"/>
              <w:rPr>
                <w:rFonts w:ascii="Humanst521 BT" w:hAnsi="Humanst521 BT" w:cs="Arial"/>
                <w:sz w:val="22"/>
                <w:szCs w:val="22"/>
              </w:rPr>
            </w:pPr>
          </w:p>
        </w:tc>
        <w:tc>
          <w:tcPr>
            <w:tcW w:w="1942" w:type="pct"/>
            <w:shd w:val="clear" w:color="auto" w:fill="auto"/>
            <w:noWrap/>
            <w:hideMark/>
          </w:tcPr>
          <w:p w14:paraId="2470A32F" w14:textId="77777777"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34" w:type="pct"/>
            <w:shd w:val="clear" w:color="000000" w:fill="FF0000"/>
            <w:noWrap/>
            <w:vAlign w:val="bottom"/>
            <w:hideMark/>
          </w:tcPr>
          <w:p w14:paraId="1030F88D" w14:textId="6B2B83F7"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2384,95</w:t>
            </w:r>
          </w:p>
        </w:tc>
        <w:tc>
          <w:tcPr>
            <w:tcW w:w="997" w:type="pct"/>
            <w:shd w:val="clear" w:color="auto" w:fill="auto"/>
            <w:noWrap/>
            <w:hideMark/>
          </w:tcPr>
          <w:p w14:paraId="41BBEEB9" w14:textId="7CFC2FEE"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1.647,64</w:t>
            </w:r>
          </w:p>
        </w:tc>
      </w:tr>
      <w:tr w:rsidR="00E32CB0" w:rsidRPr="007F0FA7" w14:paraId="2B8D1204" w14:textId="77777777" w:rsidTr="00735F2B">
        <w:trPr>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6A1BB776" w14:textId="77777777" w:rsidR="009266BB" w:rsidRPr="007F0FA7" w:rsidRDefault="009266BB" w:rsidP="00093B44">
            <w:pPr>
              <w:jc w:val="both"/>
              <w:rPr>
                <w:rFonts w:ascii="Humanst521 BT" w:hAnsi="Humanst521 BT" w:cs="Arial"/>
                <w:sz w:val="22"/>
                <w:szCs w:val="22"/>
              </w:rPr>
            </w:pPr>
          </w:p>
        </w:tc>
        <w:tc>
          <w:tcPr>
            <w:tcW w:w="1942" w:type="pct"/>
            <w:shd w:val="clear" w:color="auto" w:fill="auto"/>
            <w:noWrap/>
            <w:hideMark/>
          </w:tcPr>
          <w:p w14:paraId="445A2892" w14:textId="77777777"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w:t>
            </w:r>
          </w:p>
          <w:p w14:paraId="51D348CC" w14:textId="77777777"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 xml:space="preserve"> circulatorio</w:t>
            </w:r>
          </w:p>
        </w:tc>
        <w:tc>
          <w:tcPr>
            <w:tcW w:w="934" w:type="pct"/>
            <w:shd w:val="clear" w:color="000000" w:fill="FF0000"/>
            <w:noWrap/>
            <w:vAlign w:val="bottom"/>
            <w:hideMark/>
          </w:tcPr>
          <w:p w14:paraId="319C9932" w14:textId="673EFC25"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2458,36</w:t>
            </w:r>
          </w:p>
        </w:tc>
        <w:tc>
          <w:tcPr>
            <w:tcW w:w="997" w:type="pct"/>
            <w:shd w:val="clear" w:color="auto" w:fill="auto"/>
            <w:noWrap/>
            <w:hideMark/>
          </w:tcPr>
          <w:p w14:paraId="5FADD9E5" w14:textId="14F80933"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1.427,19</w:t>
            </w:r>
          </w:p>
        </w:tc>
      </w:tr>
      <w:tr w:rsidR="00E32CB0" w:rsidRPr="007F0FA7" w14:paraId="443AAE19" w14:textId="77777777" w:rsidTr="00735F2B">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5DF8E58A" w14:textId="77777777" w:rsidR="009266BB" w:rsidRPr="007F0FA7" w:rsidRDefault="009266BB" w:rsidP="00093B44">
            <w:pPr>
              <w:jc w:val="both"/>
              <w:rPr>
                <w:rFonts w:ascii="Humanst521 BT" w:hAnsi="Humanst521 BT" w:cs="Arial"/>
                <w:sz w:val="22"/>
                <w:szCs w:val="22"/>
              </w:rPr>
            </w:pPr>
          </w:p>
        </w:tc>
        <w:tc>
          <w:tcPr>
            <w:tcW w:w="1942" w:type="pct"/>
            <w:shd w:val="clear" w:color="auto" w:fill="auto"/>
            <w:noWrap/>
            <w:hideMark/>
          </w:tcPr>
          <w:p w14:paraId="308AC0EA" w14:textId="77777777"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 xml:space="preserve">Afecciones periodo </w:t>
            </w:r>
          </w:p>
          <w:p w14:paraId="5617AC6B" w14:textId="77777777"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perinatal</w:t>
            </w:r>
          </w:p>
        </w:tc>
        <w:tc>
          <w:tcPr>
            <w:tcW w:w="934" w:type="pct"/>
            <w:shd w:val="clear" w:color="auto" w:fill="92D050"/>
            <w:noWrap/>
            <w:vAlign w:val="bottom"/>
            <w:hideMark/>
          </w:tcPr>
          <w:p w14:paraId="653E75C9" w14:textId="408365FC"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hideMark/>
          </w:tcPr>
          <w:p w14:paraId="283995F5" w14:textId="44F5E93D"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1.692,02</w:t>
            </w:r>
          </w:p>
        </w:tc>
      </w:tr>
      <w:tr w:rsidR="00E32CB0" w:rsidRPr="007F0FA7" w14:paraId="372428A7" w14:textId="77777777" w:rsidTr="00735F2B">
        <w:trPr>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1A35C39C" w14:textId="77777777" w:rsidR="009266BB" w:rsidRPr="007F0FA7" w:rsidRDefault="009266BB" w:rsidP="00093B44">
            <w:pPr>
              <w:jc w:val="both"/>
              <w:rPr>
                <w:rFonts w:ascii="Humanst521 BT" w:hAnsi="Humanst521 BT" w:cs="Arial"/>
                <w:sz w:val="22"/>
                <w:szCs w:val="22"/>
              </w:rPr>
            </w:pPr>
          </w:p>
        </w:tc>
        <w:tc>
          <w:tcPr>
            <w:tcW w:w="1942" w:type="pct"/>
            <w:shd w:val="clear" w:color="auto" w:fill="auto"/>
            <w:noWrap/>
            <w:hideMark/>
          </w:tcPr>
          <w:p w14:paraId="1B9DF8F0" w14:textId="77777777"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34" w:type="pct"/>
            <w:shd w:val="clear" w:color="auto" w:fill="92D050"/>
            <w:noWrap/>
            <w:vAlign w:val="bottom"/>
            <w:hideMark/>
          </w:tcPr>
          <w:p w14:paraId="1663CAAF" w14:textId="01601679"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noWrap/>
            <w:hideMark/>
          </w:tcPr>
          <w:p w14:paraId="0D635798" w14:textId="401EB9EE"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1.767,05</w:t>
            </w:r>
          </w:p>
        </w:tc>
      </w:tr>
      <w:tr w:rsidR="00E32CB0" w:rsidRPr="007F0FA7" w14:paraId="6976AE56" w14:textId="77777777" w:rsidTr="00735F2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01385E9F" w14:textId="77777777" w:rsidR="009266BB" w:rsidRPr="007F0FA7" w:rsidRDefault="009266BB" w:rsidP="00093B44">
            <w:pPr>
              <w:jc w:val="both"/>
              <w:rPr>
                <w:rFonts w:ascii="Humanst521 BT" w:hAnsi="Humanst521 BT" w:cs="Arial"/>
                <w:sz w:val="22"/>
                <w:szCs w:val="22"/>
              </w:rPr>
            </w:pPr>
          </w:p>
        </w:tc>
        <w:tc>
          <w:tcPr>
            <w:tcW w:w="1942" w:type="pct"/>
            <w:shd w:val="clear" w:color="auto" w:fill="auto"/>
            <w:noWrap/>
            <w:hideMark/>
          </w:tcPr>
          <w:p w14:paraId="6A92A5F8" w14:textId="77777777"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34" w:type="pct"/>
            <w:shd w:val="clear" w:color="000000" w:fill="FF0000"/>
            <w:noWrap/>
            <w:vAlign w:val="bottom"/>
            <w:hideMark/>
          </w:tcPr>
          <w:p w14:paraId="16F5FB61" w14:textId="7564F49A"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4535,79</w:t>
            </w:r>
          </w:p>
        </w:tc>
        <w:tc>
          <w:tcPr>
            <w:tcW w:w="997" w:type="pct"/>
            <w:shd w:val="clear" w:color="auto" w:fill="auto"/>
            <w:noWrap/>
            <w:hideMark/>
          </w:tcPr>
          <w:p w14:paraId="75B986D6" w14:textId="3B8921B7" w:rsidR="009266BB" w:rsidRPr="007F0FA7" w:rsidRDefault="009266B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155,58</w:t>
            </w:r>
          </w:p>
        </w:tc>
      </w:tr>
      <w:tr w:rsidR="00E32CB0" w:rsidRPr="007F0FA7" w14:paraId="090E0296" w14:textId="77777777" w:rsidTr="00735F2B">
        <w:trPr>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hideMark/>
          </w:tcPr>
          <w:p w14:paraId="090AF6FB" w14:textId="77777777" w:rsidR="009266BB" w:rsidRPr="007F0FA7" w:rsidRDefault="009266BB" w:rsidP="00093B44">
            <w:pPr>
              <w:jc w:val="both"/>
              <w:rPr>
                <w:rFonts w:ascii="Humanst521 BT" w:hAnsi="Humanst521 BT" w:cs="Arial"/>
                <w:sz w:val="22"/>
                <w:szCs w:val="22"/>
              </w:rPr>
            </w:pPr>
          </w:p>
        </w:tc>
        <w:tc>
          <w:tcPr>
            <w:tcW w:w="1942" w:type="pct"/>
            <w:shd w:val="clear" w:color="auto" w:fill="auto"/>
            <w:noWrap/>
            <w:hideMark/>
          </w:tcPr>
          <w:p w14:paraId="04B1B794" w14:textId="77777777"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w:t>
            </w:r>
          </w:p>
          <w:p w14:paraId="30DC6BAE" w14:textId="77777777"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 xml:space="preserve"> definidos</w:t>
            </w:r>
          </w:p>
        </w:tc>
        <w:tc>
          <w:tcPr>
            <w:tcW w:w="934" w:type="pct"/>
            <w:shd w:val="clear" w:color="auto" w:fill="92D050"/>
            <w:noWrap/>
            <w:vAlign w:val="bottom"/>
            <w:hideMark/>
          </w:tcPr>
          <w:p w14:paraId="131BAD8F" w14:textId="1000D8D6"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hideMark/>
          </w:tcPr>
          <w:p w14:paraId="27DDF508" w14:textId="0F236715" w:rsidR="009266BB" w:rsidRPr="007F0FA7" w:rsidRDefault="009266B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44C401C5" w14:textId="77777777" w:rsidTr="00735F2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127" w:type="pct"/>
            <w:vMerge w:val="restart"/>
            <w:shd w:val="clear" w:color="auto" w:fill="auto"/>
            <w:noWrap/>
            <w:hideMark/>
          </w:tcPr>
          <w:p w14:paraId="7985DD53" w14:textId="77777777" w:rsidR="00E01799" w:rsidRPr="007F0FA7" w:rsidRDefault="00E01799" w:rsidP="00093B44">
            <w:pPr>
              <w:jc w:val="both"/>
              <w:rPr>
                <w:rFonts w:ascii="Humanst521 BT" w:hAnsi="Humanst521 BT" w:cs="Arial"/>
                <w:sz w:val="22"/>
                <w:szCs w:val="22"/>
              </w:rPr>
            </w:pPr>
            <w:r w:rsidRPr="007F0FA7">
              <w:rPr>
                <w:rFonts w:ascii="Humanst521 BT" w:hAnsi="Humanst521 BT" w:cs="Arial"/>
                <w:sz w:val="22"/>
                <w:szCs w:val="22"/>
              </w:rPr>
              <w:t>BUCARAMANGA</w:t>
            </w:r>
          </w:p>
        </w:tc>
        <w:tc>
          <w:tcPr>
            <w:tcW w:w="1942" w:type="pct"/>
            <w:shd w:val="clear" w:color="auto" w:fill="auto"/>
            <w:noWrap/>
            <w:hideMark/>
          </w:tcPr>
          <w:p w14:paraId="1F88B922" w14:textId="77777777"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34" w:type="pct"/>
            <w:shd w:val="clear" w:color="auto" w:fill="92D050"/>
            <w:noWrap/>
            <w:vAlign w:val="bottom"/>
            <w:hideMark/>
          </w:tcPr>
          <w:p w14:paraId="5B330A1E" w14:textId="4613589E"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378,75</w:t>
            </w:r>
          </w:p>
        </w:tc>
        <w:tc>
          <w:tcPr>
            <w:tcW w:w="997" w:type="pct"/>
            <w:shd w:val="clear" w:color="auto" w:fill="auto"/>
            <w:noWrap/>
            <w:hideMark/>
          </w:tcPr>
          <w:p w14:paraId="501806A7" w14:textId="197D9581"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659,47</w:t>
            </w:r>
          </w:p>
        </w:tc>
      </w:tr>
      <w:tr w:rsidR="00E32CB0" w:rsidRPr="007F0FA7" w14:paraId="4BF86D43" w14:textId="77777777" w:rsidTr="00735F2B">
        <w:trPr>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2E84B8E3" w14:textId="77777777" w:rsidR="00E01799" w:rsidRPr="007F0FA7" w:rsidRDefault="00E01799" w:rsidP="00093B44">
            <w:pPr>
              <w:jc w:val="both"/>
              <w:rPr>
                <w:rFonts w:ascii="Humanst521 BT" w:hAnsi="Humanst521 BT" w:cs="Arial"/>
                <w:sz w:val="22"/>
                <w:szCs w:val="22"/>
              </w:rPr>
            </w:pPr>
          </w:p>
        </w:tc>
        <w:tc>
          <w:tcPr>
            <w:tcW w:w="1942" w:type="pct"/>
            <w:shd w:val="clear" w:color="auto" w:fill="auto"/>
            <w:noWrap/>
            <w:hideMark/>
          </w:tcPr>
          <w:p w14:paraId="34B59988" w14:textId="77777777"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34" w:type="pct"/>
            <w:shd w:val="clear" w:color="auto" w:fill="FF0000"/>
            <w:noWrap/>
            <w:vAlign w:val="bottom"/>
            <w:hideMark/>
          </w:tcPr>
          <w:p w14:paraId="35CFD1AB" w14:textId="587BD99B"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2867,31</w:t>
            </w:r>
          </w:p>
        </w:tc>
        <w:tc>
          <w:tcPr>
            <w:tcW w:w="997" w:type="pct"/>
            <w:shd w:val="clear" w:color="auto" w:fill="auto"/>
            <w:noWrap/>
            <w:hideMark/>
          </w:tcPr>
          <w:p w14:paraId="00AB701B" w14:textId="1CC9DD4E"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2.036,59</w:t>
            </w:r>
          </w:p>
        </w:tc>
      </w:tr>
      <w:tr w:rsidR="00E32CB0" w:rsidRPr="007F0FA7" w14:paraId="695EA9A9" w14:textId="77777777" w:rsidTr="00735F2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148478B0" w14:textId="77777777" w:rsidR="00E01799" w:rsidRPr="007F0FA7" w:rsidRDefault="00E01799" w:rsidP="00093B44">
            <w:pPr>
              <w:jc w:val="both"/>
              <w:rPr>
                <w:rFonts w:ascii="Humanst521 BT" w:hAnsi="Humanst521 BT" w:cs="Arial"/>
                <w:sz w:val="22"/>
                <w:szCs w:val="22"/>
              </w:rPr>
            </w:pPr>
          </w:p>
        </w:tc>
        <w:tc>
          <w:tcPr>
            <w:tcW w:w="1942" w:type="pct"/>
            <w:shd w:val="clear" w:color="auto" w:fill="auto"/>
            <w:noWrap/>
            <w:hideMark/>
          </w:tcPr>
          <w:p w14:paraId="3916B29B" w14:textId="77777777"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w:t>
            </w:r>
          </w:p>
          <w:p w14:paraId="36CEC6C4" w14:textId="77777777"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 xml:space="preserve"> circulatorio</w:t>
            </w:r>
          </w:p>
        </w:tc>
        <w:tc>
          <w:tcPr>
            <w:tcW w:w="934" w:type="pct"/>
            <w:shd w:val="clear" w:color="auto" w:fill="FF0000"/>
            <w:noWrap/>
            <w:vAlign w:val="bottom"/>
            <w:hideMark/>
          </w:tcPr>
          <w:p w14:paraId="35AC1A9B" w14:textId="253B7E94"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2352,82</w:t>
            </w:r>
          </w:p>
        </w:tc>
        <w:tc>
          <w:tcPr>
            <w:tcW w:w="997" w:type="pct"/>
            <w:shd w:val="clear" w:color="auto" w:fill="auto"/>
            <w:noWrap/>
            <w:hideMark/>
          </w:tcPr>
          <w:p w14:paraId="26857823" w14:textId="1A5B4DF8"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1.374,00</w:t>
            </w:r>
          </w:p>
        </w:tc>
      </w:tr>
      <w:tr w:rsidR="00E32CB0" w:rsidRPr="007F0FA7" w14:paraId="0F22E81C" w14:textId="77777777" w:rsidTr="00735F2B">
        <w:trPr>
          <w:trHeight w:val="355"/>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6F9F9527" w14:textId="77777777" w:rsidR="00E01799" w:rsidRPr="007F0FA7" w:rsidRDefault="00E01799" w:rsidP="00093B44">
            <w:pPr>
              <w:jc w:val="both"/>
              <w:rPr>
                <w:rFonts w:ascii="Humanst521 BT" w:hAnsi="Humanst521 BT" w:cs="Arial"/>
                <w:sz w:val="22"/>
                <w:szCs w:val="22"/>
              </w:rPr>
            </w:pPr>
          </w:p>
        </w:tc>
        <w:tc>
          <w:tcPr>
            <w:tcW w:w="1942" w:type="pct"/>
            <w:shd w:val="clear" w:color="auto" w:fill="auto"/>
            <w:noWrap/>
            <w:hideMark/>
          </w:tcPr>
          <w:p w14:paraId="5829F46D" w14:textId="77777777"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Afecciones periodo</w:t>
            </w:r>
          </w:p>
          <w:p w14:paraId="5C92CBCB" w14:textId="77777777"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 xml:space="preserve"> perinatal</w:t>
            </w:r>
          </w:p>
        </w:tc>
        <w:tc>
          <w:tcPr>
            <w:tcW w:w="934" w:type="pct"/>
            <w:shd w:val="clear" w:color="auto" w:fill="92D050"/>
            <w:noWrap/>
            <w:vAlign w:val="bottom"/>
            <w:hideMark/>
          </w:tcPr>
          <w:p w14:paraId="06A10E8E" w14:textId="4EF1FB0A"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vAlign w:val="bottom"/>
            <w:hideMark/>
          </w:tcPr>
          <w:p w14:paraId="6BB80EF6" w14:textId="713A1DD4"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72F65D38" w14:textId="77777777" w:rsidTr="00735F2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492F2DA6" w14:textId="77777777" w:rsidR="00E01799" w:rsidRPr="007F0FA7" w:rsidRDefault="00E01799" w:rsidP="00093B44">
            <w:pPr>
              <w:jc w:val="both"/>
              <w:rPr>
                <w:rFonts w:ascii="Humanst521 BT" w:hAnsi="Humanst521 BT" w:cs="Arial"/>
                <w:sz w:val="22"/>
                <w:szCs w:val="22"/>
              </w:rPr>
            </w:pPr>
          </w:p>
        </w:tc>
        <w:tc>
          <w:tcPr>
            <w:tcW w:w="1942" w:type="pct"/>
            <w:shd w:val="clear" w:color="auto" w:fill="auto"/>
            <w:noWrap/>
            <w:hideMark/>
          </w:tcPr>
          <w:p w14:paraId="31F70AFA" w14:textId="77777777"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34" w:type="pct"/>
            <w:shd w:val="clear" w:color="auto" w:fill="92D050"/>
            <w:noWrap/>
            <w:vAlign w:val="bottom"/>
            <w:hideMark/>
          </w:tcPr>
          <w:p w14:paraId="6D6CF235" w14:textId="773762DE"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hideMark/>
          </w:tcPr>
          <w:p w14:paraId="0794CFD9" w14:textId="0CA13A22"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1.693,47</w:t>
            </w:r>
          </w:p>
        </w:tc>
      </w:tr>
      <w:tr w:rsidR="00E32CB0" w:rsidRPr="007F0FA7" w14:paraId="0AC33908" w14:textId="77777777" w:rsidTr="00735F2B">
        <w:trPr>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70631FAF" w14:textId="77777777" w:rsidR="00E01799" w:rsidRPr="007F0FA7" w:rsidRDefault="00E01799" w:rsidP="00093B44">
            <w:pPr>
              <w:jc w:val="both"/>
              <w:rPr>
                <w:rFonts w:ascii="Humanst521 BT" w:hAnsi="Humanst521 BT" w:cs="Arial"/>
                <w:sz w:val="22"/>
                <w:szCs w:val="22"/>
              </w:rPr>
            </w:pPr>
          </w:p>
        </w:tc>
        <w:tc>
          <w:tcPr>
            <w:tcW w:w="1942" w:type="pct"/>
            <w:shd w:val="clear" w:color="auto" w:fill="auto"/>
            <w:noWrap/>
            <w:hideMark/>
          </w:tcPr>
          <w:p w14:paraId="25C35D9C" w14:textId="77777777"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34" w:type="pct"/>
            <w:shd w:val="clear" w:color="auto" w:fill="92D050"/>
            <w:noWrap/>
            <w:vAlign w:val="bottom"/>
            <w:hideMark/>
          </w:tcPr>
          <w:p w14:paraId="52EAE5D7" w14:textId="74EFE2AE"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757,50</w:t>
            </w:r>
          </w:p>
        </w:tc>
        <w:tc>
          <w:tcPr>
            <w:tcW w:w="997" w:type="pct"/>
            <w:shd w:val="clear" w:color="auto" w:fill="auto"/>
            <w:noWrap/>
            <w:hideMark/>
          </w:tcPr>
          <w:p w14:paraId="18803D7A" w14:textId="4F8C6466" w:rsidR="00E01799" w:rsidRPr="007F0FA7" w:rsidRDefault="00E01799"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2.116,06</w:t>
            </w:r>
          </w:p>
        </w:tc>
      </w:tr>
      <w:tr w:rsidR="00E32CB0" w:rsidRPr="007F0FA7" w14:paraId="47F25A13" w14:textId="77777777" w:rsidTr="00735F2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7E6F94DC" w14:textId="77777777" w:rsidR="00E01799" w:rsidRPr="007F0FA7" w:rsidRDefault="00E01799" w:rsidP="00093B44">
            <w:pPr>
              <w:jc w:val="both"/>
              <w:rPr>
                <w:rFonts w:ascii="Humanst521 BT" w:hAnsi="Humanst521 BT" w:cs="Arial"/>
                <w:sz w:val="22"/>
                <w:szCs w:val="22"/>
              </w:rPr>
            </w:pPr>
          </w:p>
        </w:tc>
        <w:tc>
          <w:tcPr>
            <w:tcW w:w="1942" w:type="pct"/>
            <w:shd w:val="clear" w:color="auto" w:fill="auto"/>
            <w:noWrap/>
            <w:hideMark/>
          </w:tcPr>
          <w:p w14:paraId="19AEBB87" w14:textId="77777777"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 xml:space="preserve">signos y síntomas mal </w:t>
            </w:r>
          </w:p>
          <w:p w14:paraId="5F5CEA68" w14:textId="77777777"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definidos</w:t>
            </w:r>
          </w:p>
        </w:tc>
        <w:tc>
          <w:tcPr>
            <w:tcW w:w="934" w:type="pct"/>
            <w:shd w:val="clear" w:color="auto" w:fill="92D050"/>
            <w:noWrap/>
            <w:vAlign w:val="bottom"/>
            <w:hideMark/>
          </w:tcPr>
          <w:p w14:paraId="0A9972BF" w14:textId="4D10F027"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hideMark/>
          </w:tcPr>
          <w:p w14:paraId="3BD3D07F" w14:textId="5A5C4B86" w:rsidR="00E01799" w:rsidRPr="007F0FA7" w:rsidRDefault="00E01799"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102,27</w:t>
            </w:r>
          </w:p>
        </w:tc>
      </w:tr>
      <w:tr w:rsidR="00E32CB0" w:rsidRPr="007F0FA7" w14:paraId="3F01B24C" w14:textId="77777777" w:rsidTr="00735F2B">
        <w:trPr>
          <w:trHeight w:val="312"/>
        </w:trPr>
        <w:tc>
          <w:tcPr>
            <w:cnfStyle w:val="001000000000" w:firstRow="0" w:lastRow="0" w:firstColumn="1" w:lastColumn="0" w:oddVBand="0" w:evenVBand="0" w:oddHBand="0" w:evenHBand="0" w:firstRowFirstColumn="0" w:firstRowLastColumn="0" w:lastRowFirstColumn="0" w:lastRowLastColumn="0"/>
            <w:tcW w:w="1127" w:type="pct"/>
            <w:vMerge w:val="restart"/>
            <w:shd w:val="clear" w:color="auto" w:fill="auto"/>
            <w:noWrap/>
            <w:hideMark/>
          </w:tcPr>
          <w:p w14:paraId="37765EBF" w14:textId="77777777" w:rsidR="002C46FB" w:rsidRPr="007F0FA7" w:rsidRDefault="002C46FB" w:rsidP="00093B44">
            <w:pPr>
              <w:jc w:val="both"/>
              <w:rPr>
                <w:rFonts w:ascii="Humanst521 BT" w:hAnsi="Humanst521 BT" w:cs="Arial"/>
                <w:sz w:val="22"/>
                <w:szCs w:val="22"/>
              </w:rPr>
            </w:pPr>
            <w:r w:rsidRPr="007F0FA7">
              <w:rPr>
                <w:rFonts w:ascii="Humanst521 BT" w:hAnsi="Humanst521 BT" w:cs="Arial"/>
                <w:sz w:val="22"/>
                <w:szCs w:val="22"/>
              </w:rPr>
              <w:t>FLORIDABLANCA</w:t>
            </w:r>
          </w:p>
        </w:tc>
        <w:tc>
          <w:tcPr>
            <w:tcW w:w="1942" w:type="pct"/>
            <w:shd w:val="clear" w:color="auto" w:fill="auto"/>
            <w:noWrap/>
            <w:hideMark/>
          </w:tcPr>
          <w:p w14:paraId="531DA90A" w14:textId="77777777"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34" w:type="pct"/>
            <w:shd w:val="clear" w:color="auto" w:fill="92D050"/>
            <w:noWrap/>
            <w:vAlign w:val="bottom"/>
            <w:hideMark/>
          </w:tcPr>
          <w:p w14:paraId="33EAD4CD" w14:textId="6D44B0C7"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hideMark/>
          </w:tcPr>
          <w:p w14:paraId="52F29317" w14:textId="5899C458"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443,23</w:t>
            </w:r>
          </w:p>
        </w:tc>
      </w:tr>
      <w:tr w:rsidR="00E32CB0" w:rsidRPr="007F0FA7" w14:paraId="0AB86F6C" w14:textId="77777777" w:rsidTr="00735F2B">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3F21D863" w14:textId="77777777" w:rsidR="002C46FB" w:rsidRPr="007F0FA7" w:rsidRDefault="002C46FB" w:rsidP="00093B44">
            <w:pPr>
              <w:jc w:val="both"/>
              <w:rPr>
                <w:rFonts w:ascii="Humanst521 BT" w:hAnsi="Humanst521 BT" w:cs="Arial"/>
                <w:sz w:val="22"/>
                <w:szCs w:val="22"/>
              </w:rPr>
            </w:pPr>
          </w:p>
        </w:tc>
        <w:tc>
          <w:tcPr>
            <w:tcW w:w="1942" w:type="pct"/>
            <w:shd w:val="clear" w:color="auto" w:fill="auto"/>
            <w:noWrap/>
            <w:hideMark/>
          </w:tcPr>
          <w:p w14:paraId="10773272" w14:textId="77777777"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34" w:type="pct"/>
            <w:shd w:val="clear" w:color="auto" w:fill="FFFF00"/>
            <w:noWrap/>
            <w:vAlign w:val="bottom"/>
            <w:hideMark/>
          </w:tcPr>
          <w:p w14:paraId="47D70925" w14:textId="25175B21"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1672,93</w:t>
            </w:r>
          </w:p>
        </w:tc>
        <w:tc>
          <w:tcPr>
            <w:tcW w:w="997" w:type="pct"/>
            <w:shd w:val="clear" w:color="auto" w:fill="auto"/>
            <w:noWrap/>
            <w:hideMark/>
          </w:tcPr>
          <w:p w14:paraId="1F86A018" w14:textId="246E73FA"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1.861,05</w:t>
            </w:r>
          </w:p>
        </w:tc>
      </w:tr>
      <w:tr w:rsidR="00E32CB0" w:rsidRPr="007F0FA7" w14:paraId="4A347FC5" w14:textId="77777777" w:rsidTr="00735F2B">
        <w:trPr>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60972646" w14:textId="77777777" w:rsidR="002C46FB" w:rsidRPr="007F0FA7" w:rsidRDefault="002C46FB" w:rsidP="00093B44">
            <w:pPr>
              <w:jc w:val="both"/>
              <w:rPr>
                <w:rFonts w:ascii="Humanst521 BT" w:hAnsi="Humanst521 BT" w:cs="Arial"/>
                <w:sz w:val="22"/>
                <w:szCs w:val="22"/>
              </w:rPr>
            </w:pPr>
          </w:p>
        </w:tc>
        <w:tc>
          <w:tcPr>
            <w:tcW w:w="1942" w:type="pct"/>
            <w:shd w:val="clear" w:color="auto" w:fill="auto"/>
            <w:noWrap/>
            <w:hideMark/>
          </w:tcPr>
          <w:p w14:paraId="21A4336F" w14:textId="77777777"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 xml:space="preserve">Enfermedades sistema </w:t>
            </w:r>
          </w:p>
          <w:p w14:paraId="3355E14C" w14:textId="77777777"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circulatorio</w:t>
            </w:r>
          </w:p>
        </w:tc>
        <w:tc>
          <w:tcPr>
            <w:tcW w:w="934" w:type="pct"/>
            <w:shd w:val="clear" w:color="000000" w:fill="FF0000"/>
            <w:noWrap/>
            <w:vAlign w:val="bottom"/>
            <w:hideMark/>
          </w:tcPr>
          <w:p w14:paraId="00B0EE64" w14:textId="529EFE7C"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3953,01</w:t>
            </w:r>
          </w:p>
        </w:tc>
        <w:tc>
          <w:tcPr>
            <w:tcW w:w="997" w:type="pct"/>
            <w:shd w:val="clear" w:color="auto" w:fill="auto"/>
            <w:noWrap/>
            <w:hideMark/>
          </w:tcPr>
          <w:p w14:paraId="1EB61446" w14:textId="61C7FB4C"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1.130,54</w:t>
            </w:r>
          </w:p>
        </w:tc>
      </w:tr>
      <w:tr w:rsidR="00E32CB0" w:rsidRPr="007F0FA7" w14:paraId="49D9531F" w14:textId="77777777" w:rsidTr="00735F2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5B1692B3" w14:textId="77777777" w:rsidR="002C46FB" w:rsidRPr="007F0FA7" w:rsidRDefault="002C46FB" w:rsidP="00093B44">
            <w:pPr>
              <w:jc w:val="both"/>
              <w:rPr>
                <w:rFonts w:ascii="Humanst521 BT" w:hAnsi="Humanst521 BT" w:cs="Arial"/>
                <w:sz w:val="22"/>
                <w:szCs w:val="22"/>
              </w:rPr>
            </w:pPr>
          </w:p>
        </w:tc>
        <w:tc>
          <w:tcPr>
            <w:tcW w:w="1942" w:type="pct"/>
            <w:shd w:val="clear" w:color="auto" w:fill="auto"/>
            <w:noWrap/>
            <w:hideMark/>
          </w:tcPr>
          <w:p w14:paraId="0C06D55E" w14:textId="77777777"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Afecciones periodo</w:t>
            </w:r>
          </w:p>
          <w:p w14:paraId="7D341FAE" w14:textId="77777777"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 xml:space="preserve"> perinatal</w:t>
            </w:r>
          </w:p>
        </w:tc>
        <w:tc>
          <w:tcPr>
            <w:tcW w:w="934" w:type="pct"/>
            <w:shd w:val="clear" w:color="auto" w:fill="92D050"/>
            <w:noWrap/>
            <w:vAlign w:val="bottom"/>
            <w:hideMark/>
          </w:tcPr>
          <w:p w14:paraId="53B060AD" w14:textId="662BCD63"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vAlign w:val="bottom"/>
            <w:hideMark/>
          </w:tcPr>
          <w:p w14:paraId="3079C077" w14:textId="3C613D09"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7C758490" w14:textId="77777777" w:rsidTr="00735F2B">
        <w:trPr>
          <w:trHeight w:val="345"/>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3156A773" w14:textId="77777777" w:rsidR="002C46FB" w:rsidRPr="007F0FA7" w:rsidRDefault="002C46FB" w:rsidP="00093B44">
            <w:pPr>
              <w:jc w:val="both"/>
              <w:rPr>
                <w:rFonts w:ascii="Humanst521 BT" w:hAnsi="Humanst521 BT" w:cs="Arial"/>
                <w:sz w:val="22"/>
                <w:szCs w:val="22"/>
              </w:rPr>
            </w:pPr>
          </w:p>
        </w:tc>
        <w:tc>
          <w:tcPr>
            <w:tcW w:w="1942" w:type="pct"/>
            <w:shd w:val="clear" w:color="auto" w:fill="auto"/>
            <w:noWrap/>
            <w:hideMark/>
          </w:tcPr>
          <w:p w14:paraId="6462C2CA" w14:textId="77777777"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34" w:type="pct"/>
            <w:shd w:val="clear" w:color="auto" w:fill="92D050"/>
            <w:noWrap/>
            <w:vAlign w:val="bottom"/>
            <w:hideMark/>
          </w:tcPr>
          <w:p w14:paraId="3BD79B52" w14:textId="16A88232"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hideMark/>
          </w:tcPr>
          <w:p w14:paraId="596E6DC2" w14:textId="3E504550"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894,61</w:t>
            </w:r>
          </w:p>
        </w:tc>
      </w:tr>
      <w:tr w:rsidR="00E32CB0" w:rsidRPr="007F0FA7" w14:paraId="3E1F3FEE" w14:textId="77777777" w:rsidTr="00735F2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436B8764" w14:textId="77777777" w:rsidR="002C46FB" w:rsidRPr="007F0FA7" w:rsidRDefault="002C46FB" w:rsidP="00093B44">
            <w:pPr>
              <w:jc w:val="both"/>
              <w:rPr>
                <w:rFonts w:ascii="Humanst521 BT" w:hAnsi="Humanst521 BT" w:cs="Arial"/>
                <w:sz w:val="22"/>
                <w:szCs w:val="22"/>
              </w:rPr>
            </w:pPr>
          </w:p>
        </w:tc>
        <w:tc>
          <w:tcPr>
            <w:tcW w:w="1942" w:type="pct"/>
            <w:shd w:val="clear" w:color="auto" w:fill="auto"/>
            <w:noWrap/>
            <w:hideMark/>
          </w:tcPr>
          <w:p w14:paraId="0F35E391" w14:textId="77777777"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34" w:type="pct"/>
            <w:shd w:val="clear" w:color="000000" w:fill="FF0000"/>
            <w:noWrap/>
            <w:vAlign w:val="bottom"/>
            <w:hideMark/>
          </w:tcPr>
          <w:p w14:paraId="2167FC28" w14:textId="204B8CCA"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20543,23</w:t>
            </w:r>
          </w:p>
        </w:tc>
        <w:tc>
          <w:tcPr>
            <w:tcW w:w="997" w:type="pct"/>
            <w:shd w:val="clear" w:color="auto" w:fill="auto"/>
            <w:noWrap/>
            <w:hideMark/>
          </w:tcPr>
          <w:p w14:paraId="2D415323" w14:textId="4CE7E67D" w:rsidR="002C46FB" w:rsidRPr="007F0FA7" w:rsidRDefault="002C46FB"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1.596,88</w:t>
            </w:r>
          </w:p>
        </w:tc>
      </w:tr>
      <w:tr w:rsidR="00E32CB0" w:rsidRPr="007F0FA7" w14:paraId="34B15DE3" w14:textId="77777777" w:rsidTr="00735F2B">
        <w:trPr>
          <w:trHeight w:val="231"/>
        </w:trPr>
        <w:tc>
          <w:tcPr>
            <w:cnfStyle w:val="001000000000" w:firstRow="0" w:lastRow="0" w:firstColumn="1" w:lastColumn="0" w:oddVBand="0" w:evenVBand="0" w:oddHBand="0" w:evenHBand="0" w:firstRowFirstColumn="0" w:firstRowLastColumn="0" w:lastRowFirstColumn="0" w:lastRowLastColumn="0"/>
            <w:tcW w:w="1127" w:type="pct"/>
            <w:vMerge/>
            <w:shd w:val="clear" w:color="auto" w:fill="auto"/>
            <w:noWrap/>
          </w:tcPr>
          <w:p w14:paraId="4FE45B9C" w14:textId="77777777" w:rsidR="002C46FB" w:rsidRPr="007F0FA7" w:rsidRDefault="002C46FB" w:rsidP="00093B44">
            <w:pPr>
              <w:jc w:val="both"/>
              <w:rPr>
                <w:rFonts w:ascii="Humanst521 BT" w:hAnsi="Humanst521 BT" w:cs="Arial"/>
                <w:sz w:val="22"/>
                <w:szCs w:val="22"/>
              </w:rPr>
            </w:pPr>
          </w:p>
        </w:tc>
        <w:tc>
          <w:tcPr>
            <w:tcW w:w="1942" w:type="pct"/>
            <w:shd w:val="clear" w:color="auto" w:fill="auto"/>
            <w:noWrap/>
            <w:hideMark/>
          </w:tcPr>
          <w:p w14:paraId="069B5AD3" w14:textId="77777777"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w:t>
            </w:r>
          </w:p>
          <w:p w14:paraId="10F7FA64" w14:textId="77777777"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definidos</w:t>
            </w:r>
          </w:p>
        </w:tc>
        <w:tc>
          <w:tcPr>
            <w:tcW w:w="934" w:type="pct"/>
            <w:shd w:val="clear" w:color="auto" w:fill="92D050"/>
            <w:noWrap/>
            <w:vAlign w:val="bottom"/>
            <w:hideMark/>
          </w:tcPr>
          <w:p w14:paraId="144D887A" w14:textId="70B9C86B"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97" w:type="pct"/>
            <w:shd w:val="clear" w:color="auto" w:fill="auto"/>
            <w:noWrap/>
            <w:hideMark/>
          </w:tcPr>
          <w:p w14:paraId="7D7961FF" w14:textId="55D16875" w:rsidR="002C46FB" w:rsidRPr="007F0FA7" w:rsidRDefault="002C46FB"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239,30</w:t>
            </w:r>
          </w:p>
        </w:tc>
      </w:tr>
      <w:tr w:rsidR="00E32CB0" w:rsidRPr="007F0FA7" w14:paraId="443F7711" w14:textId="77777777" w:rsidTr="00735F2B">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596DE52A" w14:textId="1E04450A" w:rsidR="00074072" w:rsidRPr="007F0FA7" w:rsidRDefault="00074072" w:rsidP="00093B44">
            <w:pPr>
              <w:jc w:val="both"/>
              <w:rPr>
                <w:rFonts w:ascii="Humanst521 BT" w:hAnsi="Humanst521 BT" w:cs="Arial"/>
                <w:sz w:val="22"/>
                <w:szCs w:val="22"/>
              </w:rPr>
            </w:pPr>
            <w:r w:rsidRPr="007F0FA7">
              <w:rPr>
                <w:rFonts w:ascii="Humanst521 BT" w:hAnsi="Humanst521 BT" w:cs="Arial"/>
                <w:sz w:val="22"/>
                <w:szCs w:val="22"/>
              </w:rPr>
              <w:t>ANTIOQUIA</w:t>
            </w:r>
          </w:p>
        </w:tc>
        <w:tc>
          <w:tcPr>
            <w:tcW w:w="1942" w:type="pct"/>
            <w:shd w:val="clear" w:color="auto" w:fill="auto"/>
            <w:noWrap/>
          </w:tcPr>
          <w:p w14:paraId="67FD63BB" w14:textId="682FE947" w:rsidR="00074072" w:rsidRPr="007F0FA7" w:rsidRDefault="00DB6BE3"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34" w:type="pct"/>
            <w:shd w:val="clear" w:color="auto" w:fill="FF0000"/>
            <w:noWrap/>
            <w:vAlign w:val="bottom"/>
          </w:tcPr>
          <w:p w14:paraId="7EE7F737" w14:textId="0E34D507" w:rsidR="00074072" w:rsidRPr="007F0FA7" w:rsidRDefault="00DB6BE3"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18625,00</w:t>
            </w:r>
          </w:p>
        </w:tc>
        <w:tc>
          <w:tcPr>
            <w:tcW w:w="997" w:type="pct"/>
            <w:shd w:val="clear" w:color="auto" w:fill="auto"/>
            <w:noWrap/>
          </w:tcPr>
          <w:p w14:paraId="2403E39B" w14:textId="715EB8C0" w:rsidR="00074072" w:rsidRPr="007F0FA7" w:rsidRDefault="00DB6BE3"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654,91</w:t>
            </w:r>
          </w:p>
        </w:tc>
      </w:tr>
      <w:tr w:rsidR="00E32CB0" w:rsidRPr="007F0FA7" w14:paraId="3E231F10" w14:textId="77777777" w:rsidTr="00735F2B">
        <w:trPr>
          <w:trHeight w:val="231"/>
        </w:trPr>
        <w:tc>
          <w:tcPr>
            <w:cnfStyle w:val="001000000000" w:firstRow="0" w:lastRow="0" w:firstColumn="1" w:lastColumn="0" w:oddVBand="0" w:evenVBand="0" w:oddHBand="0" w:evenHBand="0" w:firstRowFirstColumn="0" w:firstRowLastColumn="0" w:lastRowFirstColumn="0" w:lastRowLastColumn="0"/>
            <w:tcW w:w="1127" w:type="pct"/>
            <w:shd w:val="clear" w:color="auto" w:fill="auto"/>
            <w:noWrap/>
          </w:tcPr>
          <w:p w14:paraId="7BCBF156" w14:textId="6297D0BF" w:rsidR="00DB6BE3" w:rsidRPr="007F0FA7" w:rsidRDefault="00DB6BE3" w:rsidP="00093B44">
            <w:pPr>
              <w:jc w:val="both"/>
              <w:rPr>
                <w:rFonts w:ascii="Humanst521 BT" w:hAnsi="Humanst521 BT" w:cs="Arial"/>
                <w:sz w:val="22"/>
                <w:szCs w:val="22"/>
              </w:rPr>
            </w:pPr>
            <w:r w:rsidRPr="007F0FA7">
              <w:rPr>
                <w:rFonts w:ascii="Humanst521 BT" w:hAnsi="Humanst521 BT" w:cs="Arial"/>
                <w:sz w:val="22"/>
                <w:szCs w:val="22"/>
              </w:rPr>
              <w:t>BOGOTÁ</w:t>
            </w:r>
          </w:p>
        </w:tc>
        <w:tc>
          <w:tcPr>
            <w:tcW w:w="1942" w:type="pct"/>
            <w:shd w:val="clear" w:color="auto" w:fill="auto"/>
            <w:noWrap/>
          </w:tcPr>
          <w:p w14:paraId="59F676D0" w14:textId="37E00B85" w:rsidR="00DB6BE3" w:rsidRPr="007F0FA7" w:rsidRDefault="00982098"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34" w:type="pct"/>
            <w:shd w:val="clear" w:color="auto" w:fill="FF0000"/>
            <w:noWrap/>
            <w:vAlign w:val="bottom"/>
          </w:tcPr>
          <w:p w14:paraId="5F38EC17" w14:textId="439A7625" w:rsidR="00DB6BE3" w:rsidRPr="007F0FA7" w:rsidRDefault="00982098"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155187,50</w:t>
            </w:r>
          </w:p>
        </w:tc>
        <w:tc>
          <w:tcPr>
            <w:tcW w:w="997" w:type="pct"/>
            <w:shd w:val="clear" w:color="auto" w:fill="auto"/>
            <w:noWrap/>
          </w:tcPr>
          <w:p w14:paraId="25C62917" w14:textId="19E5B6A1" w:rsidR="00DB6BE3" w:rsidRPr="007F0FA7" w:rsidRDefault="00982098"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1.734,00</w:t>
            </w:r>
          </w:p>
        </w:tc>
      </w:tr>
    </w:tbl>
    <w:p w14:paraId="52EB6AF9" w14:textId="4144D25F" w:rsidR="00074E05" w:rsidRPr="007F0FA7" w:rsidRDefault="00074E05" w:rsidP="00093B44">
      <w:pPr>
        <w:pStyle w:val="Cita"/>
        <w:spacing w:line="240" w:lineRule="auto"/>
        <w:jc w:val="both"/>
        <w:rPr>
          <w:rFonts w:ascii="Humanst521 BT" w:hAnsi="Humanst521 BT"/>
          <w:sz w:val="22"/>
          <w:szCs w:val="22"/>
          <w:lang w:eastAsia="es-CO"/>
        </w:rPr>
      </w:pPr>
      <w:r w:rsidRPr="007F0FA7">
        <w:rPr>
          <w:rFonts w:ascii="Humanst521 BT" w:hAnsi="Humanst521 BT"/>
          <w:sz w:val="22"/>
          <w:szCs w:val="22"/>
          <w:lang w:eastAsia="es-CO"/>
        </w:rPr>
        <w:t>Fuente: Bodega de Datos de SISPRO (SGD) 202</w:t>
      </w:r>
      <w:r w:rsidR="00E37498">
        <w:rPr>
          <w:rFonts w:ascii="Humanst521 BT" w:hAnsi="Humanst521 BT"/>
          <w:sz w:val="22"/>
          <w:szCs w:val="22"/>
          <w:lang w:eastAsia="es-CO"/>
        </w:rPr>
        <w:t>4</w:t>
      </w:r>
      <w:r w:rsidRPr="007F0FA7">
        <w:rPr>
          <w:rFonts w:ascii="Humanst521 BT" w:hAnsi="Humanst521 BT"/>
          <w:sz w:val="22"/>
          <w:szCs w:val="22"/>
          <w:lang w:eastAsia="es-CO"/>
        </w:rPr>
        <w:t>.  tasa ajustada de mortalidad por 100.000 afiliados</w:t>
      </w:r>
    </w:p>
    <w:p w14:paraId="6BDA7991" w14:textId="3498F92B" w:rsidR="00F00F4B" w:rsidRPr="007F0FA7" w:rsidRDefault="00F00F4B" w:rsidP="00093B44">
      <w:pPr>
        <w:jc w:val="both"/>
        <w:rPr>
          <w:rFonts w:ascii="Humanst521 BT" w:hAnsi="Humanst521 BT"/>
          <w:i/>
          <w:iCs/>
        </w:rPr>
      </w:pPr>
      <w:r w:rsidRPr="007F0FA7">
        <w:rPr>
          <w:rStyle w:val="nfasissutil"/>
          <w:rFonts w:ascii="Humanst521 BT" w:hAnsi="Humanst521 BT"/>
          <w:color w:val="auto"/>
        </w:rPr>
        <w:t>No se presentaron Tasas ajustadas de AVPP en otros departamento o municipios</w:t>
      </w:r>
    </w:p>
    <w:p w14:paraId="2C73A627" w14:textId="77777777" w:rsidR="00074E05" w:rsidRPr="007F0FA7" w:rsidRDefault="00074E05" w:rsidP="00093B44">
      <w:pPr>
        <w:jc w:val="both"/>
        <w:rPr>
          <w:rFonts w:ascii="Humanst521 BT" w:hAnsi="Humanst521 BT"/>
        </w:rPr>
      </w:pPr>
    </w:p>
    <w:p w14:paraId="6BB9FBE2" w14:textId="77777777" w:rsidR="00074E05" w:rsidRPr="007F0FA7" w:rsidRDefault="00074E05" w:rsidP="00093B44">
      <w:pPr>
        <w:pStyle w:val="Ttulo5"/>
      </w:pPr>
      <w:bookmarkStart w:id="194" w:name="_Toc161297428"/>
      <w:r w:rsidRPr="007F0FA7">
        <w:t>Tasas de AVPP ajustadas por la edad en Hombres</w:t>
      </w:r>
      <w:bookmarkEnd w:id="194"/>
      <w:r w:rsidRPr="007F0FA7">
        <w:t xml:space="preserve"> </w:t>
      </w:r>
    </w:p>
    <w:p w14:paraId="59010583" w14:textId="77777777" w:rsidR="00074E05" w:rsidRPr="007F0FA7" w:rsidRDefault="00074E05" w:rsidP="00093B44">
      <w:pPr>
        <w:jc w:val="both"/>
        <w:rPr>
          <w:rFonts w:ascii="Humanst521 BT" w:hAnsi="Humanst521 BT"/>
        </w:rPr>
      </w:pPr>
    </w:p>
    <w:p w14:paraId="0833568D" w14:textId="1DA2BFD1" w:rsidR="00FD15E0" w:rsidRPr="007F0FA7" w:rsidRDefault="00FD15E0" w:rsidP="00093B44">
      <w:pPr>
        <w:pStyle w:val="NormalWeb"/>
        <w:jc w:val="both"/>
        <w:rPr>
          <w:rFonts w:ascii="Humanst521 BT" w:hAnsi="Humanst521 BT"/>
          <w:sz w:val="22"/>
          <w:szCs w:val="22"/>
        </w:rPr>
      </w:pPr>
      <w:r w:rsidRPr="007F0FA7">
        <w:rPr>
          <w:rFonts w:ascii="Humanst521 BT" w:hAnsi="Humanst521 BT"/>
          <w:sz w:val="22"/>
          <w:szCs w:val="22"/>
        </w:rPr>
        <w:lastRenderedPageBreak/>
        <w:t xml:space="preserve">A nivel nacional, las principales causas de mortalidad según las tasas de AVPP ajustadas por la edad para el año 2023 en mujeres para UISALUD fueron las siguientes: </w:t>
      </w:r>
      <w:r w:rsidR="00431724" w:rsidRPr="007F0FA7">
        <w:rPr>
          <w:rFonts w:ascii="Humanst521 BT" w:hAnsi="Humanst521 BT"/>
          <w:sz w:val="22"/>
          <w:szCs w:val="22"/>
        </w:rPr>
        <w:t>E</w:t>
      </w:r>
      <w:r w:rsidRPr="007F0FA7">
        <w:rPr>
          <w:rFonts w:ascii="Humanst521 BT" w:hAnsi="Humanst521 BT"/>
          <w:sz w:val="22"/>
          <w:szCs w:val="22"/>
        </w:rPr>
        <w:t xml:space="preserve">n primer lugar, </w:t>
      </w:r>
      <w:r w:rsidRPr="007F0FA7">
        <w:rPr>
          <w:rStyle w:val="Textoennegrita"/>
          <w:rFonts w:ascii="Humanst521 BT" w:hAnsi="Humanst521 BT"/>
          <w:sz w:val="22"/>
          <w:szCs w:val="22"/>
        </w:rPr>
        <w:t>neoplasias</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2991,58 AVPP</w:t>
      </w:r>
      <w:r w:rsidRPr="007F0FA7">
        <w:rPr>
          <w:rFonts w:ascii="Humanst521 BT" w:hAnsi="Humanst521 BT"/>
          <w:sz w:val="22"/>
          <w:szCs w:val="22"/>
        </w:rPr>
        <w:t xml:space="preserve">, superior a la del ente territorial. En segundo lugar, se encuentran las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1249,12 AVPP</w:t>
      </w:r>
      <w:r w:rsidRPr="007F0FA7">
        <w:rPr>
          <w:rFonts w:ascii="Humanst521 BT" w:hAnsi="Humanst521 BT"/>
          <w:sz w:val="22"/>
          <w:szCs w:val="22"/>
        </w:rPr>
        <w:t xml:space="preserve">, inferior a la tasa del ente territorial. Finalmente, </w:t>
      </w:r>
      <w:r w:rsidRPr="007F0FA7">
        <w:rPr>
          <w:rStyle w:val="Textoennegrita"/>
          <w:rFonts w:ascii="Humanst521 BT" w:hAnsi="Humanst521 BT"/>
          <w:sz w:val="22"/>
          <w:szCs w:val="22"/>
        </w:rPr>
        <w:t>todas las demás enfermedades</w:t>
      </w:r>
      <w:r w:rsidRPr="007F0FA7">
        <w:rPr>
          <w:rFonts w:ascii="Humanst521 BT" w:hAnsi="Humanst521 BT"/>
          <w:sz w:val="22"/>
          <w:szCs w:val="22"/>
        </w:rPr>
        <w:t xml:space="preserve"> presentaron una tasa ajustada por edad de </w:t>
      </w:r>
      <w:r w:rsidRPr="007F0FA7">
        <w:rPr>
          <w:rStyle w:val="Textoennegrita"/>
          <w:rFonts w:ascii="Humanst521 BT" w:hAnsi="Humanst521 BT"/>
          <w:sz w:val="22"/>
          <w:szCs w:val="22"/>
        </w:rPr>
        <w:t>624,56 AVPP</w:t>
      </w:r>
      <w:r w:rsidRPr="007F0FA7">
        <w:rPr>
          <w:rFonts w:ascii="Humanst521 BT" w:hAnsi="Humanst521 BT"/>
          <w:sz w:val="22"/>
          <w:szCs w:val="22"/>
        </w:rPr>
        <w:t>, inferior a la tasa nacional, con una diferencia significativa.</w:t>
      </w:r>
    </w:p>
    <w:p w14:paraId="348C0D4E" w14:textId="77777777" w:rsidR="00FD15E0" w:rsidRPr="007F0FA7" w:rsidRDefault="00FD15E0" w:rsidP="00093B44">
      <w:pPr>
        <w:pStyle w:val="NormalWeb"/>
        <w:jc w:val="both"/>
        <w:rPr>
          <w:rFonts w:ascii="Humanst521 BT" w:hAnsi="Humanst521 BT"/>
          <w:sz w:val="22"/>
          <w:szCs w:val="22"/>
        </w:rPr>
      </w:pPr>
      <w:r w:rsidRPr="007F0FA7">
        <w:rPr>
          <w:rFonts w:ascii="Humanst521 BT" w:hAnsi="Humanst521 BT"/>
          <w:sz w:val="22"/>
          <w:szCs w:val="22"/>
        </w:rPr>
        <w:t xml:space="preserve">En el departamento de Santander, las principales causas de mortalidad según las tasas de AVPP ajustadas por la edad para el año 2023 en mujeres para UISALUD Santander fueron las siguientes: en primer lugar, </w:t>
      </w:r>
      <w:r w:rsidRPr="007F0FA7">
        <w:rPr>
          <w:rStyle w:val="Textoennegrita"/>
          <w:rFonts w:ascii="Humanst521 BT" w:hAnsi="Humanst521 BT"/>
          <w:sz w:val="22"/>
          <w:szCs w:val="22"/>
        </w:rPr>
        <w:t>neoplasias</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1263,31 AVPP</w:t>
      </w:r>
      <w:r w:rsidRPr="007F0FA7">
        <w:rPr>
          <w:rFonts w:ascii="Humanst521 BT" w:hAnsi="Humanst521 BT"/>
          <w:sz w:val="22"/>
          <w:szCs w:val="22"/>
        </w:rPr>
        <w:t xml:space="preserve">, superior al valor departamental. En segundo lugar, se encuentran las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1263,31 AVPP</w:t>
      </w:r>
      <w:r w:rsidRPr="007F0FA7">
        <w:rPr>
          <w:rFonts w:ascii="Humanst521 BT" w:hAnsi="Humanst521 BT"/>
          <w:sz w:val="22"/>
          <w:szCs w:val="22"/>
        </w:rPr>
        <w:t xml:space="preserve">, también superior al valor departamental. Por último, </w:t>
      </w:r>
      <w:r w:rsidRPr="007F0FA7">
        <w:rPr>
          <w:rStyle w:val="Textoennegrita"/>
          <w:rFonts w:ascii="Humanst521 BT" w:hAnsi="Humanst521 BT"/>
          <w:sz w:val="22"/>
          <w:szCs w:val="22"/>
        </w:rPr>
        <w:t>todas las demás enfermedades</w:t>
      </w:r>
      <w:r w:rsidRPr="007F0FA7">
        <w:rPr>
          <w:rFonts w:ascii="Humanst521 BT" w:hAnsi="Humanst521 BT"/>
          <w:sz w:val="22"/>
          <w:szCs w:val="22"/>
        </w:rPr>
        <w:t xml:space="preserve"> presentaron una tasa ajustada por edad de </w:t>
      </w:r>
      <w:r w:rsidRPr="007F0FA7">
        <w:rPr>
          <w:rStyle w:val="Textoennegrita"/>
          <w:rFonts w:ascii="Humanst521 BT" w:hAnsi="Humanst521 BT"/>
          <w:sz w:val="22"/>
          <w:szCs w:val="22"/>
        </w:rPr>
        <w:t>6631,65 AVPP</w:t>
      </w:r>
      <w:r w:rsidRPr="007F0FA7">
        <w:rPr>
          <w:rFonts w:ascii="Humanst521 BT" w:hAnsi="Humanst521 BT"/>
          <w:sz w:val="22"/>
          <w:szCs w:val="22"/>
        </w:rPr>
        <w:t>, inferior al valor departamental, con diferencias significativas.</w:t>
      </w:r>
    </w:p>
    <w:p w14:paraId="7BE73802" w14:textId="77777777" w:rsidR="00FD15E0" w:rsidRPr="007F0FA7" w:rsidRDefault="00FD15E0" w:rsidP="00093B44">
      <w:pPr>
        <w:pStyle w:val="NormalWeb"/>
        <w:jc w:val="both"/>
        <w:rPr>
          <w:rFonts w:ascii="Humanst521 BT" w:hAnsi="Humanst521 BT"/>
          <w:sz w:val="22"/>
          <w:szCs w:val="22"/>
        </w:rPr>
      </w:pPr>
      <w:r w:rsidRPr="007F0FA7">
        <w:rPr>
          <w:rFonts w:ascii="Humanst521 BT" w:hAnsi="Humanst521 BT"/>
          <w:sz w:val="22"/>
          <w:szCs w:val="22"/>
        </w:rPr>
        <w:t xml:space="preserve">Las tasas ajustadas de AVPP en mujeres para los municipios fueron las siguientes: en Bucaramanga, en primer lugar, las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presentaron una tasa ajustada por edad de </w:t>
      </w:r>
      <w:r w:rsidRPr="007F0FA7">
        <w:rPr>
          <w:rStyle w:val="Textoennegrita"/>
          <w:rFonts w:ascii="Humanst521 BT" w:hAnsi="Humanst521 BT"/>
          <w:sz w:val="22"/>
          <w:szCs w:val="22"/>
        </w:rPr>
        <w:t>1724,81 AVPP</w:t>
      </w:r>
      <w:r w:rsidRPr="007F0FA7">
        <w:rPr>
          <w:rFonts w:ascii="Humanst521 BT" w:hAnsi="Humanst521 BT"/>
          <w:sz w:val="22"/>
          <w:szCs w:val="22"/>
        </w:rPr>
        <w:t xml:space="preserve">, superior al valor municipal, con una diferencia significativa. En segundo lugar, las </w:t>
      </w:r>
      <w:r w:rsidRPr="007F0FA7">
        <w:rPr>
          <w:rStyle w:val="Textoennegrita"/>
          <w:rFonts w:ascii="Humanst521 BT" w:hAnsi="Humanst521 BT"/>
          <w:sz w:val="22"/>
          <w:szCs w:val="22"/>
        </w:rPr>
        <w:t>neoplasias</w:t>
      </w:r>
      <w:r w:rsidRPr="007F0FA7">
        <w:rPr>
          <w:rFonts w:ascii="Humanst521 BT" w:hAnsi="Humanst521 BT"/>
          <w:sz w:val="22"/>
          <w:szCs w:val="22"/>
        </w:rPr>
        <w:t xml:space="preserve"> tuvieron una tasa ajustada por edad de </w:t>
      </w:r>
      <w:r w:rsidRPr="007F0FA7">
        <w:rPr>
          <w:rStyle w:val="Textoennegrita"/>
          <w:rFonts w:ascii="Humanst521 BT" w:hAnsi="Humanst521 BT"/>
          <w:sz w:val="22"/>
          <w:szCs w:val="22"/>
        </w:rPr>
        <w:t>862,40 AVPP</w:t>
      </w:r>
      <w:r w:rsidRPr="007F0FA7">
        <w:rPr>
          <w:rFonts w:ascii="Humanst521 BT" w:hAnsi="Humanst521 BT"/>
          <w:sz w:val="22"/>
          <w:szCs w:val="22"/>
        </w:rPr>
        <w:t xml:space="preserve">, inferior al valor municipal, con una diferencia significativa. Por otro lado, en Floridablanca, las </w:t>
      </w:r>
      <w:r w:rsidRPr="007F0FA7">
        <w:rPr>
          <w:rStyle w:val="Textoennegrita"/>
          <w:rFonts w:ascii="Humanst521 BT" w:hAnsi="Humanst521 BT"/>
          <w:sz w:val="22"/>
          <w:szCs w:val="22"/>
        </w:rPr>
        <w:t>neoplasias</w:t>
      </w:r>
      <w:r w:rsidRPr="007F0FA7">
        <w:rPr>
          <w:rFonts w:ascii="Humanst521 BT" w:hAnsi="Humanst521 BT"/>
          <w:sz w:val="22"/>
          <w:szCs w:val="22"/>
        </w:rPr>
        <w:t xml:space="preserve"> mostraron una tasa ajustada por edad de </w:t>
      </w:r>
      <w:r w:rsidRPr="007F0FA7">
        <w:rPr>
          <w:rStyle w:val="Textoennegrita"/>
          <w:rFonts w:ascii="Humanst521 BT" w:hAnsi="Humanst521 BT"/>
          <w:sz w:val="22"/>
          <w:szCs w:val="22"/>
        </w:rPr>
        <w:t>3371,21 AVPP</w:t>
      </w:r>
      <w:r w:rsidRPr="007F0FA7">
        <w:rPr>
          <w:rFonts w:ascii="Humanst521 BT" w:hAnsi="Humanst521 BT"/>
          <w:sz w:val="22"/>
          <w:szCs w:val="22"/>
        </w:rPr>
        <w:t xml:space="preserve">, inferior al valor municipal, con una diferencia significativa. Además, </w:t>
      </w:r>
      <w:r w:rsidRPr="007F0FA7">
        <w:rPr>
          <w:rStyle w:val="Textoennegrita"/>
          <w:rFonts w:ascii="Humanst521 BT" w:hAnsi="Humanst521 BT"/>
          <w:sz w:val="22"/>
          <w:szCs w:val="22"/>
        </w:rPr>
        <w:t>todas las demás causas</w:t>
      </w:r>
      <w:r w:rsidRPr="007F0FA7">
        <w:rPr>
          <w:rFonts w:ascii="Humanst521 BT" w:hAnsi="Humanst521 BT"/>
          <w:sz w:val="22"/>
          <w:szCs w:val="22"/>
        </w:rPr>
        <w:t xml:space="preserve"> también tuvieron una tasa ajustada por edad de </w:t>
      </w:r>
      <w:r w:rsidRPr="007F0FA7">
        <w:rPr>
          <w:rStyle w:val="Textoennegrita"/>
          <w:rFonts w:ascii="Humanst521 BT" w:hAnsi="Humanst521 BT"/>
          <w:sz w:val="22"/>
          <w:szCs w:val="22"/>
        </w:rPr>
        <w:t>3371,21 AVPP</w:t>
      </w:r>
      <w:r w:rsidRPr="007F0FA7">
        <w:rPr>
          <w:rFonts w:ascii="Humanst521 BT" w:hAnsi="Humanst521 BT"/>
          <w:sz w:val="22"/>
          <w:szCs w:val="22"/>
        </w:rPr>
        <w:t>, inferior al valor municipal, con una diferencia significativa.</w:t>
      </w:r>
    </w:p>
    <w:p w14:paraId="113AE7B5" w14:textId="198938A1" w:rsidR="00074E05" w:rsidRPr="007F0FA7" w:rsidRDefault="00FD15E0" w:rsidP="00093B44">
      <w:pPr>
        <w:pStyle w:val="NormalWeb"/>
        <w:jc w:val="both"/>
        <w:rPr>
          <w:rFonts w:ascii="Humanst521 BT" w:hAnsi="Humanst521 BT"/>
          <w:sz w:val="22"/>
          <w:szCs w:val="22"/>
        </w:rPr>
      </w:pPr>
      <w:r w:rsidRPr="007F0FA7">
        <w:rPr>
          <w:rFonts w:ascii="Humanst521 BT" w:hAnsi="Humanst521 BT"/>
          <w:sz w:val="22"/>
          <w:szCs w:val="22"/>
        </w:rPr>
        <w:t xml:space="preserve">Finalmente, en Antioquia, las </w:t>
      </w:r>
      <w:r w:rsidRPr="007F0FA7">
        <w:rPr>
          <w:rStyle w:val="Textoennegrita"/>
          <w:rFonts w:ascii="Humanst521 BT" w:hAnsi="Humanst521 BT"/>
          <w:sz w:val="22"/>
          <w:szCs w:val="22"/>
        </w:rPr>
        <w:t>neoplasias</w:t>
      </w:r>
      <w:r w:rsidRPr="007F0FA7">
        <w:rPr>
          <w:rFonts w:ascii="Humanst521 BT" w:hAnsi="Humanst521 BT"/>
          <w:sz w:val="22"/>
          <w:szCs w:val="22"/>
        </w:rPr>
        <w:t xml:space="preserve"> registraron una tasa ajustada por edad de </w:t>
      </w:r>
      <w:r w:rsidRPr="007F0FA7">
        <w:rPr>
          <w:rStyle w:val="Textoennegrita"/>
          <w:rFonts w:ascii="Humanst521 BT" w:hAnsi="Humanst521 BT"/>
          <w:sz w:val="22"/>
          <w:szCs w:val="22"/>
        </w:rPr>
        <w:t>27.588,89 AVPP</w:t>
      </w:r>
      <w:r w:rsidRPr="007F0FA7">
        <w:rPr>
          <w:rFonts w:ascii="Humanst521 BT" w:hAnsi="Humanst521 BT"/>
          <w:sz w:val="22"/>
          <w:szCs w:val="22"/>
        </w:rPr>
        <w:t>, superior al valor reportado por el municipio, con una diferencia significativa.</w:t>
      </w:r>
    </w:p>
    <w:p w14:paraId="1BD7D71C" w14:textId="0D92586D" w:rsidR="00074E05" w:rsidRPr="007F0FA7" w:rsidRDefault="00074E05" w:rsidP="00093B44">
      <w:pPr>
        <w:jc w:val="both"/>
        <w:rPr>
          <w:rFonts w:ascii="Humanst521 BT" w:hAnsi="Humanst521 BT"/>
        </w:rPr>
      </w:pPr>
      <w:r w:rsidRPr="007F0FA7">
        <w:rPr>
          <w:rFonts w:ascii="Humanst521 BT" w:hAnsi="Humanst521 BT"/>
        </w:rPr>
        <w:t xml:space="preserve">En la tabla </w:t>
      </w:r>
      <w:r w:rsidR="00687D1F" w:rsidRPr="007F0FA7">
        <w:rPr>
          <w:rFonts w:ascii="Humanst521 BT" w:hAnsi="Humanst521 BT"/>
        </w:rPr>
        <w:t>siguiente</w:t>
      </w:r>
      <w:r w:rsidRPr="007F0FA7">
        <w:rPr>
          <w:rFonts w:ascii="Humanst521 BT" w:hAnsi="Humanst521 BT"/>
        </w:rPr>
        <w:t>, se presenta las Tasas de AVPP para UISALUD Santander y los municipios que presentaron reportes en hombres.</w:t>
      </w:r>
    </w:p>
    <w:p w14:paraId="439B0E12" w14:textId="77777777" w:rsidR="00074E05" w:rsidRPr="007F0FA7" w:rsidRDefault="00074E05" w:rsidP="00093B44">
      <w:pPr>
        <w:jc w:val="both"/>
        <w:rPr>
          <w:rStyle w:val="nfasissutil"/>
          <w:rFonts w:ascii="Humanst521 BT" w:hAnsi="Humanst521 BT"/>
          <w:color w:val="auto"/>
        </w:rPr>
      </w:pPr>
    </w:p>
    <w:p w14:paraId="2E77A860" w14:textId="6359FDFF" w:rsidR="00074E05" w:rsidRPr="00D92A24"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195" w:name="_Toc161298183"/>
      <w:bookmarkStart w:id="196" w:name="_Toc161318803"/>
      <w:bookmarkStart w:id="197" w:name="_Toc231286286"/>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D92A24" w:rsidRPr="00D92A24">
        <w:rPr>
          <w:rFonts w:ascii="Humanst521 BT" w:eastAsia="Verdana" w:hAnsi="Humanst521 BT" w:cs="Verdana"/>
          <w:b w:val="0"/>
          <w:bCs w:val="0"/>
          <w:noProof/>
          <w:color w:val="auto"/>
          <w:sz w:val="22"/>
          <w:szCs w:val="22"/>
          <w:lang w:val="es-ES"/>
        </w:rPr>
        <w:t>41</w:t>
      </w:r>
      <w:r w:rsidRPr="00D92A24">
        <w:rPr>
          <w:rFonts w:ascii="Humanst521 BT" w:eastAsia="Verdana" w:hAnsi="Humanst521 BT" w:cs="Verdana"/>
          <w:b w:val="0"/>
          <w:bCs w:val="0"/>
          <w:color w:val="auto"/>
          <w:sz w:val="22"/>
          <w:szCs w:val="22"/>
          <w:lang w:val="es-ES"/>
        </w:rPr>
        <w:fldChar w:fldCharType="end"/>
      </w:r>
      <w:r w:rsidR="00D92A24">
        <w:rPr>
          <w:rFonts w:ascii="Humanst521 BT" w:eastAsia="Verdana" w:hAnsi="Humanst521 BT" w:cs="Verdana"/>
          <w:b w:val="0"/>
          <w:bCs w:val="0"/>
          <w:color w:val="auto"/>
          <w:sz w:val="22"/>
          <w:szCs w:val="22"/>
          <w:lang w:val="es-ES"/>
        </w:rPr>
        <w:t>.</w:t>
      </w:r>
      <w:r w:rsidRPr="00D92A24">
        <w:rPr>
          <w:rFonts w:ascii="Humanst521 BT" w:eastAsia="Verdana" w:hAnsi="Humanst521 BT" w:cs="Verdana"/>
          <w:b w:val="0"/>
          <w:bCs w:val="0"/>
          <w:color w:val="auto"/>
          <w:sz w:val="22"/>
          <w:szCs w:val="22"/>
          <w:lang w:val="es-ES"/>
        </w:rPr>
        <w:t xml:space="preserve"> Tasas ajustadas de AVPP en hombres, UISALUD 202</w:t>
      </w:r>
      <w:bookmarkEnd w:id="195"/>
      <w:bookmarkEnd w:id="196"/>
      <w:r w:rsidR="00E37498" w:rsidRPr="00D92A24">
        <w:rPr>
          <w:rFonts w:ascii="Humanst521 BT" w:eastAsia="Verdana" w:hAnsi="Humanst521 BT" w:cs="Verdana"/>
          <w:b w:val="0"/>
          <w:bCs w:val="0"/>
          <w:color w:val="auto"/>
          <w:sz w:val="22"/>
          <w:szCs w:val="22"/>
          <w:lang w:val="es-ES"/>
        </w:rPr>
        <w:t>4</w:t>
      </w:r>
      <w:bookmarkEnd w:id="197"/>
    </w:p>
    <w:tbl>
      <w:tblPr>
        <w:tblStyle w:val="Tablaconcuadrcula4-nfasis2"/>
        <w:tblW w:w="48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3679"/>
        <w:gridCol w:w="1665"/>
        <w:gridCol w:w="1773"/>
      </w:tblGrid>
      <w:tr w:rsidR="00E32CB0" w:rsidRPr="007F0FA7" w14:paraId="5C3F6D52" w14:textId="77777777" w:rsidTr="00735F2B">
        <w:trPr>
          <w:cnfStyle w:val="100000000000" w:firstRow="1" w:lastRow="0" w:firstColumn="0" w:lastColumn="0" w:oddVBand="0" w:evenVBand="0" w:oddHBand="0" w:evenHBand="0" w:firstRowFirstColumn="0" w:firstRowLastColumn="0" w:lastRowFirstColumn="0" w:lastRowLastColumn="0"/>
          <w:trHeight w:val="896"/>
          <w:tblHeader/>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3F832A90" w14:textId="77777777" w:rsidR="00074E05" w:rsidRPr="007F0FA7" w:rsidRDefault="00074E05" w:rsidP="00093B44">
            <w:pPr>
              <w:jc w:val="both"/>
              <w:rPr>
                <w:rFonts w:ascii="Humanst521 BT" w:hAnsi="Humanst521 BT" w:cs="Arial"/>
                <w:color w:val="auto"/>
                <w:sz w:val="22"/>
                <w:szCs w:val="22"/>
              </w:rPr>
            </w:pPr>
            <w:r w:rsidRPr="007F0FA7">
              <w:rPr>
                <w:rFonts w:ascii="Humanst521 BT" w:hAnsi="Humanst521 BT" w:cs="Arial"/>
                <w:color w:val="auto"/>
                <w:sz w:val="22"/>
                <w:szCs w:val="22"/>
              </w:rPr>
              <w:t>Entidad territorial donde residen los afiliados UISALUD</w:t>
            </w:r>
          </w:p>
        </w:tc>
        <w:tc>
          <w:tcPr>
            <w:tcW w:w="1988"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2604BF4A"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Grupos de muerte según lista 6/67 OPS-OMS </w:t>
            </w:r>
          </w:p>
        </w:tc>
        <w:tc>
          <w:tcPr>
            <w:tcW w:w="900"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1F2B3FB8"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AVPP en hombres   para UISALUD por entidad territorial </w:t>
            </w:r>
          </w:p>
        </w:tc>
        <w:tc>
          <w:tcPr>
            <w:tcW w:w="958" w:type="pct"/>
            <w:vMerge w:val="restar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59383468"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Tasa ajustada de AVPP en la entidad territorial para hombres</w:t>
            </w:r>
          </w:p>
        </w:tc>
      </w:tr>
      <w:tr w:rsidR="00E32CB0" w:rsidRPr="007F0FA7" w14:paraId="7B7AC81C" w14:textId="77777777" w:rsidTr="00735F2B">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5E0B3" w:themeFill="accent6" w:themeFillTint="66"/>
            <w:hideMark/>
          </w:tcPr>
          <w:p w14:paraId="0851C014" w14:textId="77777777" w:rsidR="00074E05" w:rsidRPr="007F0FA7" w:rsidRDefault="00074E05" w:rsidP="00093B44">
            <w:pPr>
              <w:jc w:val="both"/>
              <w:rPr>
                <w:rFonts w:ascii="Humanst521 BT" w:hAnsi="Humanst521 BT" w:cs="Arial"/>
                <w:sz w:val="22"/>
                <w:szCs w:val="22"/>
              </w:rPr>
            </w:pPr>
          </w:p>
        </w:tc>
        <w:tc>
          <w:tcPr>
            <w:tcW w:w="1988" w:type="pct"/>
            <w:vMerge/>
            <w:shd w:val="clear" w:color="auto" w:fill="C5E0B3" w:themeFill="accent6" w:themeFillTint="66"/>
            <w:hideMark/>
          </w:tcPr>
          <w:p w14:paraId="43427836"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c>
          <w:tcPr>
            <w:tcW w:w="900" w:type="pct"/>
            <w:vMerge/>
            <w:shd w:val="clear" w:color="auto" w:fill="C5E0B3" w:themeFill="accent6" w:themeFillTint="66"/>
            <w:hideMark/>
          </w:tcPr>
          <w:p w14:paraId="680A8B41"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c>
          <w:tcPr>
            <w:tcW w:w="958" w:type="pct"/>
            <w:vMerge/>
            <w:shd w:val="clear" w:color="auto" w:fill="C5E0B3" w:themeFill="accent6" w:themeFillTint="66"/>
            <w:hideMark/>
          </w:tcPr>
          <w:p w14:paraId="778D1C12" w14:textId="77777777" w:rsidR="00074E05" w:rsidRPr="007F0FA7" w:rsidRDefault="00074E0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p>
        </w:tc>
      </w:tr>
      <w:tr w:rsidR="00E32CB0" w:rsidRPr="007F0FA7" w14:paraId="2E1DECBB" w14:textId="77777777" w:rsidTr="00735F2B">
        <w:trPr>
          <w:trHeight w:val="346"/>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FFFFFF" w:themeFill="background1"/>
            <w:noWrap/>
            <w:hideMark/>
          </w:tcPr>
          <w:p w14:paraId="305BD7D4" w14:textId="77777777" w:rsidR="00167635" w:rsidRPr="007F0FA7" w:rsidRDefault="00167635" w:rsidP="00093B44">
            <w:pPr>
              <w:jc w:val="both"/>
              <w:rPr>
                <w:rFonts w:ascii="Humanst521 BT" w:hAnsi="Humanst521 BT" w:cs="Arial"/>
                <w:sz w:val="22"/>
                <w:szCs w:val="22"/>
              </w:rPr>
            </w:pPr>
            <w:r w:rsidRPr="007F0FA7">
              <w:rPr>
                <w:rFonts w:ascii="Humanst521 BT" w:hAnsi="Humanst521 BT" w:cs="Arial"/>
                <w:sz w:val="22"/>
                <w:szCs w:val="22"/>
              </w:rPr>
              <w:t>SANTANDER</w:t>
            </w:r>
          </w:p>
        </w:tc>
        <w:tc>
          <w:tcPr>
            <w:tcW w:w="1988" w:type="pct"/>
            <w:shd w:val="clear" w:color="auto" w:fill="FFFFFF" w:themeFill="background1"/>
            <w:noWrap/>
            <w:hideMark/>
          </w:tcPr>
          <w:p w14:paraId="4E73AB05" w14:textId="77777777"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00" w:type="pct"/>
            <w:shd w:val="clear" w:color="000000" w:fill="92D050"/>
            <w:noWrap/>
            <w:vAlign w:val="bottom"/>
            <w:hideMark/>
          </w:tcPr>
          <w:p w14:paraId="4674B1D6" w14:textId="35A437DB"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560,57</w:t>
            </w:r>
          </w:p>
        </w:tc>
        <w:tc>
          <w:tcPr>
            <w:tcW w:w="958" w:type="pct"/>
            <w:shd w:val="clear" w:color="auto" w:fill="FFFFFF" w:themeFill="background1"/>
            <w:noWrap/>
            <w:hideMark/>
          </w:tcPr>
          <w:p w14:paraId="05D7427A" w14:textId="1097C959"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759,04</w:t>
            </w:r>
          </w:p>
        </w:tc>
      </w:tr>
      <w:tr w:rsidR="00E32CB0" w:rsidRPr="007F0FA7" w14:paraId="33ECB330" w14:textId="77777777" w:rsidTr="00735F2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4D0F946E" w14:textId="77777777" w:rsidR="00167635" w:rsidRPr="007F0FA7" w:rsidRDefault="00167635" w:rsidP="00093B44">
            <w:pPr>
              <w:jc w:val="both"/>
              <w:rPr>
                <w:rFonts w:ascii="Humanst521 BT" w:hAnsi="Humanst521 BT" w:cs="Arial"/>
                <w:sz w:val="22"/>
                <w:szCs w:val="22"/>
              </w:rPr>
            </w:pPr>
          </w:p>
        </w:tc>
        <w:tc>
          <w:tcPr>
            <w:tcW w:w="1988" w:type="pct"/>
            <w:shd w:val="clear" w:color="auto" w:fill="FFFFFF" w:themeFill="background1"/>
            <w:noWrap/>
            <w:hideMark/>
          </w:tcPr>
          <w:p w14:paraId="69BE1946" w14:textId="77777777"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00" w:type="pct"/>
            <w:shd w:val="clear" w:color="000000" w:fill="FF0000"/>
            <w:noWrap/>
            <w:vAlign w:val="bottom"/>
            <w:hideMark/>
          </w:tcPr>
          <w:p w14:paraId="3CDC800D" w14:textId="25D8E624"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3574,12</w:t>
            </w:r>
          </w:p>
        </w:tc>
        <w:tc>
          <w:tcPr>
            <w:tcW w:w="958" w:type="pct"/>
            <w:shd w:val="clear" w:color="auto" w:fill="FFFFFF" w:themeFill="background1"/>
            <w:noWrap/>
            <w:hideMark/>
          </w:tcPr>
          <w:p w14:paraId="72294298" w14:textId="61ED05D0"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1.502,59</w:t>
            </w:r>
          </w:p>
        </w:tc>
      </w:tr>
      <w:tr w:rsidR="00E32CB0" w:rsidRPr="007F0FA7" w14:paraId="7BBC6500" w14:textId="77777777" w:rsidTr="00735F2B">
        <w:trPr>
          <w:trHeight w:val="400"/>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1AA2F68E" w14:textId="77777777" w:rsidR="00167635" w:rsidRPr="007F0FA7" w:rsidRDefault="00167635" w:rsidP="00093B44">
            <w:pPr>
              <w:jc w:val="both"/>
              <w:rPr>
                <w:rFonts w:ascii="Humanst521 BT" w:hAnsi="Humanst521 BT" w:cs="Arial"/>
                <w:sz w:val="22"/>
                <w:szCs w:val="22"/>
              </w:rPr>
            </w:pPr>
          </w:p>
        </w:tc>
        <w:tc>
          <w:tcPr>
            <w:tcW w:w="1988" w:type="pct"/>
            <w:shd w:val="clear" w:color="auto" w:fill="FFFFFF" w:themeFill="background1"/>
            <w:noWrap/>
            <w:hideMark/>
          </w:tcPr>
          <w:p w14:paraId="78D96F50" w14:textId="77777777"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900" w:type="pct"/>
            <w:shd w:val="clear" w:color="000000" w:fill="FF0000"/>
            <w:noWrap/>
            <w:vAlign w:val="bottom"/>
            <w:hideMark/>
          </w:tcPr>
          <w:p w14:paraId="48904613" w14:textId="18392F64"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3725,36</w:t>
            </w:r>
          </w:p>
        </w:tc>
        <w:tc>
          <w:tcPr>
            <w:tcW w:w="958" w:type="pct"/>
            <w:shd w:val="clear" w:color="auto" w:fill="FFFFFF" w:themeFill="background1"/>
            <w:noWrap/>
            <w:hideMark/>
          </w:tcPr>
          <w:p w14:paraId="61DD2409" w14:textId="20C6DAE1"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1.794,30</w:t>
            </w:r>
          </w:p>
        </w:tc>
      </w:tr>
      <w:tr w:rsidR="00E32CB0" w:rsidRPr="007F0FA7" w14:paraId="7A98F1CC" w14:textId="77777777" w:rsidTr="00735F2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057BBB3F" w14:textId="77777777" w:rsidR="00167635" w:rsidRPr="007F0FA7" w:rsidRDefault="00167635" w:rsidP="00093B44">
            <w:pPr>
              <w:jc w:val="both"/>
              <w:rPr>
                <w:rFonts w:ascii="Humanst521 BT" w:hAnsi="Humanst521 BT" w:cs="Arial"/>
                <w:sz w:val="22"/>
                <w:szCs w:val="22"/>
              </w:rPr>
            </w:pPr>
          </w:p>
        </w:tc>
        <w:tc>
          <w:tcPr>
            <w:tcW w:w="1988" w:type="pct"/>
            <w:shd w:val="clear" w:color="auto" w:fill="FFFFFF" w:themeFill="background1"/>
            <w:noWrap/>
            <w:hideMark/>
          </w:tcPr>
          <w:p w14:paraId="76CB184E" w14:textId="77777777"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Afecciones periodo perinatal</w:t>
            </w:r>
          </w:p>
        </w:tc>
        <w:tc>
          <w:tcPr>
            <w:tcW w:w="900" w:type="pct"/>
            <w:shd w:val="clear" w:color="auto" w:fill="92D050"/>
            <w:noWrap/>
            <w:vAlign w:val="bottom"/>
            <w:hideMark/>
          </w:tcPr>
          <w:p w14:paraId="68705FEB" w14:textId="6125C3F8"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58" w:type="pct"/>
            <w:shd w:val="clear" w:color="auto" w:fill="FFFFFF" w:themeFill="background1"/>
            <w:noWrap/>
            <w:hideMark/>
          </w:tcPr>
          <w:p w14:paraId="3A1CB6AE" w14:textId="15229C64"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2.869,73</w:t>
            </w:r>
          </w:p>
        </w:tc>
      </w:tr>
      <w:tr w:rsidR="00E32CB0" w:rsidRPr="007F0FA7" w14:paraId="45ACF8C6" w14:textId="77777777" w:rsidTr="00735F2B">
        <w:trPr>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58810EFA" w14:textId="77777777" w:rsidR="00167635" w:rsidRPr="007F0FA7" w:rsidRDefault="00167635" w:rsidP="00093B44">
            <w:pPr>
              <w:jc w:val="both"/>
              <w:rPr>
                <w:rFonts w:ascii="Humanst521 BT" w:hAnsi="Humanst521 BT" w:cs="Arial"/>
                <w:sz w:val="22"/>
                <w:szCs w:val="22"/>
              </w:rPr>
            </w:pPr>
          </w:p>
        </w:tc>
        <w:tc>
          <w:tcPr>
            <w:tcW w:w="1988" w:type="pct"/>
            <w:shd w:val="clear" w:color="auto" w:fill="FFFFFF" w:themeFill="background1"/>
            <w:noWrap/>
            <w:hideMark/>
          </w:tcPr>
          <w:p w14:paraId="6A286E00" w14:textId="77777777"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00" w:type="pct"/>
            <w:shd w:val="clear" w:color="auto" w:fill="92D050"/>
            <w:noWrap/>
            <w:vAlign w:val="bottom"/>
            <w:hideMark/>
          </w:tcPr>
          <w:p w14:paraId="2C10E665" w14:textId="0D48560D"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58" w:type="pct"/>
            <w:shd w:val="clear" w:color="auto" w:fill="FFFFFF" w:themeFill="background1"/>
            <w:noWrap/>
            <w:hideMark/>
          </w:tcPr>
          <w:p w14:paraId="1F6375DA" w14:textId="1925442B"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1.985,31</w:t>
            </w:r>
          </w:p>
        </w:tc>
      </w:tr>
      <w:tr w:rsidR="00E32CB0" w:rsidRPr="007F0FA7" w14:paraId="4362E50C" w14:textId="77777777" w:rsidTr="00735F2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17D08FD6" w14:textId="77777777" w:rsidR="00167635" w:rsidRPr="007F0FA7" w:rsidRDefault="00167635" w:rsidP="00093B44">
            <w:pPr>
              <w:jc w:val="both"/>
              <w:rPr>
                <w:rFonts w:ascii="Humanst521 BT" w:hAnsi="Humanst521 BT" w:cs="Arial"/>
                <w:sz w:val="22"/>
                <w:szCs w:val="22"/>
              </w:rPr>
            </w:pPr>
          </w:p>
        </w:tc>
        <w:tc>
          <w:tcPr>
            <w:tcW w:w="1988" w:type="pct"/>
            <w:noWrap/>
            <w:hideMark/>
          </w:tcPr>
          <w:p w14:paraId="372AB84B" w14:textId="77777777"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00" w:type="pct"/>
            <w:shd w:val="clear" w:color="000000" w:fill="FF0000"/>
            <w:noWrap/>
            <w:vAlign w:val="bottom"/>
            <w:hideMark/>
          </w:tcPr>
          <w:p w14:paraId="7CECEDE2" w14:textId="1CEC8357"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8674,94</w:t>
            </w:r>
          </w:p>
        </w:tc>
        <w:tc>
          <w:tcPr>
            <w:tcW w:w="958" w:type="pct"/>
            <w:shd w:val="clear" w:color="auto" w:fill="FFFFFF" w:themeFill="background1"/>
            <w:noWrap/>
            <w:hideMark/>
          </w:tcPr>
          <w:p w14:paraId="286EF2BC" w14:textId="452A6F11" w:rsidR="00167635" w:rsidRPr="007F0FA7" w:rsidRDefault="00167635"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214,69</w:t>
            </w:r>
          </w:p>
        </w:tc>
      </w:tr>
      <w:tr w:rsidR="00E32CB0" w:rsidRPr="007F0FA7" w14:paraId="27F94B41" w14:textId="77777777" w:rsidTr="00735F2B">
        <w:trPr>
          <w:trHeight w:val="343"/>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43F9D387" w14:textId="77777777" w:rsidR="00167635" w:rsidRPr="007F0FA7" w:rsidRDefault="00167635" w:rsidP="00093B44">
            <w:pPr>
              <w:jc w:val="both"/>
              <w:rPr>
                <w:rFonts w:ascii="Humanst521 BT" w:hAnsi="Humanst521 BT" w:cs="Arial"/>
                <w:sz w:val="22"/>
                <w:szCs w:val="22"/>
              </w:rPr>
            </w:pPr>
          </w:p>
        </w:tc>
        <w:tc>
          <w:tcPr>
            <w:tcW w:w="1988" w:type="pct"/>
            <w:shd w:val="clear" w:color="auto" w:fill="FFFFFF" w:themeFill="background1"/>
            <w:noWrap/>
            <w:hideMark/>
          </w:tcPr>
          <w:p w14:paraId="6234B789" w14:textId="77777777"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900" w:type="pct"/>
            <w:shd w:val="clear" w:color="auto" w:fill="92D050"/>
            <w:noWrap/>
            <w:vAlign w:val="bottom"/>
            <w:hideMark/>
          </w:tcPr>
          <w:p w14:paraId="1B71E647" w14:textId="558C839B"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58" w:type="pct"/>
            <w:shd w:val="clear" w:color="auto" w:fill="FFFFFF" w:themeFill="background1"/>
            <w:noWrap/>
            <w:hideMark/>
          </w:tcPr>
          <w:p w14:paraId="7B9BEDA8" w14:textId="2A75727E" w:rsidR="00167635" w:rsidRPr="007F0FA7" w:rsidRDefault="00167635"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67833C05" w14:textId="77777777" w:rsidTr="00735F2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FFFFFF" w:themeFill="background1"/>
            <w:noWrap/>
            <w:hideMark/>
          </w:tcPr>
          <w:p w14:paraId="21C8D4F5" w14:textId="77777777" w:rsidR="009C18B4" w:rsidRPr="007F0FA7" w:rsidRDefault="009C18B4" w:rsidP="00093B44">
            <w:pPr>
              <w:jc w:val="both"/>
              <w:rPr>
                <w:rFonts w:ascii="Humanst521 BT" w:hAnsi="Humanst521 BT" w:cs="Arial"/>
                <w:sz w:val="22"/>
                <w:szCs w:val="22"/>
              </w:rPr>
            </w:pPr>
            <w:r w:rsidRPr="007F0FA7">
              <w:rPr>
                <w:rFonts w:ascii="Humanst521 BT" w:hAnsi="Humanst521 BT" w:cs="Arial"/>
                <w:sz w:val="22"/>
                <w:szCs w:val="22"/>
              </w:rPr>
              <w:t>BUCARAMANGA</w:t>
            </w:r>
          </w:p>
        </w:tc>
        <w:tc>
          <w:tcPr>
            <w:tcW w:w="1988" w:type="pct"/>
            <w:shd w:val="clear" w:color="auto" w:fill="FFFFFF" w:themeFill="background1"/>
            <w:noWrap/>
            <w:hideMark/>
          </w:tcPr>
          <w:p w14:paraId="309E7466" w14:textId="77777777"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00" w:type="pct"/>
            <w:shd w:val="clear" w:color="auto" w:fill="92D050"/>
            <w:noWrap/>
            <w:vAlign w:val="bottom"/>
            <w:hideMark/>
          </w:tcPr>
          <w:p w14:paraId="49E44C23" w14:textId="597710AD"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796,79</w:t>
            </w:r>
          </w:p>
        </w:tc>
        <w:tc>
          <w:tcPr>
            <w:tcW w:w="958" w:type="pct"/>
            <w:shd w:val="clear" w:color="auto" w:fill="FFFFFF" w:themeFill="background1"/>
            <w:noWrap/>
            <w:hideMark/>
          </w:tcPr>
          <w:p w14:paraId="5649C7CF" w14:textId="373C573F"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932,47</w:t>
            </w:r>
          </w:p>
        </w:tc>
      </w:tr>
      <w:tr w:rsidR="00E32CB0" w:rsidRPr="007F0FA7" w14:paraId="0153F1D0" w14:textId="77777777" w:rsidTr="00735F2B">
        <w:trPr>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30A27445" w14:textId="77777777" w:rsidR="009C18B4" w:rsidRPr="007F0FA7" w:rsidRDefault="009C18B4" w:rsidP="00093B44">
            <w:pPr>
              <w:jc w:val="both"/>
              <w:rPr>
                <w:rFonts w:ascii="Humanst521 BT" w:hAnsi="Humanst521 BT" w:cs="Arial"/>
                <w:sz w:val="22"/>
                <w:szCs w:val="22"/>
              </w:rPr>
            </w:pPr>
          </w:p>
        </w:tc>
        <w:tc>
          <w:tcPr>
            <w:tcW w:w="1988" w:type="pct"/>
            <w:shd w:val="clear" w:color="auto" w:fill="FBE4D5" w:themeFill="accent2" w:themeFillTint="33"/>
            <w:noWrap/>
            <w:hideMark/>
          </w:tcPr>
          <w:p w14:paraId="6353367C" w14:textId="77777777"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00" w:type="pct"/>
            <w:shd w:val="clear" w:color="auto" w:fill="FF0000"/>
            <w:noWrap/>
            <w:vAlign w:val="bottom"/>
            <w:hideMark/>
          </w:tcPr>
          <w:p w14:paraId="0A5E0E77" w14:textId="509BDC36"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5080,21</w:t>
            </w:r>
          </w:p>
        </w:tc>
        <w:tc>
          <w:tcPr>
            <w:tcW w:w="958" w:type="pct"/>
            <w:shd w:val="clear" w:color="auto" w:fill="FFFFFF" w:themeFill="background1"/>
            <w:noWrap/>
            <w:hideMark/>
          </w:tcPr>
          <w:p w14:paraId="555D8F6B" w14:textId="12F0383B"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1.900,10</w:t>
            </w:r>
          </w:p>
        </w:tc>
      </w:tr>
      <w:tr w:rsidR="00E32CB0" w:rsidRPr="007F0FA7" w14:paraId="4DA46690" w14:textId="77777777" w:rsidTr="00735F2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0C70684C" w14:textId="77777777" w:rsidR="009C18B4" w:rsidRPr="007F0FA7" w:rsidRDefault="009C18B4" w:rsidP="00093B44">
            <w:pPr>
              <w:jc w:val="both"/>
              <w:rPr>
                <w:rFonts w:ascii="Humanst521 BT" w:hAnsi="Humanst521 BT" w:cs="Arial"/>
                <w:sz w:val="22"/>
                <w:szCs w:val="22"/>
              </w:rPr>
            </w:pPr>
          </w:p>
        </w:tc>
        <w:tc>
          <w:tcPr>
            <w:tcW w:w="1988" w:type="pct"/>
            <w:shd w:val="clear" w:color="auto" w:fill="FFFFFF" w:themeFill="background1"/>
            <w:noWrap/>
            <w:hideMark/>
          </w:tcPr>
          <w:p w14:paraId="4F5DD3C6" w14:textId="77777777"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900" w:type="pct"/>
            <w:shd w:val="clear" w:color="auto" w:fill="FF0000"/>
            <w:noWrap/>
            <w:vAlign w:val="bottom"/>
            <w:hideMark/>
          </w:tcPr>
          <w:p w14:paraId="5D921FB1" w14:textId="0C93AB75"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3045,99</w:t>
            </w:r>
          </w:p>
        </w:tc>
        <w:tc>
          <w:tcPr>
            <w:tcW w:w="958" w:type="pct"/>
            <w:shd w:val="clear" w:color="auto" w:fill="FFFFFF" w:themeFill="background1"/>
            <w:noWrap/>
            <w:hideMark/>
          </w:tcPr>
          <w:p w14:paraId="49D6B9D8" w14:textId="25E2C5C4"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1.829,91</w:t>
            </w:r>
          </w:p>
        </w:tc>
      </w:tr>
      <w:tr w:rsidR="00E32CB0" w:rsidRPr="007F0FA7" w14:paraId="6599A5A2" w14:textId="77777777" w:rsidTr="00735F2B">
        <w:trPr>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36FF8D03" w14:textId="77777777" w:rsidR="009C18B4" w:rsidRPr="007F0FA7" w:rsidRDefault="009C18B4" w:rsidP="00093B44">
            <w:pPr>
              <w:jc w:val="both"/>
              <w:rPr>
                <w:rFonts w:ascii="Humanst521 BT" w:hAnsi="Humanst521 BT" w:cs="Arial"/>
                <w:sz w:val="22"/>
                <w:szCs w:val="22"/>
              </w:rPr>
            </w:pPr>
          </w:p>
        </w:tc>
        <w:tc>
          <w:tcPr>
            <w:tcW w:w="1988" w:type="pct"/>
            <w:shd w:val="clear" w:color="auto" w:fill="FFFFFF" w:themeFill="background1"/>
            <w:noWrap/>
            <w:hideMark/>
          </w:tcPr>
          <w:p w14:paraId="04D178BF" w14:textId="77777777"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Afecciones periodo perinatal</w:t>
            </w:r>
          </w:p>
        </w:tc>
        <w:tc>
          <w:tcPr>
            <w:tcW w:w="900" w:type="pct"/>
            <w:shd w:val="clear" w:color="auto" w:fill="92D050"/>
            <w:noWrap/>
            <w:vAlign w:val="bottom"/>
            <w:hideMark/>
          </w:tcPr>
          <w:p w14:paraId="7311E3E4" w14:textId="6B56E9E8"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58" w:type="pct"/>
            <w:shd w:val="clear" w:color="auto" w:fill="FFFFFF" w:themeFill="background1"/>
            <w:noWrap/>
            <w:vAlign w:val="bottom"/>
            <w:hideMark/>
          </w:tcPr>
          <w:p w14:paraId="10609DFD" w14:textId="5EF7CC1A"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w:t>
            </w:r>
          </w:p>
        </w:tc>
      </w:tr>
      <w:tr w:rsidR="00E32CB0" w:rsidRPr="007F0FA7" w14:paraId="29171599" w14:textId="77777777" w:rsidTr="00735F2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527436EE" w14:textId="77777777" w:rsidR="009C18B4" w:rsidRPr="007F0FA7" w:rsidRDefault="009C18B4" w:rsidP="00093B44">
            <w:pPr>
              <w:jc w:val="both"/>
              <w:rPr>
                <w:rFonts w:ascii="Humanst521 BT" w:hAnsi="Humanst521 BT" w:cs="Arial"/>
                <w:sz w:val="22"/>
                <w:szCs w:val="22"/>
              </w:rPr>
            </w:pPr>
          </w:p>
        </w:tc>
        <w:tc>
          <w:tcPr>
            <w:tcW w:w="1988" w:type="pct"/>
            <w:shd w:val="clear" w:color="auto" w:fill="FFFFFF" w:themeFill="background1"/>
            <w:noWrap/>
            <w:hideMark/>
          </w:tcPr>
          <w:p w14:paraId="4F6C24B2" w14:textId="77777777"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00" w:type="pct"/>
            <w:shd w:val="clear" w:color="auto" w:fill="92D050"/>
            <w:noWrap/>
            <w:vAlign w:val="bottom"/>
            <w:hideMark/>
          </w:tcPr>
          <w:p w14:paraId="02C8B183" w14:textId="57FF2C62"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58" w:type="pct"/>
            <w:shd w:val="clear" w:color="auto" w:fill="FFFFFF" w:themeFill="background1"/>
            <w:noWrap/>
            <w:hideMark/>
          </w:tcPr>
          <w:p w14:paraId="684E90D4" w14:textId="27C596BD"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2.939,18</w:t>
            </w:r>
          </w:p>
        </w:tc>
      </w:tr>
      <w:tr w:rsidR="00E32CB0" w:rsidRPr="007F0FA7" w14:paraId="4A87B88D" w14:textId="77777777" w:rsidTr="00735F2B">
        <w:trPr>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75A44D5E" w14:textId="77777777" w:rsidR="009C18B4" w:rsidRPr="007F0FA7" w:rsidRDefault="009C18B4" w:rsidP="00093B44">
            <w:pPr>
              <w:jc w:val="both"/>
              <w:rPr>
                <w:rFonts w:ascii="Humanst521 BT" w:hAnsi="Humanst521 BT" w:cs="Arial"/>
                <w:sz w:val="22"/>
                <w:szCs w:val="22"/>
              </w:rPr>
            </w:pPr>
          </w:p>
        </w:tc>
        <w:tc>
          <w:tcPr>
            <w:tcW w:w="1988" w:type="pct"/>
            <w:shd w:val="clear" w:color="auto" w:fill="FFFFFF" w:themeFill="background1"/>
            <w:noWrap/>
            <w:hideMark/>
          </w:tcPr>
          <w:p w14:paraId="3B391798" w14:textId="77777777"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00" w:type="pct"/>
            <w:shd w:val="clear" w:color="auto" w:fill="92D050"/>
            <w:noWrap/>
            <w:vAlign w:val="bottom"/>
            <w:hideMark/>
          </w:tcPr>
          <w:p w14:paraId="184AF338" w14:textId="3E3D3968"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w:t>
            </w:r>
            <w:r w:rsidR="006B4A73" w:rsidRPr="007F0FA7">
              <w:rPr>
                <w:rFonts w:ascii="Humanst521 BT" w:hAnsi="Humanst521 BT" w:cs="Arial"/>
                <w:sz w:val="22"/>
                <w:szCs w:val="22"/>
              </w:rPr>
              <w:t>.</w:t>
            </w:r>
            <w:r w:rsidRPr="007F0FA7">
              <w:rPr>
                <w:rFonts w:ascii="Humanst521 BT" w:hAnsi="Humanst521 BT" w:cs="Arial"/>
                <w:sz w:val="22"/>
                <w:szCs w:val="22"/>
              </w:rPr>
              <w:t>593,58</w:t>
            </w:r>
          </w:p>
        </w:tc>
        <w:tc>
          <w:tcPr>
            <w:tcW w:w="958" w:type="pct"/>
            <w:shd w:val="clear" w:color="auto" w:fill="FFFFFF" w:themeFill="background1"/>
            <w:noWrap/>
            <w:hideMark/>
          </w:tcPr>
          <w:p w14:paraId="0E616C63" w14:textId="163C27AE" w:rsidR="009C18B4" w:rsidRPr="007F0FA7" w:rsidRDefault="009C18B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2.452,95</w:t>
            </w:r>
          </w:p>
        </w:tc>
      </w:tr>
      <w:tr w:rsidR="00E32CB0" w:rsidRPr="007F0FA7" w14:paraId="5125C6B6" w14:textId="77777777" w:rsidTr="00735F2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53BFE7F7" w14:textId="77777777" w:rsidR="009C18B4" w:rsidRPr="007F0FA7" w:rsidRDefault="009C18B4" w:rsidP="00093B44">
            <w:pPr>
              <w:jc w:val="both"/>
              <w:rPr>
                <w:rFonts w:ascii="Humanst521 BT" w:hAnsi="Humanst521 BT" w:cs="Arial"/>
                <w:sz w:val="22"/>
                <w:szCs w:val="22"/>
              </w:rPr>
            </w:pPr>
          </w:p>
        </w:tc>
        <w:tc>
          <w:tcPr>
            <w:tcW w:w="1988" w:type="pct"/>
            <w:shd w:val="clear" w:color="auto" w:fill="FFFFFF" w:themeFill="background1"/>
            <w:noWrap/>
            <w:hideMark/>
          </w:tcPr>
          <w:p w14:paraId="0432DA68" w14:textId="77777777"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signos y síntomas mal definidos</w:t>
            </w:r>
          </w:p>
        </w:tc>
        <w:tc>
          <w:tcPr>
            <w:tcW w:w="900" w:type="pct"/>
            <w:shd w:val="clear" w:color="auto" w:fill="92D050"/>
            <w:noWrap/>
            <w:vAlign w:val="bottom"/>
            <w:hideMark/>
          </w:tcPr>
          <w:p w14:paraId="2DF17BEF" w14:textId="41BDF2A0"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0,00</w:t>
            </w:r>
          </w:p>
        </w:tc>
        <w:tc>
          <w:tcPr>
            <w:tcW w:w="958" w:type="pct"/>
            <w:shd w:val="clear" w:color="auto" w:fill="FFFFFF" w:themeFill="background1"/>
            <w:noWrap/>
            <w:hideMark/>
          </w:tcPr>
          <w:p w14:paraId="242C437D" w14:textId="3175B54D" w:rsidR="009C18B4" w:rsidRPr="007F0FA7" w:rsidRDefault="009C18B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134,93</w:t>
            </w:r>
          </w:p>
        </w:tc>
      </w:tr>
      <w:tr w:rsidR="00E32CB0" w:rsidRPr="007F0FA7" w14:paraId="1E195C5C" w14:textId="77777777" w:rsidTr="00735F2B">
        <w:trPr>
          <w:trHeight w:val="346"/>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FFFFFF" w:themeFill="background1"/>
            <w:noWrap/>
          </w:tcPr>
          <w:p w14:paraId="1DE3F304" w14:textId="6F239B7F" w:rsidR="00485DA7" w:rsidRPr="007F0FA7" w:rsidRDefault="00485DA7" w:rsidP="00093B44">
            <w:pPr>
              <w:jc w:val="both"/>
              <w:rPr>
                <w:rFonts w:ascii="Humanst521 BT" w:hAnsi="Humanst521 BT" w:cs="Arial"/>
                <w:sz w:val="22"/>
                <w:szCs w:val="22"/>
              </w:rPr>
            </w:pPr>
            <w:r w:rsidRPr="007F0FA7">
              <w:rPr>
                <w:rFonts w:ascii="Humanst521 BT" w:hAnsi="Humanst521 BT" w:cs="Arial"/>
                <w:sz w:val="22"/>
                <w:szCs w:val="22"/>
              </w:rPr>
              <w:t>FLORIDABLANCA</w:t>
            </w:r>
          </w:p>
        </w:tc>
        <w:tc>
          <w:tcPr>
            <w:tcW w:w="1988" w:type="pct"/>
            <w:shd w:val="clear" w:color="auto" w:fill="FFFFFF" w:themeFill="background1"/>
            <w:noWrap/>
          </w:tcPr>
          <w:p w14:paraId="4CEE92CE" w14:textId="5B63483C" w:rsidR="00485DA7" w:rsidRPr="007F0FA7" w:rsidRDefault="00485DA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transmisibles</w:t>
            </w:r>
          </w:p>
        </w:tc>
        <w:tc>
          <w:tcPr>
            <w:tcW w:w="900" w:type="pct"/>
            <w:shd w:val="clear" w:color="auto" w:fill="FF0000"/>
            <w:noWrap/>
            <w:vAlign w:val="bottom"/>
          </w:tcPr>
          <w:p w14:paraId="7782C512" w14:textId="01E5FFB7" w:rsidR="00485DA7" w:rsidRPr="007F0FA7" w:rsidRDefault="00485DA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7847,01</w:t>
            </w:r>
          </w:p>
        </w:tc>
        <w:tc>
          <w:tcPr>
            <w:tcW w:w="958" w:type="pct"/>
            <w:shd w:val="clear" w:color="auto" w:fill="FFFFFF" w:themeFill="background1"/>
            <w:noWrap/>
          </w:tcPr>
          <w:p w14:paraId="6ECF3461" w14:textId="154F498A" w:rsidR="00485DA7" w:rsidRPr="007F0FA7" w:rsidRDefault="00485DA7"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1.353,54</w:t>
            </w:r>
          </w:p>
        </w:tc>
      </w:tr>
      <w:tr w:rsidR="00E32CB0" w:rsidRPr="007F0FA7" w14:paraId="262F8D37" w14:textId="77777777" w:rsidTr="00735F2B">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FFFFFF" w:themeFill="background1"/>
            <w:noWrap/>
          </w:tcPr>
          <w:p w14:paraId="0E36554E" w14:textId="77777777" w:rsidR="00485DA7" w:rsidRPr="007F0FA7" w:rsidRDefault="00485DA7" w:rsidP="00093B44">
            <w:pPr>
              <w:jc w:val="both"/>
              <w:rPr>
                <w:rFonts w:ascii="Humanst521 BT" w:hAnsi="Humanst521 BT" w:cs="Arial"/>
                <w:sz w:val="22"/>
                <w:szCs w:val="22"/>
              </w:rPr>
            </w:pPr>
          </w:p>
        </w:tc>
        <w:tc>
          <w:tcPr>
            <w:tcW w:w="1988" w:type="pct"/>
            <w:noWrap/>
          </w:tcPr>
          <w:p w14:paraId="55734E40" w14:textId="3A411B80" w:rsidR="00485DA7" w:rsidRPr="007F0FA7" w:rsidRDefault="00485DA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Todas las demás enfermedades</w:t>
            </w:r>
          </w:p>
        </w:tc>
        <w:tc>
          <w:tcPr>
            <w:tcW w:w="900" w:type="pct"/>
            <w:shd w:val="clear" w:color="auto" w:fill="92D050"/>
            <w:noWrap/>
            <w:vAlign w:val="bottom"/>
          </w:tcPr>
          <w:p w14:paraId="438DE0F0" w14:textId="4F850C7F" w:rsidR="00485DA7" w:rsidRPr="007F0FA7" w:rsidRDefault="00485DA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37</w:t>
            </w:r>
            <w:r w:rsidR="006B4A73" w:rsidRPr="007F0FA7">
              <w:rPr>
                <w:rFonts w:ascii="Humanst521 BT" w:hAnsi="Humanst521 BT" w:cs="Arial"/>
                <w:sz w:val="22"/>
                <w:szCs w:val="22"/>
              </w:rPr>
              <w:t>.</w:t>
            </w:r>
            <w:r w:rsidRPr="007F0FA7">
              <w:rPr>
                <w:rFonts w:ascii="Humanst521 BT" w:hAnsi="Humanst521 BT" w:cs="Arial"/>
                <w:sz w:val="22"/>
                <w:szCs w:val="22"/>
              </w:rPr>
              <w:t>458,96</w:t>
            </w:r>
          </w:p>
        </w:tc>
        <w:tc>
          <w:tcPr>
            <w:tcW w:w="958" w:type="pct"/>
            <w:shd w:val="clear" w:color="auto" w:fill="FFFFFF" w:themeFill="background1"/>
            <w:noWrap/>
          </w:tcPr>
          <w:p w14:paraId="34FB4269" w14:textId="0055C752" w:rsidR="00485DA7" w:rsidRPr="007F0FA7" w:rsidRDefault="00485DA7"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2.073,08</w:t>
            </w:r>
          </w:p>
        </w:tc>
      </w:tr>
    </w:tbl>
    <w:p w14:paraId="314505B7" w14:textId="13D3301B" w:rsidR="00074E05" w:rsidRPr="007F0FA7" w:rsidRDefault="00074E05" w:rsidP="00093B44">
      <w:pPr>
        <w:pStyle w:val="Cita"/>
        <w:spacing w:line="240" w:lineRule="auto"/>
        <w:jc w:val="both"/>
        <w:rPr>
          <w:rFonts w:ascii="Humanst521 BT" w:hAnsi="Humanst521 BT"/>
          <w:sz w:val="22"/>
          <w:szCs w:val="22"/>
        </w:rPr>
      </w:pPr>
      <w:r w:rsidRPr="007F0FA7">
        <w:rPr>
          <w:rFonts w:ascii="Humanst521 BT" w:hAnsi="Humanst521 BT"/>
          <w:sz w:val="22"/>
          <w:szCs w:val="22"/>
        </w:rPr>
        <w:t>Fuente: Bodega de Datos de SISPRO (SGD) 202</w:t>
      </w:r>
      <w:r w:rsidR="00856EF4" w:rsidRPr="007F0FA7">
        <w:rPr>
          <w:rFonts w:ascii="Humanst521 BT" w:hAnsi="Humanst521 BT"/>
          <w:sz w:val="22"/>
          <w:szCs w:val="22"/>
        </w:rPr>
        <w:t>3</w:t>
      </w:r>
      <w:r w:rsidRPr="007F0FA7">
        <w:rPr>
          <w:rFonts w:ascii="Humanst521 BT" w:hAnsi="Humanst521 BT"/>
          <w:sz w:val="22"/>
          <w:szCs w:val="22"/>
        </w:rPr>
        <w:t>. tasa ajustada de mortalidad por 100.000 afiliados</w:t>
      </w:r>
    </w:p>
    <w:p w14:paraId="4C708410" w14:textId="77777777" w:rsidR="000733E2" w:rsidRPr="007F0FA7" w:rsidRDefault="000733E2" w:rsidP="00093B44">
      <w:pPr>
        <w:jc w:val="both"/>
        <w:rPr>
          <w:rStyle w:val="nfasissutil"/>
          <w:rFonts w:ascii="Humanst521 BT" w:hAnsi="Humanst521 BT"/>
          <w:color w:val="auto"/>
        </w:rPr>
      </w:pPr>
      <w:r w:rsidRPr="007F0FA7">
        <w:rPr>
          <w:rStyle w:val="nfasissutil"/>
          <w:rFonts w:ascii="Humanst521 BT" w:hAnsi="Humanst521 BT"/>
          <w:color w:val="auto"/>
        </w:rPr>
        <w:t>No se presentaron Tasas ajustadas de AVPP en hombres otros departamento o municipios</w:t>
      </w:r>
    </w:p>
    <w:p w14:paraId="760F850F" w14:textId="77777777" w:rsidR="000733E2" w:rsidRPr="007F0FA7" w:rsidRDefault="000733E2" w:rsidP="00093B44">
      <w:pPr>
        <w:rPr>
          <w:rFonts w:ascii="Humanst521 BT" w:hAnsi="Humanst521 BT"/>
          <w:lang w:val="es-CO"/>
        </w:rPr>
      </w:pPr>
    </w:p>
    <w:p w14:paraId="3FF90FE7" w14:textId="77777777" w:rsidR="00074E05" w:rsidRPr="007F0FA7" w:rsidRDefault="00074E05" w:rsidP="00093B44">
      <w:pPr>
        <w:jc w:val="both"/>
        <w:rPr>
          <w:rFonts w:ascii="Humanst521 BT" w:hAnsi="Humanst521 BT" w:cs="Arial"/>
        </w:rPr>
      </w:pPr>
    </w:p>
    <w:p w14:paraId="50E3E343" w14:textId="77777777" w:rsidR="00074E05" w:rsidRPr="007F0FA7" w:rsidRDefault="00074E05" w:rsidP="00093B44">
      <w:pPr>
        <w:pStyle w:val="Ttulo5"/>
      </w:pPr>
      <w:bookmarkStart w:id="198" w:name="_Toc161297429"/>
      <w:r w:rsidRPr="007F0FA7">
        <w:t>Tasas de AVPP ajustadas por la edad en Mujeres</w:t>
      </w:r>
      <w:bookmarkEnd w:id="198"/>
      <w:r w:rsidRPr="007F0FA7">
        <w:t xml:space="preserve"> </w:t>
      </w:r>
    </w:p>
    <w:p w14:paraId="51927315" w14:textId="77777777" w:rsidR="00074E05" w:rsidRPr="007F0FA7" w:rsidRDefault="00074E05" w:rsidP="00093B44">
      <w:pPr>
        <w:jc w:val="both"/>
        <w:rPr>
          <w:rFonts w:ascii="Humanst521 BT" w:hAnsi="Humanst521 BT"/>
        </w:rPr>
      </w:pPr>
    </w:p>
    <w:p w14:paraId="7B6FD3D5" w14:textId="77777777" w:rsidR="0021198A" w:rsidRPr="007F0FA7" w:rsidRDefault="0021198A" w:rsidP="00093B44">
      <w:pPr>
        <w:pStyle w:val="NormalWeb"/>
        <w:jc w:val="both"/>
        <w:rPr>
          <w:rFonts w:ascii="Humanst521 BT" w:hAnsi="Humanst521 BT"/>
          <w:sz w:val="22"/>
          <w:szCs w:val="22"/>
        </w:rPr>
      </w:pPr>
      <w:r w:rsidRPr="007F0FA7">
        <w:rPr>
          <w:rFonts w:ascii="Humanst521 BT" w:hAnsi="Humanst521 BT"/>
          <w:sz w:val="22"/>
          <w:szCs w:val="22"/>
        </w:rPr>
        <w:t xml:space="preserve">A nivel nacional, las tasas ajustadas de AVPP principales en mujeres para UISALUD en 2023 fueron las siguientes: en primer lugar, </w:t>
      </w:r>
      <w:r w:rsidRPr="007F0FA7">
        <w:rPr>
          <w:rStyle w:val="Textoennegrita"/>
          <w:rFonts w:ascii="Humanst521 BT" w:hAnsi="Humanst521 BT"/>
          <w:sz w:val="22"/>
          <w:szCs w:val="22"/>
        </w:rPr>
        <w:t>neoplasias</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2991,58 AVPP</w:t>
      </w:r>
      <w:r w:rsidRPr="007F0FA7">
        <w:rPr>
          <w:rFonts w:ascii="Humanst521 BT" w:hAnsi="Humanst521 BT"/>
          <w:sz w:val="22"/>
          <w:szCs w:val="22"/>
        </w:rPr>
        <w:t xml:space="preserve">, superior a la del ente territorial. En segundo lugar, se registraron las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1249,12 AVPP</w:t>
      </w:r>
      <w:r w:rsidRPr="007F0FA7">
        <w:rPr>
          <w:rFonts w:ascii="Humanst521 BT" w:hAnsi="Humanst521 BT"/>
          <w:sz w:val="22"/>
          <w:szCs w:val="22"/>
        </w:rPr>
        <w:t xml:space="preserve">, inferior al promedio de la entidad territorial. Finalmente, </w:t>
      </w:r>
      <w:r w:rsidRPr="007F0FA7">
        <w:rPr>
          <w:rStyle w:val="Textoennegrita"/>
          <w:rFonts w:ascii="Humanst521 BT" w:hAnsi="Humanst521 BT"/>
          <w:sz w:val="22"/>
          <w:szCs w:val="22"/>
        </w:rPr>
        <w:t>todas las demás enfermedades</w:t>
      </w:r>
      <w:r w:rsidRPr="007F0FA7">
        <w:rPr>
          <w:rFonts w:ascii="Humanst521 BT" w:hAnsi="Humanst521 BT"/>
          <w:sz w:val="22"/>
          <w:szCs w:val="22"/>
        </w:rPr>
        <w:t xml:space="preserve"> presentaron una tasa ajustada por edad de </w:t>
      </w:r>
      <w:r w:rsidRPr="007F0FA7">
        <w:rPr>
          <w:rStyle w:val="Textoennegrita"/>
          <w:rFonts w:ascii="Humanst521 BT" w:hAnsi="Humanst521 BT"/>
          <w:sz w:val="22"/>
          <w:szCs w:val="22"/>
        </w:rPr>
        <w:t>624,56 AVPP</w:t>
      </w:r>
      <w:r w:rsidRPr="007F0FA7">
        <w:rPr>
          <w:rFonts w:ascii="Humanst521 BT" w:hAnsi="Humanst521 BT"/>
          <w:sz w:val="22"/>
          <w:szCs w:val="22"/>
        </w:rPr>
        <w:t>, inferior al promedio nacional, con una diferencia significativa.</w:t>
      </w:r>
    </w:p>
    <w:p w14:paraId="59FE598B" w14:textId="0DCAC440" w:rsidR="00660F02" w:rsidRPr="007F0FA7" w:rsidRDefault="00660F02" w:rsidP="00093B44">
      <w:pPr>
        <w:jc w:val="both"/>
        <w:rPr>
          <w:rFonts w:ascii="Humanst521 BT" w:hAnsi="Humanst521 BT"/>
          <w:lang w:val="es-CO"/>
        </w:rPr>
      </w:pPr>
      <w:r w:rsidRPr="007F0FA7">
        <w:rPr>
          <w:rFonts w:ascii="Humanst521 BT" w:hAnsi="Humanst521 BT"/>
          <w:lang w:val="es-CO"/>
        </w:rPr>
        <w:t>En la</w:t>
      </w:r>
      <w:r w:rsidR="00200F2C">
        <w:rPr>
          <w:rFonts w:ascii="Humanst521 BT" w:hAnsi="Humanst521 BT"/>
          <w:lang w:val="es-CO"/>
        </w:rPr>
        <w:t xml:space="preserve"> siguiente figura</w:t>
      </w:r>
      <w:r w:rsidRPr="007F0FA7">
        <w:rPr>
          <w:rFonts w:ascii="Humanst521 BT" w:hAnsi="Humanst521 BT"/>
          <w:lang w:val="es-CO"/>
        </w:rPr>
        <w:t>, se presentan las tasas de AVPP ajustadas por edad para a nivel nacional para UISALUD</w:t>
      </w:r>
      <w:r w:rsidR="00BA3C41" w:rsidRPr="007F0FA7">
        <w:rPr>
          <w:rFonts w:ascii="Humanst521 BT" w:hAnsi="Humanst521 BT"/>
          <w:lang w:val="es-CO"/>
        </w:rPr>
        <w:t xml:space="preserve"> en mujeres</w:t>
      </w:r>
      <w:r w:rsidRPr="007F0FA7">
        <w:rPr>
          <w:rFonts w:ascii="Humanst521 BT" w:hAnsi="Humanst521 BT"/>
          <w:lang w:val="es-CO"/>
        </w:rPr>
        <w:t>.</w:t>
      </w:r>
    </w:p>
    <w:p w14:paraId="0DBDFC72" w14:textId="77777777" w:rsidR="00660F02" w:rsidRPr="007F0FA7" w:rsidRDefault="00660F02" w:rsidP="00093B44">
      <w:pPr>
        <w:jc w:val="both"/>
        <w:rPr>
          <w:rStyle w:val="nfasissutil"/>
          <w:rFonts w:ascii="Humanst521 BT" w:hAnsi="Humanst521 BT"/>
          <w:color w:val="auto"/>
        </w:rPr>
      </w:pPr>
    </w:p>
    <w:p w14:paraId="729BB1BB" w14:textId="6F4F1EFA" w:rsidR="00660F02" w:rsidRPr="007F0FA7" w:rsidRDefault="00DE2983" w:rsidP="00093B44">
      <w:pPr>
        <w:pStyle w:val="Descripcin"/>
        <w:spacing w:line="240" w:lineRule="auto"/>
        <w:jc w:val="both"/>
        <w:rPr>
          <w:rFonts w:ascii="Humanst521 BT" w:eastAsia="Verdana" w:hAnsi="Humanst521 BT" w:cs="Verdana"/>
          <w:color w:val="auto"/>
          <w:sz w:val="22"/>
          <w:szCs w:val="22"/>
          <w:lang w:val="es-ES"/>
        </w:rPr>
      </w:pPr>
      <w:bookmarkStart w:id="199" w:name="_Toc231286772"/>
      <w:r w:rsidRPr="007F0FA7">
        <w:rPr>
          <w:rFonts w:ascii="Humanst521 BT" w:eastAsia="Verdana" w:hAnsi="Humanst521 BT" w:cs="Verdana"/>
          <w:color w:val="auto"/>
          <w:sz w:val="22"/>
          <w:szCs w:val="22"/>
          <w:lang w:val="es-ES"/>
        </w:rPr>
        <w:t xml:space="preserve">Figura </w:t>
      </w:r>
      <w:r w:rsidRPr="007F0FA7">
        <w:rPr>
          <w:rFonts w:ascii="Humanst521 BT" w:eastAsia="Verdana" w:hAnsi="Humanst521 BT" w:cs="Verdana"/>
          <w:color w:val="auto"/>
          <w:sz w:val="22"/>
          <w:szCs w:val="22"/>
          <w:lang w:val="es-ES"/>
        </w:rPr>
        <w:fldChar w:fldCharType="begin"/>
      </w:r>
      <w:r w:rsidRPr="007F0FA7">
        <w:rPr>
          <w:rFonts w:ascii="Humanst521 BT" w:eastAsia="Verdana" w:hAnsi="Humanst521 BT" w:cs="Verdana"/>
          <w:color w:val="auto"/>
          <w:sz w:val="22"/>
          <w:szCs w:val="22"/>
          <w:lang w:val="es-ES"/>
        </w:rPr>
        <w:instrText xml:space="preserve"> SEQ Figura_ \* ARABIC </w:instrText>
      </w:r>
      <w:r w:rsidRPr="007F0FA7">
        <w:rPr>
          <w:rFonts w:ascii="Humanst521 BT" w:eastAsia="Verdana" w:hAnsi="Humanst521 BT" w:cs="Verdana"/>
          <w:color w:val="auto"/>
          <w:sz w:val="22"/>
          <w:szCs w:val="22"/>
          <w:lang w:val="es-ES"/>
        </w:rPr>
        <w:fldChar w:fldCharType="separate"/>
      </w:r>
      <w:r w:rsidR="00C10A54">
        <w:rPr>
          <w:rFonts w:ascii="Humanst521 BT" w:eastAsia="Verdana" w:hAnsi="Humanst521 BT" w:cs="Verdana"/>
          <w:noProof/>
          <w:color w:val="auto"/>
          <w:sz w:val="22"/>
          <w:szCs w:val="22"/>
          <w:lang w:val="es-ES"/>
        </w:rPr>
        <w:t>10</w:t>
      </w:r>
      <w:r w:rsidRPr="007F0FA7">
        <w:rPr>
          <w:rFonts w:ascii="Humanst521 BT" w:eastAsia="Verdana" w:hAnsi="Humanst521 BT" w:cs="Verdana"/>
          <w:color w:val="auto"/>
          <w:sz w:val="22"/>
          <w:szCs w:val="22"/>
          <w:lang w:val="es-ES"/>
        </w:rPr>
        <w:fldChar w:fldCharType="end"/>
      </w:r>
      <w:r w:rsidR="00C10A54">
        <w:rPr>
          <w:rFonts w:ascii="Humanst521 BT" w:eastAsia="Verdana" w:hAnsi="Humanst521 BT" w:cs="Verdana"/>
          <w:color w:val="auto"/>
          <w:sz w:val="22"/>
          <w:szCs w:val="22"/>
          <w:lang w:val="es-ES"/>
        </w:rPr>
        <w:t>.</w:t>
      </w:r>
      <w:r w:rsidRPr="007F0FA7">
        <w:rPr>
          <w:rFonts w:ascii="Humanst521 BT" w:eastAsia="Verdana" w:hAnsi="Humanst521 BT" w:cs="Verdana"/>
          <w:color w:val="auto"/>
          <w:sz w:val="22"/>
          <w:szCs w:val="22"/>
          <w:lang w:val="es-ES"/>
        </w:rPr>
        <w:t xml:space="preserve"> </w:t>
      </w:r>
      <w:r w:rsidR="00660F02" w:rsidRPr="007F0FA7">
        <w:rPr>
          <w:rFonts w:ascii="Humanst521 BT" w:eastAsia="Verdana" w:hAnsi="Humanst521 BT" w:cs="Verdana"/>
          <w:color w:val="auto"/>
          <w:sz w:val="22"/>
          <w:szCs w:val="22"/>
          <w:lang w:val="es-ES"/>
        </w:rPr>
        <w:t xml:space="preserve">Tasas ajustadas de AVPP en </w:t>
      </w:r>
      <w:r w:rsidR="00BA3C41" w:rsidRPr="007F0FA7">
        <w:rPr>
          <w:rFonts w:ascii="Humanst521 BT" w:eastAsia="Verdana" w:hAnsi="Humanst521 BT" w:cs="Verdana"/>
          <w:color w:val="auto"/>
          <w:sz w:val="22"/>
          <w:szCs w:val="22"/>
          <w:lang w:val="es-ES"/>
        </w:rPr>
        <w:t>mujeres</w:t>
      </w:r>
      <w:r w:rsidR="00660F02" w:rsidRPr="007F0FA7">
        <w:rPr>
          <w:rFonts w:ascii="Humanst521 BT" w:eastAsia="Verdana" w:hAnsi="Humanst521 BT" w:cs="Verdana"/>
          <w:color w:val="auto"/>
          <w:sz w:val="22"/>
          <w:szCs w:val="22"/>
          <w:lang w:val="es-ES"/>
        </w:rPr>
        <w:t>, UISALUD 202</w:t>
      </w:r>
      <w:r w:rsidR="00E37498">
        <w:rPr>
          <w:rFonts w:ascii="Humanst521 BT" w:eastAsia="Verdana" w:hAnsi="Humanst521 BT" w:cs="Verdana"/>
          <w:color w:val="auto"/>
          <w:sz w:val="22"/>
          <w:szCs w:val="22"/>
          <w:lang w:val="es-ES"/>
        </w:rPr>
        <w:t>4</w:t>
      </w:r>
      <w:bookmarkEnd w:id="199"/>
    </w:p>
    <w:p w14:paraId="5A9AC11C" w14:textId="6F25D731" w:rsidR="003E451A" w:rsidRPr="007F0FA7" w:rsidRDefault="001F6CDA" w:rsidP="00093B44">
      <w:pPr>
        <w:jc w:val="both"/>
        <w:rPr>
          <w:rFonts w:ascii="Humanst521 BT" w:hAnsi="Humanst521 BT" w:cs="Arial"/>
          <w:lang w:val="es-CO"/>
        </w:rPr>
      </w:pPr>
      <w:r w:rsidRPr="007F0FA7">
        <w:rPr>
          <w:rFonts w:ascii="Humanst521 BT" w:hAnsi="Humanst521 BT"/>
          <w:noProof/>
        </w:rPr>
        <w:lastRenderedPageBreak/>
        <w:drawing>
          <wp:inline distT="0" distB="0" distL="0" distR="0" wp14:anchorId="19BD5C87" wp14:editId="3ACE7123">
            <wp:extent cx="4572000" cy="2743200"/>
            <wp:effectExtent l="0" t="0" r="0" b="0"/>
            <wp:docPr id="66" name="Gráfico 66">
              <a:extLst xmlns:a="http://schemas.openxmlformats.org/drawingml/2006/main">
                <a:ext uri="{FF2B5EF4-FFF2-40B4-BE49-F238E27FC236}">
                  <a16:creationId xmlns:a16="http://schemas.microsoft.com/office/drawing/2014/main" id="{71CCFB00-392A-41E1-9253-86CDC9898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A7A06A3" w14:textId="1987C33E" w:rsidR="0021198A" w:rsidRPr="007F0FA7" w:rsidRDefault="00BA3C41" w:rsidP="00093B44">
      <w:pPr>
        <w:pStyle w:val="Cita"/>
        <w:spacing w:line="240" w:lineRule="auto"/>
        <w:jc w:val="both"/>
        <w:rPr>
          <w:rFonts w:ascii="Humanst521 BT" w:hAnsi="Humanst521 BT" w:cs="Arial"/>
          <w:sz w:val="22"/>
          <w:szCs w:val="22"/>
        </w:rPr>
      </w:pPr>
      <w:r w:rsidRPr="007F0FA7">
        <w:rPr>
          <w:rFonts w:ascii="Humanst521 BT" w:hAnsi="Humanst521 BT"/>
          <w:sz w:val="22"/>
          <w:szCs w:val="22"/>
        </w:rPr>
        <w:t>Fuente: Bodega de Datos de SISPRO (SGD) 202</w:t>
      </w:r>
      <w:r w:rsidR="00E37498">
        <w:rPr>
          <w:rFonts w:ascii="Humanst521 BT" w:hAnsi="Humanst521 BT"/>
          <w:sz w:val="22"/>
          <w:szCs w:val="22"/>
        </w:rPr>
        <w:t>4</w:t>
      </w:r>
      <w:r w:rsidRPr="007F0FA7">
        <w:rPr>
          <w:rFonts w:ascii="Humanst521 BT" w:hAnsi="Humanst521 BT"/>
          <w:sz w:val="22"/>
          <w:szCs w:val="22"/>
        </w:rPr>
        <w:t>. tasa ajustada de mortalidad por 100.000 afiliados.</w:t>
      </w:r>
    </w:p>
    <w:p w14:paraId="351D786D" w14:textId="77777777" w:rsidR="0021198A" w:rsidRPr="007F0FA7" w:rsidRDefault="0021198A" w:rsidP="00093B44">
      <w:pPr>
        <w:pStyle w:val="NormalWeb"/>
        <w:jc w:val="both"/>
        <w:rPr>
          <w:rFonts w:ascii="Humanst521 BT" w:hAnsi="Humanst521 BT"/>
          <w:sz w:val="22"/>
          <w:szCs w:val="22"/>
        </w:rPr>
      </w:pPr>
      <w:r w:rsidRPr="007F0FA7">
        <w:rPr>
          <w:rFonts w:ascii="Humanst521 BT" w:hAnsi="Humanst521 BT"/>
          <w:sz w:val="22"/>
          <w:szCs w:val="22"/>
        </w:rPr>
        <w:t xml:space="preserve">En el departamento de Santander, las tasas ajustadas de AVPP principales en mujeres para UISALUD Santander en 2023 fueron las siguientes: en primer lugar, </w:t>
      </w:r>
      <w:r w:rsidRPr="007F0FA7">
        <w:rPr>
          <w:rStyle w:val="Textoennegrita"/>
          <w:rFonts w:ascii="Humanst521 BT" w:hAnsi="Humanst521 BT"/>
          <w:sz w:val="22"/>
          <w:szCs w:val="22"/>
        </w:rPr>
        <w:t>neoplasias</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1263,31 AVPP</w:t>
      </w:r>
      <w:r w:rsidRPr="007F0FA7">
        <w:rPr>
          <w:rFonts w:ascii="Humanst521 BT" w:hAnsi="Humanst521 BT"/>
          <w:sz w:val="22"/>
          <w:szCs w:val="22"/>
        </w:rPr>
        <w:t xml:space="preserve">, superior al valor departamental. En segundo lugar, se encuentran las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con una tasa ajustada por edad de </w:t>
      </w:r>
      <w:r w:rsidRPr="007F0FA7">
        <w:rPr>
          <w:rStyle w:val="Textoennegrita"/>
          <w:rFonts w:ascii="Humanst521 BT" w:hAnsi="Humanst521 BT"/>
          <w:sz w:val="22"/>
          <w:szCs w:val="22"/>
        </w:rPr>
        <w:t>1263,31 AVPP</w:t>
      </w:r>
      <w:r w:rsidRPr="007F0FA7">
        <w:rPr>
          <w:rFonts w:ascii="Humanst521 BT" w:hAnsi="Humanst521 BT"/>
          <w:sz w:val="22"/>
          <w:szCs w:val="22"/>
        </w:rPr>
        <w:t xml:space="preserve">, también superior al valor departamental. Por último, </w:t>
      </w:r>
      <w:r w:rsidRPr="007F0FA7">
        <w:rPr>
          <w:rStyle w:val="Textoennegrita"/>
          <w:rFonts w:ascii="Humanst521 BT" w:hAnsi="Humanst521 BT"/>
          <w:sz w:val="22"/>
          <w:szCs w:val="22"/>
        </w:rPr>
        <w:t>todas las demás enfermedades</w:t>
      </w:r>
      <w:r w:rsidRPr="007F0FA7">
        <w:rPr>
          <w:rFonts w:ascii="Humanst521 BT" w:hAnsi="Humanst521 BT"/>
          <w:sz w:val="22"/>
          <w:szCs w:val="22"/>
        </w:rPr>
        <w:t xml:space="preserve"> presentaron una tasa ajustada por edad de </w:t>
      </w:r>
      <w:r w:rsidRPr="007F0FA7">
        <w:rPr>
          <w:rStyle w:val="Textoennegrita"/>
          <w:rFonts w:ascii="Humanst521 BT" w:hAnsi="Humanst521 BT"/>
          <w:sz w:val="22"/>
          <w:szCs w:val="22"/>
        </w:rPr>
        <w:t>6631,65 AVPP</w:t>
      </w:r>
      <w:r w:rsidRPr="007F0FA7">
        <w:rPr>
          <w:rFonts w:ascii="Humanst521 BT" w:hAnsi="Humanst521 BT"/>
          <w:sz w:val="22"/>
          <w:szCs w:val="22"/>
        </w:rPr>
        <w:t>, inferior al valor departamental, con diferencias significativas.</w:t>
      </w:r>
    </w:p>
    <w:p w14:paraId="46A1AE7C" w14:textId="77777777" w:rsidR="0021198A" w:rsidRPr="007F0FA7" w:rsidRDefault="0021198A" w:rsidP="00093B44">
      <w:pPr>
        <w:pStyle w:val="NormalWeb"/>
        <w:jc w:val="both"/>
        <w:rPr>
          <w:rFonts w:ascii="Humanst521 BT" w:hAnsi="Humanst521 BT"/>
          <w:sz w:val="22"/>
          <w:szCs w:val="22"/>
        </w:rPr>
      </w:pPr>
      <w:r w:rsidRPr="007F0FA7">
        <w:rPr>
          <w:rFonts w:ascii="Humanst521 BT" w:hAnsi="Humanst521 BT"/>
          <w:sz w:val="22"/>
          <w:szCs w:val="22"/>
        </w:rPr>
        <w:t xml:space="preserve">En cuanto a las tasas ajustadas de AVPP en mujeres para los municipios, en Bucaramanga, la primera causa fueron las </w:t>
      </w:r>
      <w:r w:rsidRPr="007F0FA7">
        <w:rPr>
          <w:rStyle w:val="Textoennegrita"/>
          <w:rFonts w:ascii="Humanst521 BT" w:hAnsi="Humanst521 BT"/>
          <w:sz w:val="22"/>
          <w:szCs w:val="22"/>
        </w:rPr>
        <w:t>enfermedades del sistema circulatorio</w:t>
      </w:r>
      <w:r w:rsidRPr="007F0FA7">
        <w:rPr>
          <w:rFonts w:ascii="Humanst521 BT" w:hAnsi="Humanst521 BT"/>
          <w:sz w:val="22"/>
          <w:szCs w:val="22"/>
        </w:rPr>
        <w:t xml:space="preserve">, que presentaron una tasa ajustada por edad de </w:t>
      </w:r>
      <w:r w:rsidRPr="007F0FA7">
        <w:rPr>
          <w:rStyle w:val="Textoennegrita"/>
          <w:rFonts w:ascii="Humanst521 BT" w:hAnsi="Humanst521 BT"/>
          <w:sz w:val="22"/>
          <w:szCs w:val="22"/>
        </w:rPr>
        <w:t>1724,81 AVPP</w:t>
      </w:r>
      <w:r w:rsidRPr="007F0FA7">
        <w:rPr>
          <w:rFonts w:ascii="Humanst521 BT" w:hAnsi="Humanst521 BT"/>
          <w:sz w:val="22"/>
          <w:szCs w:val="22"/>
        </w:rPr>
        <w:t xml:space="preserve">, superior al valor municipal, con una diferencia significativa. En segundo lugar, las </w:t>
      </w:r>
      <w:r w:rsidRPr="007F0FA7">
        <w:rPr>
          <w:rStyle w:val="Textoennegrita"/>
          <w:rFonts w:ascii="Humanst521 BT" w:hAnsi="Humanst521 BT"/>
          <w:sz w:val="22"/>
          <w:szCs w:val="22"/>
        </w:rPr>
        <w:t>neoplasias</w:t>
      </w:r>
      <w:r w:rsidRPr="007F0FA7">
        <w:rPr>
          <w:rFonts w:ascii="Humanst521 BT" w:hAnsi="Humanst521 BT"/>
          <w:sz w:val="22"/>
          <w:szCs w:val="22"/>
        </w:rPr>
        <w:t xml:space="preserve"> tuvieron una tasa ajustada por edad de </w:t>
      </w:r>
      <w:r w:rsidRPr="007F0FA7">
        <w:rPr>
          <w:rStyle w:val="Textoennegrita"/>
          <w:rFonts w:ascii="Humanst521 BT" w:hAnsi="Humanst521 BT"/>
          <w:sz w:val="22"/>
          <w:szCs w:val="22"/>
        </w:rPr>
        <w:t>862,40 AVPP</w:t>
      </w:r>
      <w:r w:rsidRPr="007F0FA7">
        <w:rPr>
          <w:rFonts w:ascii="Humanst521 BT" w:hAnsi="Humanst521 BT"/>
          <w:sz w:val="22"/>
          <w:szCs w:val="22"/>
        </w:rPr>
        <w:t xml:space="preserve">, inferior al valor municipal, con una diferencia significativa. Por otro lado, en Floridablanca, las </w:t>
      </w:r>
      <w:r w:rsidRPr="007F0FA7">
        <w:rPr>
          <w:rStyle w:val="Textoennegrita"/>
          <w:rFonts w:ascii="Humanst521 BT" w:hAnsi="Humanst521 BT"/>
          <w:sz w:val="22"/>
          <w:szCs w:val="22"/>
        </w:rPr>
        <w:t>neoplasias</w:t>
      </w:r>
      <w:r w:rsidRPr="007F0FA7">
        <w:rPr>
          <w:rFonts w:ascii="Humanst521 BT" w:hAnsi="Humanst521 BT"/>
          <w:sz w:val="22"/>
          <w:szCs w:val="22"/>
        </w:rPr>
        <w:t xml:space="preserve"> mostraron una tasa ajustada por edad de </w:t>
      </w:r>
      <w:r w:rsidRPr="007F0FA7">
        <w:rPr>
          <w:rStyle w:val="Textoennegrita"/>
          <w:rFonts w:ascii="Humanst521 BT" w:hAnsi="Humanst521 BT"/>
          <w:sz w:val="22"/>
          <w:szCs w:val="22"/>
        </w:rPr>
        <w:t>3371,21 AVPP</w:t>
      </w:r>
      <w:r w:rsidRPr="007F0FA7">
        <w:rPr>
          <w:rFonts w:ascii="Humanst521 BT" w:hAnsi="Humanst521 BT"/>
          <w:sz w:val="22"/>
          <w:szCs w:val="22"/>
        </w:rPr>
        <w:t xml:space="preserve">, inferior al valor municipal, con una diferencia significativa. Además, </w:t>
      </w:r>
      <w:r w:rsidRPr="007F0FA7">
        <w:rPr>
          <w:rStyle w:val="Textoennegrita"/>
          <w:rFonts w:ascii="Humanst521 BT" w:hAnsi="Humanst521 BT"/>
          <w:sz w:val="22"/>
          <w:szCs w:val="22"/>
        </w:rPr>
        <w:t>todas las demás causas</w:t>
      </w:r>
      <w:r w:rsidRPr="007F0FA7">
        <w:rPr>
          <w:rFonts w:ascii="Humanst521 BT" w:hAnsi="Humanst521 BT"/>
          <w:sz w:val="22"/>
          <w:szCs w:val="22"/>
        </w:rPr>
        <w:t xml:space="preserve"> presentaron una tasa ajustada por edad de </w:t>
      </w:r>
      <w:r w:rsidRPr="007F0FA7">
        <w:rPr>
          <w:rStyle w:val="Textoennegrita"/>
          <w:rFonts w:ascii="Humanst521 BT" w:hAnsi="Humanst521 BT"/>
          <w:sz w:val="22"/>
          <w:szCs w:val="22"/>
        </w:rPr>
        <w:t>3371,21 AVPP</w:t>
      </w:r>
      <w:r w:rsidRPr="007F0FA7">
        <w:rPr>
          <w:rFonts w:ascii="Humanst521 BT" w:hAnsi="Humanst521 BT"/>
          <w:sz w:val="22"/>
          <w:szCs w:val="22"/>
        </w:rPr>
        <w:t>, también inferior al valor municipal, con una diferencia significativa.</w:t>
      </w:r>
    </w:p>
    <w:p w14:paraId="6A4DD159" w14:textId="77777777" w:rsidR="00FE5EF2" w:rsidRPr="007F0FA7" w:rsidRDefault="0021198A" w:rsidP="00093B44">
      <w:pPr>
        <w:pStyle w:val="NormalWeb"/>
        <w:jc w:val="both"/>
        <w:rPr>
          <w:rFonts w:ascii="Humanst521 BT" w:hAnsi="Humanst521 BT"/>
          <w:sz w:val="22"/>
          <w:szCs w:val="22"/>
        </w:rPr>
      </w:pPr>
      <w:r w:rsidRPr="007F0FA7">
        <w:rPr>
          <w:rFonts w:ascii="Humanst521 BT" w:hAnsi="Humanst521 BT"/>
          <w:sz w:val="22"/>
          <w:szCs w:val="22"/>
        </w:rPr>
        <w:t xml:space="preserve">Finalmente, en Antioquia, las </w:t>
      </w:r>
      <w:r w:rsidRPr="007F0FA7">
        <w:rPr>
          <w:rStyle w:val="Textoennegrita"/>
          <w:rFonts w:ascii="Humanst521 BT" w:hAnsi="Humanst521 BT"/>
          <w:sz w:val="22"/>
          <w:szCs w:val="22"/>
        </w:rPr>
        <w:t>neoplasias</w:t>
      </w:r>
      <w:r w:rsidRPr="007F0FA7">
        <w:rPr>
          <w:rFonts w:ascii="Humanst521 BT" w:hAnsi="Humanst521 BT"/>
          <w:sz w:val="22"/>
          <w:szCs w:val="22"/>
        </w:rPr>
        <w:t xml:space="preserve"> registraron una tasa ajustada por edad de </w:t>
      </w:r>
      <w:r w:rsidRPr="007F0FA7">
        <w:rPr>
          <w:rStyle w:val="Textoennegrita"/>
          <w:rFonts w:ascii="Humanst521 BT" w:hAnsi="Humanst521 BT"/>
          <w:sz w:val="22"/>
          <w:szCs w:val="22"/>
        </w:rPr>
        <w:t>27.588,89 AVPP</w:t>
      </w:r>
      <w:r w:rsidRPr="007F0FA7">
        <w:rPr>
          <w:rFonts w:ascii="Humanst521 BT" w:hAnsi="Humanst521 BT"/>
          <w:sz w:val="22"/>
          <w:szCs w:val="22"/>
        </w:rPr>
        <w:t>, superior al valor reportado por el municipio, con una diferencia significativa</w:t>
      </w:r>
      <w:r w:rsidR="00785E18" w:rsidRPr="007F0FA7">
        <w:rPr>
          <w:rFonts w:ascii="Humanst521 BT" w:hAnsi="Humanst521 BT"/>
          <w:sz w:val="22"/>
          <w:szCs w:val="22"/>
        </w:rPr>
        <w:t>.</w:t>
      </w:r>
    </w:p>
    <w:p w14:paraId="1BB606A2" w14:textId="67B7E6CF" w:rsidR="00074E05" w:rsidRPr="00D92A24" w:rsidRDefault="00074BAD" w:rsidP="00093B44">
      <w:pPr>
        <w:pStyle w:val="NormalWeb"/>
        <w:jc w:val="both"/>
        <w:rPr>
          <w:rFonts w:ascii="Humanst521 BT" w:hAnsi="Humanst521 BT"/>
          <w:sz w:val="22"/>
          <w:szCs w:val="22"/>
        </w:rPr>
      </w:pPr>
      <w:r w:rsidRPr="007F0FA7">
        <w:rPr>
          <w:rFonts w:ascii="Humanst521 BT" w:hAnsi="Humanst521 BT" w:cs="Arial"/>
          <w:sz w:val="22"/>
          <w:szCs w:val="22"/>
        </w:rPr>
        <w:br/>
        <w:t xml:space="preserve">En la tabla </w:t>
      </w:r>
      <w:r w:rsidR="00687D1F" w:rsidRPr="007F0FA7">
        <w:rPr>
          <w:rFonts w:ascii="Humanst521 BT" w:hAnsi="Humanst521 BT" w:cs="Arial"/>
          <w:sz w:val="22"/>
          <w:szCs w:val="22"/>
        </w:rPr>
        <w:t>siguiente</w:t>
      </w:r>
      <w:r w:rsidRPr="007F0FA7">
        <w:rPr>
          <w:rFonts w:ascii="Humanst521 BT" w:hAnsi="Humanst521 BT" w:cs="Arial"/>
          <w:sz w:val="22"/>
          <w:szCs w:val="22"/>
        </w:rPr>
        <w:t xml:space="preserve"> se presentan las tasas de AVPP para UISALUD de los departamentos mencionados y los </w:t>
      </w:r>
      <w:r w:rsidRPr="00D92A24">
        <w:rPr>
          <w:rFonts w:ascii="Humanst521 BT" w:hAnsi="Humanst521 BT" w:cs="Arial"/>
          <w:sz w:val="22"/>
          <w:szCs w:val="22"/>
        </w:rPr>
        <w:t>municipios con reportes en mujeres.</w:t>
      </w:r>
    </w:p>
    <w:p w14:paraId="312947CC" w14:textId="0F0EB12E" w:rsidR="00074E05" w:rsidRPr="00D92A24"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200" w:name="_Toc161298184"/>
      <w:bookmarkStart w:id="201" w:name="_Toc161318804"/>
      <w:bookmarkStart w:id="202" w:name="_Toc231286287"/>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D92A24">
        <w:rPr>
          <w:rFonts w:ascii="Humanst521 BT" w:eastAsia="Verdana" w:hAnsi="Humanst521 BT" w:cs="Verdana"/>
          <w:b w:val="0"/>
          <w:bCs w:val="0"/>
          <w:noProof/>
          <w:color w:val="auto"/>
          <w:sz w:val="22"/>
          <w:szCs w:val="22"/>
          <w:lang w:val="es-ES"/>
        </w:rPr>
        <w:t>42</w:t>
      </w:r>
      <w:r w:rsidRPr="00D92A24">
        <w:rPr>
          <w:rFonts w:ascii="Humanst521 BT" w:eastAsia="Verdana" w:hAnsi="Humanst521 BT" w:cs="Verdana"/>
          <w:b w:val="0"/>
          <w:bCs w:val="0"/>
          <w:color w:val="auto"/>
          <w:sz w:val="22"/>
          <w:szCs w:val="22"/>
          <w:lang w:val="es-ES"/>
        </w:rPr>
        <w:fldChar w:fldCharType="end"/>
      </w:r>
      <w:r w:rsidR="00D92A24">
        <w:rPr>
          <w:rFonts w:ascii="Humanst521 BT" w:eastAsia="Verdana" w:hAnsi="Humanst521 BT" w:cs="Verdana"/>
          <w:b w:val="0"/>
          <w:bCs w:val="0"/>
          <w:color w:val="auto"/>
          <w:sz w:val="22"/>
          <w:szCs w:val="22"/>
          <w:lang w:val="es-ES"/>
        </w:rPr>
        <w:t>.</w:t>
      </w:r>
      <w:r w:rsidRPr="00D92A24">
        <w:rPr>
          <w:rFonts w:ascii="Humanst521 BT" w:eastAsia="Verdana" w:hAnsi="Humanst521 BT" w:cs="Verdana"/>
          <w:b w:val="0"/>
          <w:bCs w:val="0"/>
          <w:color w:val="auto"/>
          <w:sz w:val="22"/>
          <w:szCs w:val="22"/>
          <w:lang w:val="es-ES"/>
        </w:rPr>
        <w:t>Tasas ajustadas de AVPP en mujeres, UISALUD 202</w:t>
      </w:r>
      <w:bookmarkEnd w:id="200"/>
      <w:bookmarkEnd w:id="201"/>
      <w:r w:rsidR="00E37498" w:rsidRPr="00D92A24">
        <w:rPr>
          <w:rFonts w:ascii="Humanst521 BT" w:eastAsia="Verdana" w:hAnsi="Humanst521 BT" w:cs="Verdana"/>
          <w:b w:val="0"/>
          <w:bCs w:val="0"/>
          <w:color w:val="auto"/>
          <w:sz w:val="22"/>
          <w:szCs w:val="22"/>
          <w:lang w:val="es-ES"/>
        </w:rPr>
        <w:t>4</w:t>
      </w:r>
      <w:bookmarkEnd w:id="202"/>
    </w:p>
    <w:tbl>
      <w:tblPr>
        <w:tblStyle w:val="Tablaconcuadrcula4-nfasis2"/>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3678"/>
        <w:gridCol w:w="1904"/>
        <w:gridCol w:w="1927"/>
      </w:tblGrid>
      <w:tr w:rsidR="00E32CB0" w:rsidRPr="007F0FA7" w14:paraId="1EF1BF7A" w14:textId="77777777" w:rsidTr="00735F2B">
        <w:trPr>
          <w:cnfStyle w:val="100000000000" w:firstRow="1" w:lastRow="0" w:firstColumn="0" w:lastColumn="0" w:oddVBand="0" w:evenVBand="0" w:oddHBand="0" w:evenHBand="0" w:firstRowFirstColumn="0" w:firstRowLastColumn="0" w:lastRowFirstColumn="0" w:lastRowLastColumn="0"/>
          <w:trHeight w:val="1259"/>
          <w:tblHeader/>
        </w:trPr>
        <w:tc>
          <w:tcPr>
            <w:cnfStyle w:val="001000000000" w:firstRow="0" w:lastRow="0" w:firstColumn="1" w:lastColumn="0" w:oddVBand="0" w:evenVBand="0" w:oddHBand="0" w:evenHBand="0" w:firstRowFirstColumn="0" w:firstRowLastColumn="0" w:lastRowFirstColumn="0" w:lastRowLastColumn="0"/>
            <w:tcW w:w="1107"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17B439E0" w14:textId="77777777" w:rsidR="00074E05" w:rsidRPr="007F0FA7" w:rsidRDefault="00074E05" w:rsidP="00093B44">
            <w:pPr>
              <w:jc w:val="both"/>
              <w:rPr>
                <w:rFonts w:ascii="Humanst521 BT" w:hAnsi="Humanst521 BT" w:cs="Arial"/>
                <w:color w:val="auto"/>
                <w:sz w:val="22"/>
                <w:szCs w:val="22"/>
              </w:rPr>
            </w:pPr>
            <w:r w:rsidRPr="007F0FA7">
              <w:rPr>
                <w:rFonts w:ascii="Humanst521 BT" w:hAnsi="Humanst521 BT" w:cs="Arial"/>
                <w:color w:val="auto"/>
                <w:sz w:val="22"/>
                <w:szCs w:val="22"/>
              </w:rPr>
              <w:lastRenderedPageBreak/>
              <w:t>Entidad territorial donde residen los afiliados UISALUD</w:t>
            </w:r>
          </w:p>
        </w:tc>
        <w:tc>
          <w:tcPr>
            <w:tcW w:w="1907"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781CF4E7"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lang w:eastAsia="es-CO"/>
              </w:rPr>
            </w:pPr>
            <w:r w:rsidRPr="007F0FA7">
              <w:rPr>
                <w:rFonts w:ascii="Humanst521 BT" w:hAnsi="Humanst521 BT" w:cs="Arial"/>
                <w:color w:val="auto"/>
                <w:sz w:val="22"/>
                <w:szCs w:val="22"/>
              </w:rPr>
              <w:t xml:space="preserve">Grupos de muerte según lista 6/67 OPS-OMS </w:t>
            </w:r>
          </w:p>
        </w:tc>
        <w:tc>
          <w:tcPr>
            <w:tcW w:w="987"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09EC3A68"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 xml:space="preserve">Tasa ajustada de AVPP en mujeres para UISALUD por entidad territorial </w:t>
            </w:r>
          </w:p>
        </w:tc>
        <w:tc>
          <w:tcPr>
            <w:tcW w:w="999"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46895E41" w14:textId="77777777" w:rsidR="00074E05" w:rsidRPr="007F0FA7" w:rsidRDefault="00074E05"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Tasa ajustada de AVPP en la entidad territorial para mujeres-</w:t>
            </w:r>
          </w:p>
        </w:tc>
      </w:tr>
      <w:tr w:rsidR="00E32CB0" w:rsidRPr="007F0FA7" w14:paraId="7E2FE878" w14:textId="77777777" w:rsidTr="00735F2B">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107" w:type="pct"/>
            <w:vMerge w:val="restart"/>
            <w:shd w:val="clear" w:color="auto" w:fill="auto"/>
          </w:tcPr>
          <w:p w14:paraId="73D10CBE" w14:textId="562C755E" w:rsidR="00BB34A2" w:rsidRPr="007F0FA7" w:rsidRDefault="00BB34A2" w:rsidP="00093B44">
            <w:pPr>
              <w:jc w:val="both"/>
              <w:rPr>
                <w:rFonts w:ascii="Humanst521 BT" w:hAnsi="Humanst521 BT" w:cs="Arial"/>
                <w:sz w:val="22"/>
                <w:szCs w:val="22"/>
              </w:rPr>
            </w:pPr>
            <w:r w:rsidRPr="007F0FA7">
              <w:rPr>
                <w:rFonts w:ascii="Humanst521 BT" w:hAnsi="Humanst521 BT" w:cs="Arial"/>
                <w:sz w:val="22"/>
                <w:szCs w:val="22"/>
              </w:rPr>
              <w:t>SANTANDER</w:t>
            </w:r>
          </w:p>
        </w:tc>
        <w:tc>
          <w:tcPr>
            <w:tcW w:w="1907" w:type="pct"/>
            <w:shd w:val="clear" w:color="auto" w:fill="auto"/>
            <w:noWrap/>
            <w:hideMark/>
          </w:tcPr>
          <w:p w14:paraId="35E2C0D9" w14:textId="77777777"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87" w:type="pct"/>
            <w:shd w:val="clear" w:color="auto" w:fill="92D050"/>
            <w:noWrap/>
            <w:vAlign w:val="bottom"/>
            <w:hideMark/>
          </w:tcPr>
          <w:p w14:paraId="570D06FE" w14:textId="68C5AA46"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1263,31</w:t>
            </w:r>
          </w:p>
        </w:tc>
        <w:tc>
          <w:tcPr>
            <w:tcW w:w="999" w:type="pct"/>
            <w:shd w:val="clear" w:color="auto" w:fill="auto"/>
            <w:noWrap/>
            <w:hideMark/>
          </w:tcPr>
          <w:p w14:paraId="29D22706" w14:textId="4ED55877"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1729,3512</w:t>
            </w:r>
          </w:p>
        </w:tc>
      </w:tr>
      <w:tr w:rsidR="00E32CB0" w:rsidRPr="007F0FA7" w14:paraId="452151D1" w14:textId="77777777" w:rsidTr="00735F2B">
        <w:trPr>
          <w:trHeight w:val="456"/>
        </w:trPr>
        <w:tc>
          <w:tcPr>
            <w:cnfStyle w:val="001000000000" w:firstRow="0" w:lastRow="0" w:firstColumn="1" w:lastColumn="0" w:oddVBand="0" w:evenVBand="0" w:oddHBand="0" w:evenHBand="0" w:firstRowFirstColumn="0" w:firstRowLastColumn="0" w:lastRowFirstColumn="0" w:lastRowLastColumn="0"/>
            <w:tcW w:w="1107" w:type="pct"/>
            <w:vMerge/>
            <w:shd w:val="clear" w:color="auto" w:fill="auto"/>
          </w:tcPr>
          <w:p w14:paraId="0EF634E3" w14:textId="64BD0BFF" w:rsidR="00BB34A2" w:rsidRPr="007F0FA7" w:rsidRDefault="00BB34A2" w:rsidP="00093B44">
            <w:pPr>
              <w:jc w:val="both"/>
              <w:rPr>
                <w:rFonts w:ascii="Humanst521 BT" w:hAnsi="Humanst521 BT" w:cs="Arial"/>
                <w:sz w:val="22"/>
                <w:szCs w:val="22"/>
              </w:rPr>
            </w:pPr>
          </w:p>
        </w:tc>
        <w:tc>
          <w:tcPr>
            <w:tcW w:w="1907" w:type="pct"/>
            <w:shd w:val="clear" w:color="auto" w:fill="FBE4D5" w:themeFill="accent2" w:themeFillTint="33"/>
            <w:noWrap/>
            <w:hideMark/>
          </w:tcPr>
          <w:p w14:paraId="1657B485" w14:textId="77777777" w:rsidR="00BB34A2" w:rsidRPr="007F0FA7" w:rsidRDefault="00BB34A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987" w:type="pct"/>
            <w:shd w:val="clear" w:color="auto" w:fill="FF0000"/>
            <w:noWrap/>
            <w:vAlign w:val="bottom"/>
            <w:hideMark/>
          </w:tcPr>
          <w:p w14:paraId="3DB513CE" w14:textId="764F02C3" w:rsidR="00BB34A2" w:rsidRPr="007F0FA7" w:rsidRDefault="00BB34A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1263,31</w:t>
            </w:r>
          </w:p>
        </w:tc>
        <w:tc>
          <w:tcPr>
            <w:tcW w:w="999" w:type="pct"/>
            <w:shd w:val="clear" w:color="auto" w:fill="auto"/>
            <w:noWrap/>
            <w:hideMark/>
          </w:tcPr>
          <w:p w14:paraId="66C5963B" w14:textId="12335484" w:rsidR="00BB34A2" w:rsidRPr="007F0FA7" w:rsidRDefault="00BB34A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1222,4495</w:t>
            </w:r>
          </w:p>
        </w:tc>
      </w:tr>
      <w:tr w:rsidR="00E32CB0" w:rsidRPr="007F0FA7" w14:paraId="7020CE56" w14:textId="77777777" w:rsidTr="00735F2B">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1107" w:type="pct"/>
            <w:vMerge/>
            <w:shd w:val="clear" w:color="auto" w:fill="auto"/>
          </w:tcPr>
          <w:p w14:paraId="26E56CA3" w14:textId="77777777" w:rsidR="00BB34A2" w:rsidRPr="007F0FA7" w:rsidRDefault="00BB34A2" w:rsidP="00093B44">
            <w:pPr>
              <w:jc w:val="both"/>
              <w:rPr>
                <w:rFonts w:ascii="Humanst521 BT" w:hAnsi="Humanst521 BT" w:cs="Arial"/>
                <w:sz w:val="22"/>
                <w:szCs w:val="22"/>
              </w:rPr>
            </w:pPr>
          </w:p>
        </w:tc>
        <w:tc>
          <w:tcPr>
            <w:tcW w:w="1907" w:type="pct"/>
            <w:shd w:val="clear" w:color="auto" w:fill="auto"/>
            <w:noWrap/>
            <w:hideMark/>
          </w:tcPr>
          <w:p w14:paraId="4A857292" w14:textId="77777777"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87" w:type="pct"/>
            <w:shd w:val="clear" w:color="auto" w:fill="92D050"/>
            <w:noWrap/>
            <w:vAlign w:val="bottom"/>
            <w:hideMark/>
          </w:tcPr>
          <w:p w14:paraId="7C891E35" w14:textId="3F63AA11"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631,65</w:t>
            </w:r>
          </w:p>
        </w:tc>
        <w:tc>
          <w:tcPr>
            <w:tcW w:w="999" w:type="pct"/>
            <w:shd w:val="clear" w:color="auto" w:fill="auto"/>
            <w:noWrap/>
            <w:hideMark/>
          </w:tcPr>
          <w:p w14:paraId="3358C8EC" w14:textId="1F64BE0A"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1825,618</w:t>
            </w:r>
          </w:p>
        </w:tc>
      </w:tr>
      <w:tr w:rsidR="00E32CB0" w:rsidRPr="007F0FA7" w14:paraId="654615B7" w14:textId="77777777" w:rsidTr="00735F2B">
        <w:trPr>
          <w:trHeight w:val="84"/>
        </w:trPr>
        <w:tc>
          <w:tcPr>
            <w:cnfStyle w:val="001000000000" w:firstRow="0" w:lastRow="0" w:firstColumn="1" w:lastColumn="0" w:oddVBand="0" w:evenVBand="0" w:oddHBand="0" w:evenHBand="0" w:firstRowFirstColumn="0" w:firstRowLastColumn="0" w:lastRowFirstColumn="0" w:lastRowLastColumn="0"/>
            <w:tcW w:w="1107" w:type="pct"/>
            <w:vMerge w:val="restart"/>
            <w:shd w:val="clear" w:color="auto" w:fill="auto"/>
          </w:tcPr>
          <w:p w14:paraId="2DFF4DA0" w14:textId="2943C7CA" w:rsidR="00BB34A2" w:rsidRPr="007F0FA7" w:rsidRDefault="00BB34A2" w:rsidP="00093B44">
            <w:pPr>
              <w:jc w:val="both"/>
              <w:rPr>
                <w:rFonts w:ascii="Humanst521 BT" w:hAnsi="Humanst521 BT" w:cs="Arial"/>
                <w:sz w:val="22"/>
                <w:szCs w:val="22"/>
              </w:rPr>
            </w:pPr>
            <w:r w:rsidRPr="007F0FA7">
              <w:rPr>
                <w:rFonts w:ascii="Humanst521 BT" w:hAnsi="Humanst521 BT" w:cs="Arial"/>
                <w:sz w:val="22"/>
                <w:szCs w:val="22"/>
              </w:rPr>
              <w:t>BUCARAMANGA</w:t>
            </w:r>
          </w:p>
        </w:tc>
        <w:tc>
          <w:tcPr>
            <w:tcW w:w="1907" w:type="pct"/>
            <w:shd w:val="clear" w:color="auto" w:fill="auto"/>
            <w:noWrap/>
            <w:hideMark/>
          </w:tcPr>
          <w:p w14:paraId="3651CD6A" w14:textId="77777777" w:rsidR="00BB34A2" w:rsidRPr="007F0FA7" w:rsidRDefault="00BB34A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87" w:type="pct"/>
            <w:shd w:val="clear" w:color="auto" w:fill="92D050"/>
            <w:noWrap/>
            <w:vAlign w:val="bottom"/>
            <w:hideMark/>
          </w:tcPr>
          <w:p w14:paraId="7B4230A0" w14:textId="765C5319" w:rsidR="00BB34A2" w:rsidRPr="007F0FA7" w:rsidRDefault="00BB34A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862,40</w:t>
            </w:r>
          </w:p>
        </w:tc>
        <w:tc>
          <w:tcPr>
            <w:tcW w:w="999" w:type="pct"/>
            <w:shd w:val="clear" w:color="auto" w:fill="auto"/>
            <w:noWrap/>
            <w:hideMark/>
          </w:tcPr>
          <w:p w14:paraId="35505127" w14:textId="3DA7AF15" w:rsidR="00BB34A2" w:rsidRPr="007F0FA7" w:rsidRDefault="00BB34A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2.166,41</w:t>
            </w:r>
          </w:p>
        </w:tc>
      </w:tr>
      <w:tr w:rsidR="00E32CB0" w:rsidRPr="007F0FA7" w14:paraId="21DFB976" w14:textId="77777777" w:rsidTr="00735F2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07" w:type="pct"/>
            <w:vMerge/>
            <w:shd w:val="clear" w:color="auto" w:fill="auto"/>
          </w:tcPr>
          <w:p w14:paraId="4CBBF16F" w14:textId="77777777" w:rsidR="00BB34A2" w:rsidRPr="007F0FA7" w:rsidRDefault="00BB34A2" w:rsidP="00093B44">
            <w:pPr>
              <w:jc w:val="both"/>
              <w:rPr>
                <w:rFonts w:ascii="Humanst521 BT" w:hAnsi="Humanst521 BT" w:cs="Arial"/>
                <w:sz w:val="22"/>
                <w:szCs w:val="22"/>
              </w:rPr>
            </w:pPr>
          </w:p>
        </w:tc>
        <w:tc>
          <w:tcPr>
            <w:tcW w:w="1907" w:type="pct"/>
            <w:noWrap/>
            <w:hideMark/>
          </w:tcPr>
          <w:p w14:paraId="612A1500" w14:textId="77777777"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Enfermedades sistema circulatorio</w:t>
            </w:r>
          </w:p>
        </w:tc>
        <w:tc>
          <w:tcPr>
            <w:tcW w:w="987" w:type="pct"/>
            <w:shd w:val="clear" w:color="auto" w:fill="FF0000"/>
            <w:noWrap/>
            <w:vAlign w:val="bottom"/>
            <w:hideMark/>
          </w:tcPr>
          <w:p w14:paraId="26748D80" w14:textId="720627C8"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1724,81</w:t>
            </w:r>
          </w:p>
        </w:tc>
        <w:tc>
          <w:tcPr>
            <w:tcW w:w="999" w:type="pct"/>
            <w:shd w:val="clear" w:color="auto" w:fill="auto"/>
            <w:noWrap/>
            <w:hideMark/>
          </w:tcPr>
          <w:p w14:paraId="60651B93" w14:textId="17616339" w:rsidR="00BB34A2" w:rsidRPr="007F0FA7" w:rsidRDefault="00BB34A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1.025,20</w:t>
            </w:r>
          </w:p>
        </w:tc>
      </w:tr>
      <w:tr w:rsidR="00E32CB0" w:rsidRPr="007F0FA7" w14:paraId="66DA349D" w14:textId="77777777" w:rsidTr="00735F2B">
        <w:trPr>
          <w:trHeight w:val="344"/>
        </w:trPr>
        <w:tc>
          <w:tcPr>
            <w:cnfStyle w:val="001000000000" w:firstRow="0" w:lastRow="0" w:firstColumn="1" w:lastColumn="0" w:oddVBand="0" w:evenVBand="0" w:oddHBand="0" w:evenHBand="0" w:firstRowFirstColumn="0" w:firstRowLastColumn="0" w:lastRowFirstColumn="0" w:lastRowLastColumn="0"/>
            <w:tcW w:w="1107" w:type="pct"/>
            <w:vMerge w:val="restart"/>
            <w:shd w:val="clear" w:color="auto" w:fill="auto"/>
          </w:tcPr>
          <w:p w14:paraId="0B5ABD78" w14:textId="0ED798FB" w:rsidR="00597962" w:rsidRPr="007F0FA7" w:rsidRDefault="00597962" w:rsidP="00093B44">
            <w:pPr>
              <w:jc w:val="both"/>
              <w:rPr>
                <w:rFonts w:ascii="Humanst521 BT" w:hAnsi="Humanst521 BT" w:cs="Arial"/>
                <w:sz w:val="22"/>
                <w:szCs w:val="22"/>
              </w:rPr>
            </w:pPr>
            <w:r w:rsidRPr="007F0FA7">
              <w:rPr>
                <w:rFonts w:ascii="Humanst521 BT" w:hAnsi="Humanst521 BT" w:cs="Arial"/>
                <w:sz w:val="22"/>
                <w:szCs w:val="22"/>
              </w:rPr>
              <w:t>FLORIDABLANCA</w:t>
            </w:r>
          </w:p>
        </w:tc>
        <w:tc>
          <w:tcPr>
            <w:tcW w:w="1907" w:type="pct"/>
            <w:shd w:val="clear" w:color="auto" w:fill="FBE4D5" w:themeFill="accent2" w:themeFillTint="33"/>
            <w:noWrap/>
            <w:hideMark/>
          </w:tcPr>
          <w:p w14:paraId="33235260" w14:textId="77777777" w:rsidR="00597962" w:rsidRPr="007F0FA7" w:rsidRDefault="0059796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87" w:type="pct"/>
            <w:shd w:val="clear" w:color="000000" w:fill="FF0000"/>
            <w:noWrap/>
            <w:vAlign w:val="bottom"/>
            <w:hideMark/>
          </w:tcPr>
          <w:p w14:paraId="6D1C060A" w14:textId="3804E020" w:rsidR="00597962" w:rsidRPr="007F0FA7" w:rsidRDefault="0059796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3371,21</w:t>
            </w:r>
          </w:p>
        </w:tc>
        <w:tc>
          <w:tcPr>
            <w:tcW w:w="999" w:type="pct"/>
            <w:shd w:val="clear" w:color="auto" w:fill="auto"/>
            <w:noWrap/>
            <w:hideMark/>
          </w:tcPr>
          <w:p w14:paraId="67208D50" w14:textId="63333A99" w:rsidR="00597962" w:rsidRPr="007F0FA7" w:rsidRDefault="0059796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1.966,21</w:t>
            </w:r>
          </w:p>
        </w:tc>
      </w:tr>
      <w:tr w:rsidR="00E32CB0" w:rsidRPr="007F0FA7" w14:paraId="5E47BE34" w14:textId="77777777" w:rsidTr="00735F2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107" w:type="pct"/>
            <w:vMerge/>
            <w:shd w:val="clear" w:color="auto" w:fill="auto"/>
          </w:tcPr>
          <w:p w14:paraId="3EF9BA5B" w14:textId="77777777" w:rsidR="00597962" w:rsidRPr="007F0FA7" w:rsidRDefault="00597962" w:rsidP="00093B44">
            <w:pPr>
              <w:jc w:val="both"/>
              <w:rPr>
                <w:rFonts w:ascii="Humanst521 BT" w:hAnsi="Humanst521 BT" w:cs="Arial"/>
                <w:sz w:val="22"/>
                <w:szCs w:val="22"/>
              </w:rPr>
            </w:pPr>
          </w:p>
        </w:tc>
        <w:tc>
          <w:tcPr>
            <w:tcW w:w="1907" w:type="pct"/>
            <w:shd w:val="clear" w:color="auto" w:fill="FFFFFF" w:themeFill="background1"/>
            <w:noWrap/>
            <w:hideMark/>
          </w:tcPr>
          <w:p w14:paraId="0D6EFA39" w14:textId="77777777" w:rsidR="00597962" w:rsidRPr="007F0FA7" w:rsidRDefault="0059796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Causas externas</w:t>
            </w:r>
          </w:p>
        </w:tc>
        <w:tc>
          <w:tcPr>
            <w:tcW w:w="987" w:type="pct"/>
            <w:shd w:val="clear" w:color="000000" w:fill="FF0000"/>
            <w:noWrap/>
            <w:vAlign w:val="bottom"/>
            <w:hideMark/>
          </w:tcPr>
          <w:p w14:paraId="758202EB" w14:textId="34F00AEF" w:rsidR="00597962" w:rsidRPr="007F0FA7" w:rsidRDefault="0059796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3371,21</w:t>
            </w:r>
          </w:p>
        </w:tc>
        <w:tc>
          <w:tcPr>
            <w:tcW w:w="999" w:type="pct"/>
            <w:shd w:val="clear" w:color="auto" w:fill="FFFFFF" w:themeFill="background1"/>
            <w:noWrap/>
            <w:vAlign w:val="bottom"/>
            <w:hideMark/>
          </w:tcPr>
          <w:p w14:paraId="17B6E3A4" w14:textId="6E058221" w:rsidR="00597962" w:rsidRPr="007F0FA7" w:rsidRDefault="00597962"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391,68</w:t>
            </w:r>
          </w:p>
        </w:tc>
      </w:tr>
      <w:tr w:rsidR="00E32CB0" w:rsidRPr="007F0FA7" w14:paraId="236181FE" w14:textId="77777777" w:rsidTr="00735F2B">
        <w:trPr>
          <w:trHeight w:val="330"/>
        </w:trPr>
        <w:tc>
          <w:tcPr>
            <w:cnfStyle w:val="001000000000" w:firstRow="0" w:lastRow="0" w:firstColumn="1" w:lastColumn="0" w:oddVBand="0" w:evenVBand="0" w:oddHBand="0" w:evenHBand="0" w:firstRowFirstColumn="0" w:firstRowLastColumn="0" w:lastRowFirstColumn="0" w:lastRowLastColumn="0"/>
            <w:tcW w:w="1107" w:type="pct"/>
            <w:vMerge/>
            <w:shd w:val="clear" w:color="auto" w:fill="auto"/>
          </w:tcPr>
          <w:p w14:paraId="0158B081" w14:textId="77777777" w:rsidR="00597962" w:rsidRPr="007F0FA7" w:rsidRDefault="00597962" w:rsidP="00093B44">
            <w:pPr>
              <w:jc w:val="both"/>
              <w:rPr>
                <w:rFonts w:ascii="Humanst521 BT" w:hAnsi="Humanst521 BT" w:cs="Arial"/>
                <w:sz w:val="22"/>
                <w:szCs w:val="22"/>
              </w:rPr>
            </w:pPr>
          </w:p>
        </w:tc>
        <w:tc>
          <w:tcPr>
            <w:tcW w:w="1907" w:type="pct"/>
            <w:shd w:val="clear" w:color="auto" w:fill="FFFFFF" w:themeFill="background1"/>
            <w:noWrap/>
            <w:hideMark/>
          </w:tcPr>
          <w:p w14:paraId="4277EFA6" w14:textId="77777777" w:rsidR="00597962" w:rsidRPr="007F0FA7" w:rsidRDefault="0059796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Las demás causas</w:t>
            </w:r>
          </w:p>
        </w:tc>
        <w:tc>
          <w:tcPr>
            <w:tcW w:w="987" w:type="pct"/>
            <w:shd w:val="clear" w:color="auto" w:fill="FF0000"/>
            <w:noWrap/>
            <w:vAlign w:val="bottom"/>
            <w:hideMark/>
          </w:tcPr>
          <w:p w14:paraId="0E318249" w14:textId="72712CDC" w:rsidR="00597962" w:rsidRPr="007F0FA7" w:rsidRDefault="0059796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3371,21</w:t>
            </w:r>
          </w:p>
        </w:tc>
        <w:tc>
          <w:tcPr>
            <w:tcW w:w="999" w:type="pct"/>
            <w:shd w:val="clear" w:color="auto" w:fill="FFFFFF" w:themeFill="background1"/>
            <w:noWrap/>
            <w:hideMark/>
          </w:tcPr>
          <w:p w14:paraId="1C5FD455" w14:textId="07BBD4A0" w:rsidR="00597962" w:rsidRPr="007F0FA7" w:rsidRDefault="00597962"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1.204,59</w:t>
            </w:r>
          </w:p>
        </w:tc>
      </w:tr>
      <w:tr w:rsidR="00E32CB0" w:rsidRPr="007F0FA7" w14:paraId="5A0A4C42" w14:textId="77777777" w:rsidTr="00735F2B">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107" w:type="pct"/>
            <w:shd w:val="clear" w:color="auto" w:fill="auto"/>
          </w:tcPr>
          <w:p w14:paraId="64A59EB2" w14:textId="35E5BD7B" w:rsidR="00D05748" w:rsidRPr="007F0FA7" w:rsidRDefault="00597962" w:rsidP="00093B44">
            <w:pPr>
              <w:jc w:val="both"/>
              <w:rPr>
                <w:rFonts w:ascii="Humanst521 BT" w:hAnsi="Humanst521 BT" w:cs="Arial"/>
                <w:sz w:val="22"/>
                <w:szCs w:val="22"/>
              </w:rPr>
            </w:pPr>
            <w:r w:rsidRPr="007F0FA7">
              <w:rPr>
                <w:rFonts w:ascii="Humanst521 BT" w:hAnsi="Humanst521 BT" w:cs="Arial"/>
                <w:sz w:val="22"/>
                <w:szCs w:val="22"/>
              </w:rPr>
              <w:t>ANTIOQUIA</w:t>
            </w:r>
          </w:p>
        </w:tc>
        <w:tc>
          <w:tcPr>
            <w:tcW w:w="1907" w:type="pct"/>
            <w:noWrap/>
            <w:hideMark/>
          </w:tcPr>
          <w:p w14:paraId="40C5F040" w14:textId="77777777" w:rsidR="00D05748" w:rsidRPr="007F0FA7" w:rsidRDefault="00D05748"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Neoplasias</w:t>
            </w:r>
          </w:p>
        </w:tc>
        <w:tc>
          <w:tcPr>
            <w:tcW w:w="987" w:type="pct"/>
            <w:shd w:val="clear" w:color="auto" w:fill="FF0000"/>
            <w:noWrap/>
            <w:vAlign w:val="bottom"/>
            <w:hideMark/>
          </w:tcPr>
          <w:p w14:paraId="049E9C13" w14:textId="36B88997" w:rsidR="00D05748" w:rsidRPr="007F0FA7" w:rsidRDefault="00D05748"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275888,89</w:t>
            </w:r>
          </w:p>
        </w:tc>
        <w:tc>
          <w:tcPr>
            <w:tcW w:w="999" w:type="pct"/>
            <w:shd w:val="clear" w:color="auto" w:fill="FFFFFF" w:themeFill="background1"/>
            <w:noWrap/>
            <w:hideMark/>
          </w:tcPr>
          <w:p w14:paraId="53D629B1" w14:textId="4A2F154F" w:rsidR="00D05748" w:rsidRPr="007F0FA7" w:rsidRDefault="00D05748"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1.794,36</w:t>
            </w:r>
          </w:p>
        </w:tc>
      </w:tr>
    </w:tbl>
    <w:p w14:paraId="5C47E8BB" w14:textId="0298F903" w:rsidR="00074E05" w:rsidRPr="007F0FA7" w:rsidRDefault="00074E05" w:rsidP="00093B44">
      <w:pPr>
        <w:pStyle w:val="Cita"/>
        <w:spacing w:line="240" w:lineRule="auto"/>
        <w:jc w:val="both"/>
        <w:rPr>
          <w:rFonts w:ascii="Humanst521 BT" w:hAnsi="Humanst521 BT"/>
          <w:sz w:val="22"/>
          <w:szCs w:val="22"/>
          <w:lang w:eastAsia="es-CO"/>
        </w:rPr>
      </w:pPr>
      <w:r w:rsidRPr="007F0FA7">
        <w:rPr>
          <w:rFonts w:ascii="Humanst521 BT" w:hAnsi="Humanst521 BT"/>
          <w:sz w:val="22"/>
          <w:szCs w:val="22"/>
          <w:lang w:eastAsia="es-CO"/>
        </w:rPr>
        <w:t>Fuente: Bodega de Datos de SISPRO (SGD) 202</w:t>
      </w:r>
      <w:r w:rsidR="00E37498">
        <w:rPr>
          <w:rFonts w:ascii="Humanst521 BT" w:hAnsi="Humanst521 BT"/>
          <w:sz w:val="22"/>
          <w:szCs w:val="22"/>
          <w:lang w:eastAsia="es-CO"/>
        </w:rPr>
        <w:t>4</w:t>
      </w:r>
      <w:r w:rsidRPr="007F0FA7">
        <w:rPr>
          <w:rFonts w:ascii="Humanst521 BT" w:hAnsi="Humanst521 BT"/>
          <w:sz w:val="22"/>
          <w:szCs w:val="22"/>
          <w:lang w:eastAsia="es-CO"/>
        </w:rPr>
        <w:t xml:space="preserve">. </w:t>
      </w:r>
      <w:r w:rsidRPr="007F0FA7">
        <w:rPr>
          <w:rFonts w:ascii="Humanst521 BT" w:hAnsi="Humanst521 BT"/>
          <w:sz w:val="22"/>
          <w:szCs w:val="22"/>
          <w:vertAlign w:val="superscript"/>
          <w:lang w:eastAsia="es-CO"/>
        </w:rPr>
        <w:t xml:space="preserve"> </w:t>
      </w:r>
      <w:r w:rsidRPr="007F0FA7">
        <w:rPr>
          <w:rFonts w:ascii="Humanst521 BT" w:hAnsi="Humanst521 BT"/>
          <w:sz w:val="22"/>
          <w:szCs w:val="22"/>
          <w:lang w:eastAsia="es-CO"/>
        </w:rPr>
        <w:t>tasa ajustada de mortalidad por 100.000 afiliados</w:t>
      </w:r>
    </w:p>
    <w:p w14:paraId="3F81259F" w14:textId="588D0D24" w:rsidR="00331029" w:rsidRPr="007F0FA7" w:rsidRDefault="00331029" w:rsidP="00093B44">
      <w:pPr>
        <w:rPr>
          <w:rFonts w:ascii="Humanst521 BT" w:hAnsi="Humanst521 BT"/>
          <w:lang w:val="es-CO" w:eastAsia="es-CO"/>
        </w:rPr>
      </w:pPr>
      <w:r w:rsidRPr="007F0FA7">
        <w:rPr>
          <w:rFonts w:ascii="Humanst521 BT" w:hAnsi="Humanst521 BT" w:cs="Arial"/>
          <w:lang w:val="es-CO"/>
        </w:rPr>
        <w:t>No se presentaron tasas ajustadas de AVPP en mujeres en otros departamentos o municipios.</w:t>
      </w:r>
    </w:p>
    <w:p w14:paraId="4DB83C74" w14:textId="77E66E70" w:rsidR="00074E05" w:rsidRPr="0002437C" w:rsidRDefault="00776B74" w:rsidP="00CF2550">
      <w:pPr>
        <w:pStyle w:val="Descripcin"/>
        <w:spacing w:line="240" w:lineRule="auto"/>
        <w:outlineLvl w:val="3"/>
        <w:rPr>
          <w:rFonts w:ascii="Humanst521 BT" w:eastAsia="Verdana" w:hAnsi="Humanst521 BT" w:cs="Verdana"/>
          <w:sz w:val="22"/>
          <w:szCs w:val="22"/>
          <w:lang w:val="es-ES"/>
        </w:rPr>
      </w:pPr>
      <w:bookmarkStart w:id="203" w:name="_Toc126052045"/>
      <w:bookmarkStart w:id="204" w:name="_Toc161297430"/>
      <w:bookmarkStart w:id="205" w:name="_Toc231286812"/>
      <w:r w:rsidRPr="0002437C">
        <w:rPr>
          <w:rFonts w:ascii="Humanst521 BT" w:eastAsia="Verdana" w:hAnsi="Humanst521 BT" w:cs="Verdana"/>
          <w:sz w:val="22"/>
          <w:szCs w:val="22"/>
          <w:lang w:val="es-ES"/>
        </w:rPr>
        <w:t>5.2.2.4.</w:t>
      </w:r>
      <w:r w:rsidR="00606E20" w:rsidRPr="0002437C">
        <w:rPr>
          <w:rFonts w:ascii="Humanst521 BT" w:eastAsia="Verdana" w:hAnsi="Humanst521 BT" w:cs="Verdana"/>
          <w:sz w:val="22"/>
          <w:szCs w:val="22"/>
          <w:lang w:val="es-ES"/>
        </w:rPr>
        <w:t xml:space="preserve"> </w:t>
      </w:r>
      <w:r w:rsidR="00074E05" w:rsidRPr="0002437C">
        <w:rPr>
          <w:rFonts w:ascii="Humanst521 BT" w:eastAsia="Verdana" w:hAnsi="Humanst521 BT" w:cs="Verdana"/>
          <w:sz w:val="22"/>
          <w:szCs w:val="22"/>
          <w:lang w:val="es-ES"/>
        </w:rPr>
        <w:t>Mortalidad trazadora</w:t>
      </w:r>
      <w:bookmarkEnd w:id="203"/>
      <w:bookmarkEnd w:id="204"/>
      <w:bookmarkEnd w:id="205"/>
      <w:r w:rsidR="00074E05" w:rsidRPr="0002437C">
        <w:rPr>
          <w:rFonts w:ascii="Humanst521 BT" w:eastAsia="Verdana" w:hAnsi="Humanst521 BT" w:cs="Verdana"/>
          <w:sz w:val="22"/>
          <w:szCs w:val="22"/>
          <w:lang w:val="es-ES"/>
        </w:rPr>
        <w:t xml:space="preserve"> </w:t>
      </w:r>
    </w:p>
    <w:p w14:paraId="2FF404E9" w14:textId="77777777" w:rsidR="00074E05" w:rsidRPr="007F0FA7" w:rsidRDefault="00074E05" w:rsidP="00093B44">
      <w:pPr>
        <w:jc w:val="both"/>
        <w:rPr>
          <w:rFonts w:ascii="Humanst521 BT" w:hAnsi="Humanst521 BT"/>
        </w:rPr>
      </w:pPr>
    </w:p>
    <w:p w14:paraId="58512A6E" w14:textId="37524C7D" w:rsidR="00074E05" w:rsidRPr="007F0FA7" w:rsidRDefault="00E50B3C" w:rsidP="00093B44">
      <w:pPr>
        <w:jc w:val="both"/>
        <w:rPr>
          <w:rFonts w:ascii="Humanst521 BT" w:hAnsi="Humanst521 BT"/>
        </w:rPr>
      </w:pPr>
      <w:r w:rsidRPr="007F0FA7">
        <w:rPr>
          <w:rFonts w:ascii="Humanst521 BT" w:hAnsi="Humanst521 BT"/>
        </w:rPr>
        <w:t xml:space="preserve">En el Plan Decenal de Salud Pública (PDSP) se establecieron eventos de mortalidad trazadora de interés para las EAPB. </w:t>
      </w:r>
      <w:r w:rsidR="008D0037" w:rsidRPr="007F0FA7">
        <w:rPr>
          <w:rFonts w:ascii="Humanst521 BT" w:hAnsi="Humanst521 BT"/>
        </w:rPr>
        <w:t xml:space="preserve">Para el año 2023, </w:t>
      </w:r>
      <w:r w:rsidR="006C3E41" w:rsidRPr="007F0FA7">
        <w:rPr>
          <w:rFonts w:ascii="Humanst521 BT" w:hAnsi="Humanst521 BT"/>
        </w:rPr>
        <w:t>la tasa ajustada de mortalidad trazadora en UISALUD</w:t>
      </w:r>
      <w:r w:rsidR="00940596" w:rsidRPr="007F0FA7">
        <w:rPr>
          <w:rFonts w:ascii="Humanst521 BT" w:hAnsi="Humanst521 BT"/>
        </w:rPr>
        <w:t xml:space="preserve"> se encuentran en </w:t>
      </w:r>
      <w:r w:rsidR="009F5DF1" w:rsidRPr="007F0FA7">
        <w:rPr>
          <w:rFonts w:ascii="Humanst521 BT" w:hAnsi="Humanst521 BT"/>
        </w:rPr>
        <w:t xml:space="preserve">0 </w:t>
      </w:r>
      <w:r w:rsidR="006C3E41" w:rsidRPr="007F0FA7">
        <w:rPr>
          <w:rFonts w:ascii="Humanst521 BT" w:hAnsi="Humanst521 BT"/>
        </w:rPr>
        <w:t>para las condiciones de salud</w:t>
      </w:r>
      <w:r w:rsidR="00636A16" w:rsidRPr="007F0FA7">
        <w:rPr>
          <w:rFonts w:ascii="Humanst521 BT" w:hAnsi="Humanst521 BT"/>
        </w:rPr>
        <w:t xml:space="preserve"> de </w:t>
      </w:r>
      <w:r w:rsidR="00F51697" w:rsidRPr="007F0FA7">
        <w:rPr>
          <w:rFonts w:ascii="Humanst521 BT" w:hAnsi="Humanst521 BT"/>
        </w:rPr>
        <w:t>d</w:t>
      </w:r>
      <w:r w:rsidR="00636A16" w:rsidRPr="007F0FA7">
        <w:rPr>
          <w:rFonts w:ascii="Humanst521 BT" w:hAnsi="Humanst521 BT"/>
        </w:rPr>
        <w:t>iabetes mellitus,</w:t>
      </w:r>
      <w:r w:rsidR="009E0697" w:rsidRPr="007F0FA7">
        <w:rPr>
          <w:rFonts w:ascii="Humanst521 BT" w:hAnsi="Humanst521 BT"/>
        </w:rPr>
        <w:t xml:space="preserve"> tuberculosis, VIH, leucemia en menores de 18 años, enfermedades crónicas de las</w:t>
      </w:r>
      <w:r w:rsidR="00665DFC" w:rsidRPr="007F0FA7">
        <w:rPr>
          <w:rFonts w:ascii="Humanst521 BT" w:hAnsi="Humanst521 BT"/>
        </w:rPr>
        <w:t xml:space="preserve"> vías respiratorias inferiores y</w:t>
      </w:r>
      <w:r w:rsidR="00636A16" w:rsidRPr="007F0FA7">
        <w:rPr>
          <w:rFonts w:ascii="Humanst521 BT" w:hAnsi="Humanst521 BT"/>
        </w:rPr>
        <w:t xml:space="preserve"> tumor maligno de mama, cuello uterino, próstata y estómago</w:t>
      </w:r>
      <w:r w:rsidR="004A3C5C" w:rsidRPr="007F0FA7">
        <w:rPr>
          <w:rFonts w:ascii="Humanst521 BT" w:hAnsi="Humanst521 BT"/>
        </w:rPr>
        <w:t xml:space="preserve">, según los datos </w:t>
      </w:r>
      <w:r w:rsidR="003773C0" w:rsidRPr="007F0FA7">
        <w:rPr>
          <w:rFonts w:ascii="Humanst521 BT" w:hAnsi="Humanst521 BT"/>
        </w:rPr>
        <w:t>presentados en la Bode</w:t>
      </w:r>
      <w:r w:rsidR="009C3BC4" w:rsidRPr="007F0FA7">
        <w:rPr>
          <w:rFonts w:ascii="Humanst521 BT" w:hAnsi="Humanst521 BT"/>
        </w:rPr>
        <w:t>ga</w:t>
      </w:r>
      <w:r w:rsidR="003773C0" w:rsidRPr="007F0FA7">
        <w:rPr>
          <w:rFonts w:ascii="Humanst521 BT" w:hAnsi="Humanst521 BT"/>
        </w:rPr>
        <w:t xml:space="preserve"> de Datos de SISPRO (SGD)</w:t>
      </w:r>
      <w:r w:rsidRPr="007F0FA7">
        <w:rPr>
          <w:rFonts w:ascii="Humanst521 BT" w:hAnsi="Humanst521 BT"/>
        </w:rPr>
        <w:t>.</w:t>
      </w:r>
    </w:p>
    <w:p w14:paraId="14BD67E8" w14:textId="77777777" w:rsidR="00074E05" w:rsidRPr="007F0FA7" w:rsidRDefault="00074E05" w:rsidP="00093B44">
      <w:pPr>
        <w:jc w:val="both"/>
        <w:rPr>
          <w:rFonts w:ascii="Humanst521 BT" w:hAnsi="Humanst521 BT"/>
        </w:rPr>
      </w:pPr>
    </w:p>
    <w:p w14:paraId="4147E89A" w14:textId="3933FB85" w:rsidR="00074E05" w:rsidRPr="007F0FA7" w:rsidRDefault="00074E05" w:rsidP="00093B44">
      <w:pPr>
        <w:jc w:val="both"/>
        <w:rPr>
          <w:rStyle w:val="nfasissutil"/>
          <w:rFonts w:ascii="Humanst521 BT" w:hAnsi="Humanst521 BT"/>
          <w:color w:val="auto"/>
        </w:rPr>
      </w:pPr>
      <w:bookmarkStart w:id="206" w:name="_Hlk157039017"/>
      <w:r w:rsidRPr="007F0FA7">
        <w:rPr>
          <w:rStyle w:val="nfasissutil"/>
          <w:rFonts w:ascii="Humanst521 BT" w:hAnsi="Humanst521 BT"/>
          <w:color w:val="auto"/>
        </w:rPr>
        <w:t>No se presentaron indicadores de mortalidad trazadora en departamentos y municipios.</w:t>
      </w:r>
    </w:p>
    <w:p w14:paraId="0A8D72DD" w14:textId="77777777" w:rsidR="00074E05" w:rsidRPr="007F0FA7" w:rsidRDefault="00074E05" w:rsidP="00093B44">
      <w:pPr>
        <w:pStyle w:val="Ttulo5"/>
      </w:pPr>
      <w:bookmarkStart w:id="207" w:name="_Toc126052046"/>
      <w:bookmarkStart w:id="208" w:name="_Toc161297431"/>
      <w:bookmarkEnd w:id="206"/>
      <w:r w:rsidRPr="007F0FA7">
        <w:t>Mortalidad materno-infantil y en la niñez</w:t>
      </w:r>
      <w:bookmarkEnd w:id="207"/>
      <w:bookmarkEnd w:id="208"/>
    </w:p>
    <w:p w14:paraId="6F7C425A" w14:textId="77777777" w:rsidR="00074E05" w:rsidRPr="007F0FA7" w:rsidRDefault="00074E05" w:rsidP="00093B44">
      <w:pPr>
        <w:pStyle w:val="Default"/>
        <w:ind w:firstLine="708"/>
        <w:jc w:val="both"/>
        <w:rPr>
          <w:rFonts w:ascii="Humanst521 BT" w:hAnsi="Humanst521 BT"/>
          <w:b/>
          <w:color w:val="auto"/>
          <w:sz w:val="22"/>
          <w:szCs w:val="22"/>
        </w:rPr>
      </w:pPr>
    </w:p>
    <w:p w14:paraId="0D0A6E22" w14:textId="77777777" w:rsidR="00074E05" w:rsidRPr="007F0FA7" w:rsidRDefault="00074E05" w:rsidP="00093B44">
      <w:pPr>
        <w:jc w:val="both"/>
        <w:rPr>
          <w:rFonts w:ascii="Humanst521 BT" w:hAnsi="Humanst521 BT" w:cs="Arial"/>
        </w:rPr>
      </w:pPr>
      <w:r w:rsidRPr="007F0FA7">
        <w:rPr>
          <w:rFonts w:ascii="Humanst521 BT" w:hAnsi="Humanst521 BT" w:cs="Arial"/>
        </w:rPr>
        <w:t xml:space="preserve">El monitoreo y reducción de la mortalidad materno-infantil y en la niñez hace parte de los compromisos pactados en los Objetivos de Desarrollo Sostenible (ODS), por lo tanto, son parte importante para la caracterización de la población afiliada (Programa de las Naciones Unidas para el Desarrollo, 2015). </w:t>
      </w:r>
    </w:p>
    <w:p w14:paraId="642FD681" w14:textId="77777777" w:rsidR="00074E05" w:rsidRPr="007F0FA7" w:rsidRDefault="00074E05" w:rsidP="00093B44">
      <w:pPr>
        <w:jc w:val="both"/>
        <w:rPr>
          <w:rFonts w:ascii="Humanst521 BT" w:hAnsi="Humanst521 BT" w:cs="Arial"/>
        </w:rPr>
      </w:pPr>
    </w:p>
    <w:p w14:paraId="1A450FFF" w14:textId="77777777" w:rsidR="00074E05" w:rsidRPr="007F0FA7" w:rsidRDefault="00074E05" w:rsidP="00093B44">
      <w:pPr>
        <w:jc w:val="both"/>
        <w:rPr>
          <w:rFonts w:ascii="Humanst521 BT" w:eastAsia="Calibri" w:hAnsi="Humanst521 BT" w:cs="Arial"/>
        </w:rPr>
      </w:pPr>
      <w:r w:rsidRPr="007F0FA7">
        <w:rPr>
          <w:rFonts w:ascii="Humanst521 BT" w:eastAsia="Calibri" w:hAnsi="Humanst521 BT" w:cs="Arial"/>
        </w:rPr>
        <w:t xml:space="preserve">El análisis de la mortalidad materno-infantil y la niñez se subdivide en el análisis de los indicadores trazadores de mortalidad materno, infantil y niñez, y en el análisis por 16 causas de mortalidad para este mismo grupo. </w:t>
      </w:r>
    </w:p>
    <w:p w14:paraId="66836A26" w14:textId="77777777" w:rsidR="00074E05" w:rsidRPr="007F0FA7" w:rsidRDefault="00074E05" w:rsidP="00093B44">
      <w:pPr>
        <w:jc w:val="both"/>
        <w:rPr>
          <w:rFonts w:ascii="Humanst521 BT" w:eastAsia="Calibri" w:hAnsi="Humanst521 BT" w:cs="Arial"/>
        </w:rPr>
      </w:pPr>
    </w:p>
    <w:p w14:paraId="5A8C1CB4" w14:textId="77777777" w:rsidR="00074E05" w:rsidRPr="007F0FA7" w:rsidRDefault="00074E05" w:rsidP="00093B44">
      <w:pPr>
        <w:pStyle w:val="Ttulo5"/>
      </w:pPr>
      <w:bookmarkStart w:id="209" w:name="_Toc161297432"/>
      <w:r w:rsidRPr="007F0FA7">
        <w:t>Indicadores de mortalidad materno, infantil y niñez</w:t>
      </w:r>
      <w:bookmarkEnd w:id="209"/>
    </w:p>
    <w:p w14:paraId="4C360A9E" w14:textId="77777777" w:rsidR="00074E05" w:rsidRPr="007F0FA7" w:rsidRDefault="00074E05" w:rsidP="00093B44">
      <w:pPr>
        <w:jc w:val="both"/>
        <w:rPr>
          <w:rFonts w:ascii="Humanst521 BT" w:hAnsi="Humanst521 BT"/>
        </w:rPr>
      </w:pPr>
    </w:p>
    <w:p w14:paraId="5A77DD1F" w14:textId="52C975E4" w:rsidR="00BB5CD0" w:rsidRPr="007F0FA7" w:rsidRDefault="00BB5CD0" w:rsidP="00093B44">
      <w:pPr>
        <w:pStyle w:val="NormalWeb"/>
        <w:jc w:val="both"/>
        <w:rPr>
          <w:rFonts w:ascii="Humanst521 BT" w:hAnsi="Humanst521 BT"/>
          <w:sz w:val="22"/>
          <w:szCs w:val="22"/>
        </w:rPr>
      </w:pPr>
      <w:r w:rsidRPr="007F0FA7">
        <w:rPr>
          <w:rFonts w:ascii="Humanst521 BT" w:hAnsi="Humanst521 BT"/>
          <w:sz w:val="22"/>
          <w:szCs w:val="22"/>
        </w:rPr>
        <w:lastRenderedPageBreak/>
        <w:t>Estos indicadores son generados por el SISPRO, con un nivel de desagregación a nivel nacional, departamental y municipal</w:t>
      </w:r>
      <w:r w:rsidR="00084922" w:rsidRPr="007F0FA7">
        <w:rPr>
          <w:rFonts w:ascii="Humanst521 BT" w:hAnsi="Humanst521 BT"/>
          <w:sz w:val="22"/>
          <w:szCs w:val="22"/>
        </w:rPr>
        <w:t xml:space="preserve">. </w:t>
      </w:r>
      <w:r w:rsidRPr="007F0FA7">
        <w:rPr>
          <w:rFonts w:ascii="Humanst521 BT" w:hAnsi="Humanst521 BT"/>
          <w:sz w:val="22"/>
          <w:szCs w:val="22"/>
        </w:rPr>
        <w:t>A continuación, se detallan los indicadores relevantes.</w:t>
      </w:r>
    </w:p>
    <w:p w14:paraId="436AE0FA" w14:textId="77777777" w:rsidR="00BB5CD0" w:rsidRPr="007F0FA7" w:rsidRDefault="00BB5CD0" w:rsidP="00093B44">
      <w:pPr>
        <w:pStyle w:val="NormalWeb"/>
        <w:jc w:val="both"/>
        <w:rPr>
          <w:rFonts w:ascii="Humanst521 BT" w:hAnsi="Humanst521 BT"/>
          <w:sz w:val="22"/>
          <w:szCs w:val="22"/>
        </w:rPr>
      </w:pPr>
      <w:r w:rsidRPr="007F0FA7">
        <w:rPr>
          <w:rFonts w:ascii="Humanst521 BT" w:hAnsi="Humanst521 BT"/>
          <w:sz w:val="22"/>
          <w:szCs w:val="22"/>
        </w:rPr>
        <w:t xml:space="preserve">Desde el año 2020 hasta el 2023, en UISALUD no se han reportado casos de mortalidad para los indicadores incluidos en este apartado, con la excepción del indicador de mortalidad en la niñez (menores de 5 años). Este indicador abarca 16 causas de muerte, que a su vez se desglosan en 67 subcausas. En este contexto, se reporta una tasa de mortalidad en la niñez, correspondiente a los grupos de lista de niñez, de </w:t>
      </w:r>
      <w:r w:rsidRPr="007F0FA7">
        <w:rPr>
          <w:rStyle w:val="Textoennegrita"/>
          <w:rFonts w:ascii="Humanst521 BT" w:hAnsi="Humanst521 BT"/>
          <w:sz w:val="22"/>
          <w:szCs w:val="22"/>
        </w:rPr>
        <w:t>2000 por cada 1,000 nacidos vivos</w:t>
      </w:r>
      <w:r w:rsidRPr="007F0FA7">
        <w:rPr>
          <w:rFonts w:ascii="Humanst521 BT" w:hAnsi="Humanst521 BT"/>
          <w:sz w:val="22"/>
          <w:szCs w:val="22"/>
        </w:rPr>
        <w:t xml:space="preserve">, la cual es significativamente superior a la tasa nacional, que es de </w:t>
      </w:r>
      <w:r w:rsidRPr="007F0FA7">
        <w:rPr>
          <w:rStyle w:val="Textoennegrita"/>
          <w:rFonts w:ascii="Humanst521 BT" w:hAnsi="Humanst521 BT"/>
          <w:sz w:val="22"/>
          <w:szCs w:val="22"/>
        </w:rPr>
        <w:t>39,57</w:t>
      </w:r>
      <w:r w:rsidRPr="007F0FA7">
        <w:rPr>
          <w:rFonts w:ascii="Humanst521 BT" w:hAnsi="Humanst521 BT"/>
          <w:sz w:val="22"/>
          <w:szCs w:val="22"/>
        </w:rPr>
        <w:t>.</w:t>
      </w:r>
    </w:p>
    <w:p w14:paraId="0C7098CA" w14:textId="297DEF69" w:rsidR="00592565" w:rsidRDefault="00BB5CD0" w:rsidP="00093B44">
      <w:pPr>
        <w:pStyle w:val="NormalWeb"/>
        <w:jc w:val="both"/>
        <w:rPr>
          <w:rFonts w:ascii="Humanst521 BT" w:hAnsi="Humanst521 BT"/>
          <w:sz w:val="22"/>
          <w:szCs w:val="22"/>
        </w:rPr>
      </w:pPr>
      <w:r w:rsidRPr="007F0FA7">
        <w:rPr>
          <w:rFonts w:ascii="Humanst521 BT" w:hAnsi="Humanst521 BT"/>
          <w:sz w:val="22"/>
          <w:szCs w:val="22"/>
        </w:rPr>
        <w:t>Este resultado se debe a un caso registrado de un menor de 4 años</w:t>
      </w:r>
      <w:r w:rsidR="00FE7C5E">
        <w:rPr>
          <w:rFonts w:ascii="Humanst521 BT" w:hAnsi="Humanst521 BT"/>
          <w:sz w:val="22"/>
          <w:szCs w:val="22"/>
        </w:rPr>
        <w:t>- masculino</w:t>
      </w:r>
      <w:r w:rsidRPr="007F0FA7">
        <w:rPr>
          <w:rFonts w:ascii="Humanst521 BT" w:hAnsi="Humanst521 BT"/>
          <w:sz w:val="22"/>
          <w:szCs w:val="22"/>
        </w:rPr>
        <w:t>, residente en Floridablanca, diagnosticad</w:t>
      </w:r>
      <w:r w:rsidR="00FE7C5E">
        <w:rPr>
          <w:rFonts w:ascii="Humanst521 BT" w:hAnsi="Humanst521 BT"/>
          <w:sz w:val="22"/>
          <w:szCs w:val="22"/>
        </w:rPr>
        <w:t>o</w:t>
      </w:r>
      <w:r w:rsidRPr="007F0FA7">
        <w:rPr>
          <w:rFonts w:ascii="Humanst521 BT" w:hAnsi="Humanst521 BT"/>
          <w:sz w:val="22"/>
          <w:szCs w:val="22"/>
        </w:rPr>
        <w:t xml:space="preserve"> con </w:t>
      </w:r>
      <w:r w:rsidRPr="007F0FA7">
        <w:rPr>
          <w:rStyle w:val="Textoennegrita"/>
          <w:rFonts w:ascii="Humanst521 BT" w:hAnsi="Humanst521 BT"/>
          <w:sz w:val="22"/>
          <w:szCs w:val="22"/>
        </w:rPr>
        <w:t>Q911-Trisomía 18, mosaico (por falta de disyunción mitótica)</w:t>
      </w:r>
      <w:r w:rsidRPr="007F0FA7">
        <w:rPr>
          <w:rFonts w:ascii="Humanst521 BT" w:hAnsi="Humanst521 BT"/>
          <w:sz w:val="22"/>
          <w:szCs w:val="22"/>
        </w:rPr>
        <w:t>.</w:t>
      </w:r>
    </w:p>
    <w:p w14:paraId="2E71FC7C" w14:textId="668D8DB9" w:rsidR="00074E05" w:rsidRPr="007F0FA7" w:rsidRDefault="00592565" w:rsidP="00093B44">
      <w:pPr>
        <w:pStyle w:val="NormalWeb"/>
        <w:jc w:val="both"/>
        <w:rPr>
          <w:rFonts w:ascii="Humanst521 BT" w:hAnsi="Humanst521 BT"/>
          <w:sz w:val="22"/>
          <w:szCs w:val="22"/>
        </w:rPr>
      </w:pPr>
      <w:proofErr w:type="spellStart"/>
      <w:r>
        <w:rPr>
          <w:rFonts w:ascii="Humanst521 BT" w:hAnsi="Humanst521 BT"/>
          <w:sz w:val="22"/>
          <w:szCs w:val="22"/>
        </w:rPr>
        <w:t>Enb</w:t>
      </w:r>
      <w:proofErr w:type="spellEnd"/>
      <w:r>
        <w:rPr>
          <w:rFonts w:ascii="Humanst521 BT" w:hAnsi="Humanst521 BT"/>
          <w:sz w:val="22"/>
          <w:szCs w:val="22"/>
        </w:rPr>
        <w:t xml:space="preserve"> el año 2024 no se presentaron casos de mortalidad infantil. </w:t>
      </w:r>
      <w:r w:rsidR="00155C44" w:rsidRPr="007F0FA7">
        <w:rPr>
          <w:rFonts w:ascii="Humanst521 BT" w:hAnsi="Humanst521 BT"/>
          <w:sz w:val="22"/>
          <w:szCs w:val="22"/>
        </w:rPr>
        <w:tab/>
      </w:r>
    </w:p>
    <w:p w14:paraId="5E92D3F8" w14:textId="6484904F" w:rsidR="00074E05" w:rsidRPr="007F0FA7" w:rsidRDefault="00074E05" w:rsidP="00093B44">
      <w:pPr>
        <w:pStyle w:val="Default"/>
        <w:jc w:val="both"/>
        <w:rPr>
          <w:rFonts w:ascii="Humanst521 BT" w:hAnsi="Humanst521 BT"/>
          <w:color w:val="auto"/>
          <w:sz w:val="22"/>
          <w:szCs w:val="22"/>
        </w:rPr>
      </w:pPr>
      <w:r w:rsidRPr="007F0FA7">
        <w:rPr>
          <w:rFonts w:ascii="Humanst521 BT" w:hAnsi="Humanst521 BT"/>
          <w:color w:val="auto"/>
          <w:sz w:val="22"/>
          <w:szCs w:val="22"/>
        </w:rPr>
        <w:t xml:space="preserve">En la tabla </w:t>
      </w:r>
      <w:r w:rsidR="00687D1F" w:rsidRPr="007F0FA7">
        <w:rPr>
          <w:rFonts w:ascii="Humanst521 BT" w:hAnsi="Humanst521 BT"/>
          <w:color w:val="auto"/>
          <w:sz w:val="22"/>
          <w:szCs w:val="22"/>
        </w:rPr>
        <w:t>siguiente</w:t>
      </w:r>
      <w:r w:rsidR="00BB5CD0" w:rsidRPr="007F0FA7">
        <w:rPr>
          <w:rFonts w:ascii="Humanst521 BT" w:hAnsi="Humanst521 BT"/>
          <w:color w:val="auto"/>
          <w:sz w:val="22"/>
          <w:szCs w:val="22"/>
        </w:rPr>
        <w:t>,</w:t>
      </w:r>
      <w:r w:rsidRPr="007F0FA7">
        <w:rPr>
          <w:rFonts w:ascii="Humanst521 BT" w:hAnsi="Humanst521 BT"/>
          <w:color w:val="auto"/>
          <w:sz w:val="22"/>
          <w:szCs w:val="22"/>
        </w:rPr>
        <w:t xml:space="preserve"> se presentan los indicadores de mortalidad materno infantil y niñez</w:t>
      </w:r>
      <w:r w:rsidR="00E4173D" w:rsidRPr="007F0FA7">
        <w:rPr>
          <w:rFonts w:ascii="Humanst521 BT" w:hAnsi="Humanst521 BT"/>
          <w:color w:val="auto"/>
          <w:sz w:val="22"/>
          <w:szCs w:val="22"/>
        </w:rPr>
        <w:t>.</w:t>
      </w:r>
      <w:r w:rsidRPr="007F0FA7">
        <w:rPr>
          <w:rFonts w:ascii="Humanst521 BT" w:hAnsi="Humanst521 BT"/>
          <w:color w:val="auto"/>
          <w:sz w:val="22"/>
          <w:szCs w:val="22"/>
        </w:rPr>
        <w:t xml:space="preserve"> </w:t>
      </w:r>
    </w:p>
    <w:p w14:paraId="41DAB01A" w14:textId="3E1CE258" w:rsidR="00074E05" w:rsidRPr="00D92A24" w:rsidRDefault="00074E05" w:rsidP="00093B44">
      <w:pPr>
        <w:pStyle w:val="Descripcin"/>
        <w:spacing w:line="240" w:lineRule="auto"/>
        <w:rPr>
          <w:rFonts w:ascii="Humanst521 BT" w:eastAsia="Verdana" w:hAnsi="Humanst521 BT" w:cs="Verdana"/>
          <w:b w:val="0"/>
          <w:bCs w:val="0"/>
          <w:color w:val="auto"/>
          <w:sz w:val="22"/>
          <w:szCs w:val="22"/>
          <w:lang w:val="es-ES"/>
        </w:rPr>
      </w:pPr>
      <w:bookmarkStart w:id="210" w:name="_Toc161298186"/>
      <w:bookmarkStart w:id="211" w:name="_Toc161318806"/>
      <w:bookmarkStart w:id="212" w:name="_Toc231286288"/>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D92A24" w:rsidRPr="00D92A24">
        <w:rPr>
          <w:rFonts w:ascii="Humanst521 BT" w:eastAsia="Verdana" w:hAnsi="Humanst521 BT" w:cs="Verdana"/>
          <w:b w:val="0"/>
          <w:bCs w:val="0"/>
          <w:noProof/>
          <w:color w:val="auto"/>
          <w:sz w:val="22"/>
          <w:szCs w:val="22"/>
          <w:lang w:val="es-ES"/>
        </w:rPr>
        <w:t>43</w:t>
      </w:r>
      <w:r w:rsidRPr="00D92A24">
        <w:rPr>
          <w:rFonts w:ascii="Humanst521 BT" w:eastAsia="Verdana" w:hAnsi="Humanst521 BT" w:cs="Verdana"/>
          <w:b w:val="0"/>
          <w:bCs w:val="0"/>
          <w:color w:val="auto"/>
          <w:sz w:val="22"/>
          <w:szCs w:val="22"/>
          <w:lang w:val="es-ES"/>
        </w:rPr>
        <w:fldChar w:fldCharType="end"/>
      </w:r>
      <w:r w:rsidR="00D92A24" w:rsidRPr="00D92A24">
        <w:rPr>
          <w:rFonts w:ascii="Humanst521 BT" w:eastAsia="Verdana" w:hAnsi="Humanst521 BT" w:cs="Verdana"/>
          <w:b w:val="0"/>
          <w:bCs w:val="0"/>
          <w:color w:val="auto"/>
          <w:sz w:val="22"/>
          <w:szCs w:val="22"/>
          <w:lang w:val="es-ES"/>
        </w:rPr>
        <w:t xml:space="preserve">. </w:t>
      </w:r>
      <w:r w:rsidRPr="00D92A24">
        <w:rPr>
          <w:rFonts w:ascii="Humanst521 BT" w:eastAsia="Verdana" w:hAnsi="Humanst521 BT" w:cs="Verdana"/>
          <w:b w:val="0"/>
          <w:bCs w:val="0"/>
          <w:color w:val="auto"/>
          <w:sz w:val="22"/>
          <w:szCs w:val="22"/>
          <w:lang w:val="es-ES"/>
        </w:rPr>
        <w:t>Indicadores de mortalidad materno infantil y niñez UISALUD, 202</w:t>
      </w:r>
      <w:r w:rsidR="008C0C0F" w:rsidRPr="00D92A24">
        <w:rPr>
          <w:rFonts w:ascii="Humanst521 BT" w:eastAsia="Verdana" w:hAnsi="Humanst521 BT" w:cs="Verdana"/>
          <w:b w:val="0"/>
          <w:bCs w:val="0"/>
          <w:color w:val="auto"/>
          <w:sz w:val="22"/>
          <w:szCs w:val="22"/>
          <w:lang w:val="es-ES"/>
        </w:rPr>
        <w:t>1</w:t>
      </w:r>
      <w:r w:rsidRPr="00D92A24">
        <w:rPr>
          <w:rFonts w:ascii="Humanst521 BT" w:eastAsia="Verdana" w:hAnsi="Humanst521 BT" w:cs="Verdana"/>
          <w:b w:val="0"/>
          <w:bCs w:val="0"/>
          <w:color w:val="auto"/>
          <w:sz w:val="22"/>
          <w:szCs w:val="22"/>
          <w:lang w:val="es-ES"/>
        </w:rPr>
        <w:t>-202</w:t>
      </w:r>
      <w:r w:rsidR="00C81748" w:rsidRPr="00D92A24">
        <w:rPr>
          <w:rFonts w:ascii="Humanst521 BT" w:eastAsia="Verdana" w:hAnsi="Humanst521 BT" w:cs="Verdana"/>
          <w:b w:val="0"/>
          <w:bCs w:val="0"/>
          <w:color w:val="auto"/>
          <w:sz w:val="22"/>
          <w:szCs w:val="22"/>
          <w:lang w:val="es-ES"/>
        </w:rPr>
        <w:t>4</w:t>
      </w:r>
      <w:bookmarkEnd w:id="210"/>
      <w:bookmarkEnd w:id="211"/>
      <w:bookmarkEnd w:id="212"/>
    </w:p>
    <w:tbl>
      <w:tblPr>
        <w:tblStyle w:val="Tablaconcuadrcula4-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896"/>
        <w:gridCol w:w="1017"/>
        <w:gridCol w:w="1016"/>
        <w:gridCol w:w="890"/>
        <w:gridCol w:w="1267"/>
      </w:tblGrid>
      <w:tr w:rsidR="00E37498" w:rsidRPr="007F0FA7" w14:paraId="3A711464" w14:textId="561E156D" w:rsidTr="00735F2B">
        <w:trPr>
          <w:cnfStyle w:val="100000000000" w:firstRow="1" w:lastRow="0" w:firstColumn="0" w:lastColumn="0" w:oddVBand="0" w:evenVBand="0" w:oddHBand="0" w:evenHBand="0" w:firstRowFirstColumn="0" w:firstRowLastColumn="0" w:lastRowFirstColumn="0" w:lastRowLastColumn="0"/>
          <w:trHeight w:val="238"/>
          <w:tblHeader/>
        </w:trPr>
        <w:tc>
          <w:tcPr>
            <w:cnfStyle w:val="001000000000" w:firstRow="0" w:lastRow="0" w:firstColumn="1" w:lastColumn="0" w:oddVBand="0" w:evenVBand="0" w:oddHBand="0" w:evenHBand="0" w:firstRowFirstColumn="0" w:firstRowLastColumn="0" w:lastRowFirstColumn="0" w:lastRowLastColumn="0"/>
            <w:tcW w:w="2706"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7DA2BB92" w14:textId="77777777" w:rsidR="00E37498" w:rsidRPr="007F0FA7" w:rsidRDefault="00E37498" w:rsidP="00093B44">
            <w:pPr>
              <w:pStyle w:val="Default"/>
              <w:jc w:val="both"/>
              <w:rPr>
                <w:rFonts w:ascii="Humanst521 BT" w:hAnsi="Humanst521 BT"/>
                <w:color w:val="auto"/>
                <w:sz w:val="22"/>
                <w:szCs w:val="22"/>
              </w:rPr>
            </w:pPr>
            <w:r w:rsidRPr="007F0FA7">
              <w:rPr>
                <w:rFonts w:ascii="Humanst521 BT" w:hAnsi="Humanst521 BT"/>
                <w:color w:val="auto"/>
                <w:sz w:val="22"/>
                <w:szCs w:val="22"/>
              </w:rPr>
              <w:t>Nombre indicador</w:t>
            </w:r>
          </w:p>
        </w:tc>
        <w:tc>
          <w:tcPr>
            <w:tcW w:w="896"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6702BFFB" w14:textId="77777777" w:rsidR="00E37498" w:rsidRPr="007F0FA7" w:rsidRDefault="00E37498" w:rsidP="00093B44">
            <w:pPr>
              <w:pStyle w:val="Default"/>
              <w:jc w:val="both"/>
              <w:cnfStyle w:val="100000000000" w:firstRow="1"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2020</w:t>
            </w:r>
            <w:r w:rsidRPr="007F0FA7">
              <w:rPr>
                <w:rFonts w:ascii="Humanst521 BT" w:hAnsi="Humanst521 BT"/>
                <w:color w:val="auto"/>
                <w:sz w:val="22"/>
                <w:szCs w:val="22"/>
                <w:vertAlign w:val="superscript"/>
              </w:rPr>
              <w:t>§</w:t>
            </w:r>
          </w:p>
        </w:tc>
        <w:tc>
          <w:tcPr>
            <w:tcW w:w="1017"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6F8BE868" w14:textId="77777777" w:rsidR="00E37498" w:rsidRPr="007F0FA7" w:rsidRDefault="00E37498" w:rsidP="00093B44">
            <w:pPr>
              <w:pStyle w:val="Default"/>
              <w:jc w:val="both"/>
              <w:cnfStyle w:val="100000000000" w:firstRow="1"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2021</w:t>
            </w:r>
            <w:r w:rsidRPr="007F0FA7">
              <w:rPr>
                <w:rFonts w:ascii="Humanst521 BT" w:hAnsi="Humanst521 BT"/>
                <w:color w:val="auto"/>
                <w:sz w:val="22"/>
                <w:szCs w:val="22"/>
                <w:vertAlign w:val="superscript"/>
              </w:rPr>
              <w:t>§</w:t>
            </w:r>
          </w:p>
        </w:tc>
        <w:tc>
          <w:tcPr>
            <w:tcW w:w="1016"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655FD105" w14:textId="77777777" w:rsidR="00E37498" w:rsidRPr="007F0FA7" w:rsidRDefault="00E37498" w:rsidP="00093B44">
            <w:pPr>
              <w:pStyle w:val="Default"/>
              <w:jc w:val="both"/>
              <w:cnfStyle w:val="100000000000" w:firstRow="1"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2022</w:t>
            </w:r>
            <w:r w:rsidRPr="007F0FA7">
              <w:rPr>
                <w:rFonts w:ascii="Humanst521 BT" w:hAnsi="Humanst521 BT"/>
                <w:color w:val="auto"/>
                <w:sz w:val="22"/>
                <w:szCs w:val="22"/>
                <w:vertAlign w:val="superscript"/>
              </w:rPr>
              <w:t>*</w:t>
            </w:r>
          </w:p>
        </w:tc>
        <w:tc>
          <w:tcPr>
            <w:tcW w:w="890"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27E294BE" w14:textId="77777777" w:rsidR="00E37498" w:rsidRPr="007F0FA7" w:rsidRDefault="00E37498" w:rsidP="00093B44">
            <w:pPr>
              <w:pStyle w:val="Default"/>
              <w:jc w:val="both"/>
              <w:cnfStyle w:val="100000000000" w:firstRow="1"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2023</w:t>
            </w:r>
            <w:r w:rsidRPr="007F0FA7">
              <w:rPr>
                <w:rFonts w:ascii="Humanst521 BT" w:hAnsi="Humanst521 BT"/>
                <w:color w:val="auto"/>
                <w:sz w:val="22"/>
                <w:szCs w:val="22"/>
                <w:vertAlign w:val="superscript"/>
              </w:rPr>
              <w:t>*</w:t>
            </w:r>
          </w:p>
        </w:tc>
        <w:tc>
          <w:tcPr>
            <w:tcW w:w="1267" w:type="dxa"/>
            <w:tcBorders>
              <w:top w:val="none" w:sz="0" w:space="0" w:color="auto"/>
              <w:left w:val="none" w:sz="0" w:space="0" w:color="auto"/>
              <w:bottom w:val="none" w:sz="0" w:space="0" w:color="auto"/>
              <w:right w:val="none" w:sz="0" w:space="0" w:color="auto"/>
            </w:tcBorders>
            <w:shd w:val="clear" w:color="auto" w:fill="C5E0B3" w:themeFill="accent6" w:themeFillTint="66"/>
          </w:tcPr>
          <w:p w14:paraId="5B28CA4B" w14:textId="0A79C946" w:rsidR="00E37498" w:rsidRPr="007F0FA7" w:rsidRDefault="00E37498" w:rsidP="00093B44">
            <w:pPr>
              <w:pStyle w:val="Default"/>
              <w:jc w:val="both"/>
              <w:cnfStyle w:val="100000000000" w:firstRow="1"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202</w:t>
            </w:r>
            <w:r>
              <w:rPr>
                <w:rFonts w:ascii="Humanst521 BT" w:hAnsi="Humanst521 BT"/>
                <w:color w:val="auto"/>
                <w:sz w:val="22"/>
                <w:szCs w:val="22"/>
              </w:rPr>
              <w:t>4</w:t>
            </w:r>
            <w:r w:rsidRPr="007F0FA7">
              <w:rPr>
                <w:rFonts w:ascii="Humanst521 BT" w:hAnsi="Humanst521 BT"/>
                <w:color w:val="auto"/>
                <w:sz w:val="22"/>
                <w:szCs w:val="22"/>
                <w:vertAlign w:val="superscript"/>
              </w:rPr>
              <w:t>*</w:t>
            </w:r>
          </w:p>
        </w:tc>
      </w:tr>
      <w:tr w:rsidR="00E37498" w:rsidRPr="007F0FA7" w14:paraId="62960ECE" w14:textId="7E757D31" w:rsidTr="00735F2B">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706" w:type="dxa"/>
          </w:tcPr>
          <w:p w14:paraId="1F28123A" w14:textId="77777777" w:rsidR="00E37498" w:rsidRPr="007F0FA7" w:rsidRDefault="00E37498" w:rsidP="00E37498">
            <w:pPr>
              <w:pStyle w:val="Default"/>
              <w:jc w:val="both"/>
              <w:rPr>
                <w:rFonts w:ascii="Humanst521 BT" w:hAnsi="Humanst521 BT"/>
                <w:color w:val="auto"/>
                <w:sz w:val="22"/>
                <w:szCs w:val="22"/>
              </w:rPr>
            </w:pPr>
            <w:bookmarkStart w:id="213" w:name="_Hlk155816561"/>
            <w:r w:rsidRPr="007F0FA7">
              <w:rPr>
                <w:rFonts w:ascii="Humanst521 BT" w:hAnsi="Humanst521 BT"/>
                <w:color w:val="auto"/>
                <w:sz w:val="22"/>
                <w:szCs w:val="22"/>
              </w:rPr>
              <w:t>Razón de mortalidad materna</w:t>
            </w:r>
          </w:p>
        </w:tc>
        <w:tc>
          <w:tcPr>
            <w:tcW w:w="896" w:type="dxa"/>
          </w:tcPr>
          <w:p w14:paraId="5F500300"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7" w:type="dxa"/>
          </w:tcPr>
          <w:p w14:paraId="1B8FFF3A"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6" w:type="dxa"/>
          </w:tcPr>
          <w:p w14:paraId="7E3F20F1"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890" w:type="dxa"/>
          </w:tcPr>
          <w:p w14:paraId="56DFCBB0"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267" w:type="dxa"/>
          </w:tcPr>
          <w:p w14:paraId="7C50BE61" w14:textId="7803A5F3"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r>
      <w:tr w:rsidR="00E37498" w:rsidRPr="007F0FA7" w14:paraId="53D1B117" w14:textId="4617FE5E" w:rsidTr="00735F2B">
        <w:trPr>
          <w:trHeight w:val="236"/>
        </w:trPr>
        <w:tc>
          <w:tcPr>
            <w:cnfStyle w:val="001000000000" w:firstRow="0" w:lastRow="0" w:firstColumn="1" w:lastColumn="0" w:oddVBand="0" w:evenVBand="0" w:oddHBand="0" w:evenHBand="0" w:firstRowFirstColumn="0" w:firstRowLastColumn="0" w:lastRowFirstColumn="0" w:lastRowLastColumn="0"/>
            <w:tcW w:w="2706" w:type="dxa"/>
          </w:tcPr>
          <w:p w14:paraId="31C2D5F2" w14:textId="77777777" w:rsidR="00E37498" w:rsidRPr="007F0FA7" w:rsidRDefault="00E37498" w:rsidP="00E37498">
            <w:pPr>
              <w:pStyle w:val="Default"/>
              <w:jc w:val="both"/>
              <w:rPr>
                <w:rFonts w:ascii="Humanst521 BT" w:hAnsi="Humanst521 BT"/>
                <w:color w:val="auto"/>
                <w:sz w:val="22"/>
                <w:szCs w:val="22"/>
              </w:rPr>
            </w:pPr>
            <w:r w:rsidRPr="007F0FA7">
              <w:rPr>
                <w:rFonts w:ascii="Humanst521 BT" w:hAnsi="Humanst521 BT"/>
                <w:color w:val="auto"/>
                <w:sz w:val="22"/>
                <w:szCs w:val="22"/>
              </w:rPr>
              <w:t>Tasa de mortalidad perinatal</w:t>
            </w:r>
          </w:p>
        </w:tc>
        <w:tc>
          <w:tcPr>
            <w:tcW w:w="896" w:type="dxa"/>
          </w:tcPr>
          <w:p w14:paraId="1A9667FA"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7" w:type="dxa"/>
          </w:tcPr>
          <w:p w14:paraId="171FAB1A"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6" w:type="dxa"/>
          </w:tcPr>
          <w:p w14:paraId="34F3D0A6"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890" w:type="dxa"/>
          </w:tcPr>
          <w:p w14:paraId="08983FBB"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267" w:type="dxa"/>
          </w:tcPr>
          <w:p w14:paraId="21863577" w14:textId="3F02630C"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r>
      <w:tr w:rsidR="00E37498" w:rsidRPr="007F0FA7" w14:paraId="4B4CC921" w14:textId="7DFA43E6" w:rsidTr="00735F2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706" w:type="dxa"/>
          </w:tcPr>
          <w:p w14:paraId="2E839620" w14:textId="77777777" w:rsidR="00E37498" w:rsidRPr="007F0FA7" w:rsidRDefault="00E37498" w:rsidP="00E37498">
            <w:pPr>
              <w:pStyle w:val="Default"/>
              <w:jc w:val="both"/>
              <w:rPr>
                <w:rFonts w:ascii="Humanst521 BT" w:hAnsi="Humanst521 BT"/>
                <w:color w:val="auto"/>
                <w:sz w:val="22"/>
                <w:szCs w:val="22"/>
              </w:rPr>
            </w:pPr>
            <w:r w:rsidRPr="007F0FA7">
              <w:rPr>
                <w:rFonts w:ascii="Humanst521 BT" w:hAnsi="Humanst521 BT"/>
                <w:color w:val="auto"/>
                <w:sz w:val="22"/>
                <w:szCs w:val="22"/>
              </w:rPr>
              <w:t>Tasa de mortalidad infantil</w:t>
            </w:r>
          </w:p>
        </w:tc>
        <w:tc>
          <w:tcPr>
            <w:tcW w:w="896" w:type="dxa"/>
          </w:tcPr>
          <w:p w14:paraId="09230A24"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7" w:type="dxa"/>
          </w:tcPr>
          <w:p w14:paraId="2048C99E"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6" w:type="dxa"/>
          </w:tcPr>
          <w:p w14:paraId="236B7144"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890" w:type="dxa"/>
          </w:tcPr>
          <w:p w14:paraId="6BE50063"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267" w:type="dxa"/>
          </w:tcPr>
          <w:p w14:paraId="050BBF53" w14:textId="599EA24B"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r>
      <w:tr w:rsidR="00E37498" w:rsidRPr="008C0C0F" w14:paraId="1CF98A7A" w14:textId="4CBA6F19" w:rsidTr="00735F2B">
        <w:trPr>
          <w:trHeight w:val="385"/>
        </w:trPr>
        <w:tc>
          <w:tcPr>
            <w:cnfStyle w:val="001000000000" w:firstRow="0" w:lastRow="0" w:firstColumn="1" w:lastColumn="0" w:oddVBand="0" w:evenVBand="0" w:oddHBand="0" w:evenHBand="0" w:firstRowFirstColumn="0" w:firstRowLastColumn="0" w:lastRowFirstColumn="0" w:lastRowLastColumn="0"/>
            <w:tcW w:w="2706" w:type="dxa"/>
          </w:tcPr>
          <w:p w14:paraId="5BCCD7DF" w14:textId="77777777" w:rsidR="00E37498" w:rsidRPr="007F0FA7" w:rsidRDefault="00E37498" w:rsidP="00E37498">
            <w:pPr>
              <w:pStyle w:val="Default"/>
              <w:jc w:val="both"/>
              <w:rPr>
                <w:rFonts w:ascii="Humanst521 BT" w:hAnsi="Humanst521 BT"/>
                <w:color w:val="auto"/>
                <w:sz w:val="22"/>
                <w:szCs w:val="22"/>
              </w:rPr>
            </w:pPr>
            <w:r w:rsidRPr="007F0FA7">
              <w:rPr>
                <w:rFonts w:ascii="Humanst521 BT" w:hAnsi="Humanst521 BT"/>
                <w:color w:val="auto"/>
                <w:sz w:val="22"/>
                <w:szCs w:val="22"/>
              </w:rPr>
              <w:t>Tasa de mortalidad en la niñez</w:t>
            </w:r>
          </w:p>
        </w:tc>
        <w:tc>
          <w:tcPr>
            <w:tcW w:w="896" w:type="dxa"/>
          </w:tcPr>
          <w:p w14:paraId="5C825A88"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7" w:type="dxa"/>
            <w:shd w:val="clear" w:color="auto" w:fill="FF0000"/>
          </w:tcPr>
          <w:p w14:paraId="0FD7E90D" w14:textId="005634D4"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1724,13</w:t>
            </w:r>
          </w:p>
        </w:tc>
        <w:tc>
          <w:tcPr>
            <w:tcW w:w="1016" w:type="dxa"/>
            <w:shd w:val="clear" w:color="auto" w:fill="FF0000"/>
          </w:tcPr>
          <w:p w14:paraId="691462CC" w14:textId="618DBA2F"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1886,79</w:t>
            </w:r>
          </w:p>
        </w:tc>
        <w:tc>
          <w:tcPr>
            <w:tcW w:w="890" w:type="dxa"/>
            <w:shd w:val="clear" w:color="auto" w:fill="FF0000"/>
          </w:tcPr>
          <w:p w14:paraId="4E1F2C76" w14:textId="06E4C056"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2000</w:t>
            </w:r>
          </w:p>
        </w:tc>
        <w:tc>
          <w:tcPr>
            <w:tcW w:w="1267" w:type="dxa"/>
            <w:shd w:val="clear" w:color="auto" w:fill="auto"/>
          </w:tcPr>
          <w:p w14:paraId="2744DF6A" w14:textId="2CEA8E1E" w:rsidR="00E37498" w:rsidRPr="008C0C0F" w:rsidRDefault="008C0C0F"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8C0C0F">
              <w:rPr>
                <w:rFonts w:ascii="Humanst521 BT" w:hAnsi="Humanst521 BT"/>
                <w:color w:val="auto"/>
                <w:sz w:val="22"/>
                <w:szCs w:val="22"/>
              </w:rPr>
              <w:t>0</w:t>
            </w:r>
          </w:p>
        </w:tc>
      </w:tr>
      <w:tr w:rsidR="00E37498" w:rsidRPr="007F0FA7" w14:paraId="6F4AD9D0" w14:textId="3C0DFD07" w:rsidTr="00735F2B">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2706" w:type="dxa"/>
          </w:tcPr>
          <w:p w14:paraId="2C423B78" w14:textId="77777777" w:rsidR="00E37498" w:rsidRPr="007F0FA7" w:rsidRDefault="00E37498" w:rsidP="00E37498">
            <w:pPr>
              <w:pStyle w:val="Default"/>
              <w:jc w:val="both"/>
              <w:rPr>
                <w:rFonts w:ascii="Humanst521 BT" w:hAnsi="Humanst521 BT"/>
                <w:color w:val="auto"/>
                <w:sz w:val="22"/>
                <w:szCs w:val="22"/>
              </w:rPr>
            </w:pPr>
            <w:r w:rsidRPr="007F0FA7">
              <w:rPr>
                <w:rFonts w:ascii="Humanst521 BT" w:hAnsi="Humanst521 BT"/>
                <w:color w:val="auto"/>
                <w:sz w:val="22"/>
                <w:szCs w:val="22"/>
              </w:rPr>
              <w:t>Tasa de mortalidad por IRA en menores de 5 años</w:t>
            </w:r>
          </w:p>
        </w:tc>
        <w:tc>
          <w:tcPr>
            <w:tcW w:w="896" w:type="dxa"/>
          </w:tcPr>
          <w:p w14:paraId="03F03992"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7" w:type="dxa"/>
          </w:tcPr>
          <w:p w14:paraId="31DD5AC0"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6" w:type="dxa"/>
          </w:tcPr>
          <w:p w14:paraId="13EF40E2"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890" w:type="dxa"/>
          </w:tcPr>
          <w:p w14:paraId="5C98DC5E" w14:textId="77777777"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267" w:type="dxa"/>
          </w:tcPr>
          <w:p w14:paraId="7FB0BAFF" w14:textId="602DC17B" w:rsidR="00E37498" w:rsidRPr="007F0FA7" w:rsidRDefault="00E37498" w:rsidP="00E37498">
            <w:pPr>
              <w:pStyle w:val="Default"/>
              <w:jc w:val="both"/>
              <w:cnfStyle w:val="000000100000" w:firstRow="0" w:lastRow="0" w:firstColumn="0" w:lastColumn="0" w:oddVBand="0" w:evenVBand="0" w:oddHBand="1"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r>
      <w:tr w:rsidR="00E37498" w:rsidRPr="007F0FA7" w14:paraId="589826FE" w14:textId="04DBA311" w:rsidTr="00735F2B">
        <w:trPr>
          <w:trHeight w:val="236"/>
        </w:trPr>
        <w:tc>
          <w:tcPr>
            <w:cnfStyle w:val="001000000000" w:firstRow="0" w:lastRow="0" w:firstColumn="1" w:lastColumn="0" w:oddVBand="0" w:evenVBand="0" w:oddHBand="0" w:evenHBand="0" w:firstRowFirstColumn="0" w:firstRowLastColumn="0" w:lastRowFirstColumn="0" w:lastRowLastColumn="0"/>
            <w:tcW w:w="2706" w:type="dxa"/>
          </w:tcPr>
          <w:p w14:paraId="2592EE56" w14:textId="77777777" w:rsidR="00E37498" w:rsidRPr="007F0FA7" w:rsidRDefault="00E37498" w:rsidP="00E37498">
            <w:pPr>
              <w:pStyle w:val="Default"/>
              <w:jc w:val="both"/>
              <w:rPr>
                <w:rFonts w:ascii="Humanst521 BT" w:hAnsi="Humanst521 BT"/>
                <w:color w:val="auto"/>
                <w:sz w:val="22"/>
                <w:szCs w:val="22"/>
              </w:rPr>
            </w:pPr>
            <w:r w:rsidRPr="007F0FA7">
              <w:rPr>
                <w:rFonts w:ascii="Humanst521 BT" w:hAnsi="Humanst521 BT"/>
                <w:color w:val="auto"/>
                <w:sz w:val="22"/>
                <w:szCs w:val="22"/>
              </w:rPr>
              <w:t>Tasa de mortalidad por EDA en menores de 5 años</w:t>
            </w:r>
          </w:p>
        </w:tc>
        <w:tc>
          <w:tcPr>
            <w:tcW w:w="896" w:type="dxa"/>
          </w:tcPr>
          <w:p w14:paraId="10CE10C4"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7" w:type="dxa"/>
          </w:tcPr>
          <w:p w14:paraId="4C65F988"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016" w:type="dxa"/>
          </w:tcPr>
          <w:p w14:paraId="7F22B76F"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890" w:type="dxa"/>
          </w:tcPr>
          <w:p w14:paraId="71E42624" w14:textId="77777777"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c>
          <w:tcPr>
            <w:tcW w:w="1267" w:type="dxa"/>
          </w:tcPr>
          <w:p w14:paraId="790B888E" w14:textId="56647362" w:rsidR="00E37498" w:rsidRPr="007F0FA7" w:rsidRDefault="00E37498" w:rsidP="00E37498">
            <w:pPr>
              <w:pStyle w:val="Default"/>
              <w:jc w:val="both"/>
              <w:cnfStyle w:val="000000000000" w:firstRow="0" w:lastRow="0" w:firstColumn="0" w:lastColumn="0" w:oddVBand="0" w:evenVBand="0" w:oddHBand="0" w:evenHBand="0" w:firstRowFirstColumn="0" w:firstRowLastColumn="0" w:lastRowFirstColumn="0" w:lastRowLastColumn="0"/>
              <w:rPr>
                <w:rFonts w:ascii="Humanst521 BT" w:hAnsi="Humanst521 BT"/>
                <w:color w:val="auto"/>
                <w:sz w:val="22"/>
                <w:szCs w:val="22"/>
              </w:rPr>
            </w:pPr>
            <w:r w:rsidRPr="007F0FA7">
              <w:rPr>
                <w:rFonts w:ascii="Humanst521 BT" w:hAnsi="Humanst521 BT"/>
                <w:color w:val="auto"/>
                <w:sz w:val="22"/>
                <w:szCs w:val="22"/>
              </w:rPr>
              <w:t>0</w:t>
            </w:r>
          </w:p>
        </w:tc>
      </w:tr>
      <w:bookmarkEnd w:id="213"/>
    </w:tbl>
    <w:p w14:paraId="48D00235" w14:textId="77777777" w:rsidR="00074E05" w:rsidRPr="007F0FA7" w:rsidRDefault="00074E05" w:rsidP="00093B44">
      <w:pPr>
        <w:jc w:val="both"/>
        <w:rPr>
          <w:rFonts w:ascii="Humanst521 BT" w:hAnsi="Humanst521 BT"/>
        </w:rPr>
      </w:pPr>
    </w:p>
    <w:p w14:paraId="0CC116A4" w14:textId="77777777" w:rsidR="00CB19BB" w:rsidRPr="007F0FA7" w:rsidRDefault="00CB19BB" w:rsidP="00093B44">
      <w:pPr>
        <w:pStyle w:val="Default"/>
        <w:jc w:val="both"/>
        <w:rPr>
          <w:rStyle w:val="nfasissutil"/>
          <w:rFonts w:ascii="Humanst521 BT" w:hAnsi="Humanst521 BT"/>
          <w:color w:val="auto"/>
          <w:sz w:val="22"/>
          <w:szCs w:val="22"/>
        </w:rPr>
      </w:pPr>
      <w:r w:rsidRPr="007F0FA7">
        <w:rPr>
          <w:rStyle w:val="nfasissutil"/>
          <w:rFonts w:ascii="Humanst521 BT" w:hAnsi="Humanst521 BT"/>
          <w:color w:val="auto"/>
          <w:sz w:val="22"/>
          <w:szCs w:val="22"/>
        </w:rPr>
        <w:t>No se presentaron indicadores de mortalidad materno infantil y en la niñez en otros departamentos y municipios.</w:t>
      </w:r>
    </w:p>
    <w:p w14:paraId="6DB9D22E" w14:textId="77777777" w:rsidR="00CB19BB" w:rsidRPr="007F0FA7" w:rsidRDefault="00CB19BB" w:rsidP="00093B44">
      <w:pPr>
        <w:jc w:val="both"/>
        <w:rPr>
          <w:rFonts w:ascii="Humanst521 BT" w:hAnsi="Humanst521 BT"/>
        </w:rPr>
      </w:pPr>
    </w:p>
    <w:p w14:paraId="63F90B9E" w14:textId="77777777" w:rsidR="000811C5" w:rsidRPr="007F0FA7" w:rsidRDefault="000811C5" w:rsidP="00093B44">
      <w:pPr>
        <w:jc w:val="both"/>
        <w:rPr>
          <w:rFonts w:ascii="Humanst521 BT" w:hAnsi="Humanst521 BT"/>
        </w:rPr>
      </w:pPr>
    </w:p>
    <w:p w14:paraId="6EF184A4" w14:textId="72DEDF2E" w:rsidR="00074E05" w:rsidRPr="0002437C" w:rsidRDefault="00776B74" w:rsidP="00CF2550">
      <w:pPr>
        <w:pStyle w:val="Descripcin"/>
        <w:spacing w:line="240" w:lineRule="auto"/>
        <w:outlineLvl w:val="3"/>
        <w:rPr>
          <w:rFonts w:ascii="Humanst521 BT" w:eastAsia="Verdana" w:hAnsi="Humanst521 BT" w:cs="Verdana"/>
          <w:sz w:val="22"/>
          <w:szCs w:val="22"/>
          <w:lang w:val="es-ES"/>
        </w:rPr>
      </w:pPr>
      <w:bookmarkStart w:id="214" w:name="_Toc126052048"/>
      <w:bookmarkStart w:id="215" w:name="_Toc161297433"/>
      <w:bookmarkStart w:id="216" w:name="_Toc231286813"/>
      <w:r w:rsidRPr="0002437C">
        <w:rPr>
          <w:rFonts w:ascii="Humanst521 BT" w:eastAsia="Verdana" w:hAnsi="Humanst521 BT" w:cs="Verdana"/>
          <w:sz w:val="22"/>
          <w:szCs w:val="22"/>
          <w:lang w:val="es-ES"/>
        </w:rPr>
        <w:t>5.</w:t>
      </w:r>
      <w:r w:rsidR="00C97D7A" w:rsidRPr="0002437C">
        <w:rPr>
          <w:rFonts w:ascii="Humanst521 BT" w:eastAsia="Verdana" w:hAnsi="Humanst521 BT" w:cs="Verdana"/>
          <w:sz w:val="22"/>
          <w:szCs w:val="22"/>
          <w:lang w:val="es-ES"/>
        </w:rPr>
        <w:t>2.2.5.</w:t>
      </w:r>
      <w:r w:rsidR="00606E20" w:rsidRPr="0002437C">
        <w:rPr>
          <w:rFonts w:ascii="Humanst521 BT" w:eastAsia="Verdana" w:hAnsi="Humanst521 BT" w:cs="Verdana"/>
          <w:sz w:val="22"/>
          <w:szCs w:val="22"/>
          <w:lang w:val="es-ES"/>
        </w:rPr>
        <w:t xml:space="preserve"> </w:t>
      </w:r>
      <w:r w:rsidR="00074E05" w:rsidRPr="0002437C">
        <w:rPr>
          <w:rFonts w:ascii="Humanst521 BT" w:eastAsia="Verdana" w:hAnsi="Humanst521 BT" w:cs="Verdana"/>
          <w:sz w:val="22"/>
          <w:szCs w:val="22"/>
          <w:lang w:val="es-ES"/>
        </w:rPr>
        <w:t xml:space="preserve">Análisis de mortalidad </w:t>
      </w:r>
      <w:bookmarkEnd w:id="214"/>
      <w:r w:rsidR="00074E05" w:rsidRPr="0002437C">
        <w:rPr>
          <w:rFonts w:ascii="Humanst521 BT" w:eastAsia="Verdana" w:hAnsi="Humanst521 BT" w:cs="Verdana"/>
          <w:sz w:val="22"/>
          <w:szCs w:val="22"/>
          <w:lang w:val="es-ES"/>
        </w:rPr>
        <w:t>infantil y niñez</w:t>
      </w:r>
      <w:bookmarkEnd w:id="215"/>
      <w:bookmarkEnd w:id="216"/>
    </w:p>
    <w:p w14:paraId="427A7C2B" w14:textId="77777777" w:rsidR="00074E05" w:rsidRPr="007F0FA7" w:rsidRDefault="00074E05" w:rsidP="00093B44">
      <w:pPr>
        <w:jc w:val="both"/>
        <w:rPr>
          <w:rFonts w:ascii="Humanst521 BT" w:hAnsi="Humanst521 BT"/>
        </w:rPr>
      </w:pPr>
    </w:p>
    <w:p w14:paraId="6FFA495F" w14:textId="77777777" w:rsidR="00074E05" w:rsidRPr="007F0FA7" w:rsidRDefault="00074E05" w:rsidP="00093B44">
      <w:pPr>
        <w:jc w:val="both"/>
        <w:rPr>
          <w:rFonts w:ascii="Humanst521 BT" w:hAnsi="Humanst521 BT"/>
        </w:rPr>
      </w:pPr>
      <w:r w:rsidRPr="007F0FA7">
        <w:rPr>
          <w:rFonts w:ascii="Humanst521 BT" w:hAnsi="Humanst521 BT"/>
        </w:rPr>
        <w:t>Para el desarrollo de este análisis se hace uso de la lista de tabulación que contiene 16 causas en los que agrupa 67 subgrupos de causas de muerte para la mortalidad infantil (niños menores de un año), mortalidad en niños de 1 a 4 años y mortalidad de la niñez (niños menores de 5 años).</w:t>
      </w:r>
    </w:p>
    <w:p w14:paraId="389DD39F" w14:textId="77777777" w:rsidR="00B8025E" w:rsidRPr="007F0FA7" w:rsidRDefault="00B8025E" w:rsidP="00093B44">
      <w:pPr>
        <w:jc w:val="both"/>
        <w:rPr>
          <w:rFonts w:ascii="Humanst521 BT" w:hAnsi="Humanst521 BT"/>
        </w:rPr>
      </w:pPr>
    </w:p>
    <w:p w14:paraId="6FDDB3DA" w14:textId="2154FE8D" w:rsidR="00074E05" w:rsidRPr="007F0FA7" w:rsidRDefault="00074E05" w:rsidP="00093B44">
      <w:pPr>
        <w:jc w:val="both"/>
        <w:rPr>
          <w:rFonts w:ascii="Humanst521 BT" w:hAnsi="Humanst521 BT"/>
        </w:rPr>
      </w:pPr>
      <w:r w:rsidRPr="007F0FA7">
        <w:rPr>
          <w:rFonts w:ascii="Humanst521 BT" w:hAnsi="Humanst521 BT"/>
        </w:rPr>
        <w:t>Para el año de análisis no se reportaron casos</w:t>
      </w:r>
      <w:r w:rsidR="00B135F9">
        <w:rPr>
          <w:rFonts w:ascii="Humanst521 BT" w:hAnsi="Humanst521 BT"/>
        </w:rPr>
        <w:t xml:space="preserve">. En el año anterior si se </w:t>
      </w:r>
      <w:proofErr w:type="spellStart"/>
      <w:r w:rsidR="00B135F9">
        <w:rPr>
          <w:rFonts w:ascii="Humanst521 BT" w:hAnsi="Humanst521 BT"/>
        </w:rPr>
        <w:t>presento</w:t>
      </w:r>
      <w:proofErr w:type="spellEnd"/>
      <w:r w:rsidR="00B135F9">
        <w:rPr>
          <w:rFonts w:ascii="Humanst521 BT" w:hAnsi="Humanst521 BT"/>
        </w:rPr>
        <w:t xml:space="preserve"> un caso: </w:t>
      </w:r>
    </w:p>
    <w:p w14:paraId="50BE9232" w14:textId="77777777" w:rsidR="0049542F" w:rsidRPr="007F0FA7" w:rsidRDefault="0049542F" w:rsidP="00093B44">
      <w:pPr>
        <w:jc w:val="both"/>
        <w:rPr>
          <w:rFonts w:ascii="Humanst521 BT" w:hAnsi="Humanst521 BT"/>
        </w:rPr>
      </w:pPr>
    </w:p>
    <w:p w14:paraId="682C67D4" w14:textId="149B293B" w:rsidR="00AE1ACB" w:rsidRPr="007F0FA7" w:rsidRDefault="00277BDA" w:rsidP="00093B44">
      <w:pPr>
        <w:jc w:val="both"/>
        <w:rPr>
          <w:rFonts w:ascii="Humanst521 BT" w:hAnsi="Humanst521 BT"/>
        </w:rPr>
      </w:pPr>
      <w:r w:rsidRPr="007F0FA7">
        <w:rPr>
          <w:rFonts w:ascii="Humanst521 BT" w:hAnsi="Humanst521 BT"/>
          <w:b/>
          <w:bCs/>
        </w:rPr>
        <w:lastRenderedPageBreak/>
        <w:t>Mortalidad por malformaciones congénitas, deformidades y anomalías cromosómicas</w:t>
      </w:r>
      <w:r w:rsidRPr="007F0FA7">
        <w:rPr>
          <w:rFonts w:ascii="Humanst521 BT" w:hAnsi="Humanst521 BT"/>
        </w:rPr>
        <w:t>:</w:t>
      </w:r>
      <w:r w:rsidR="00996D15">
        <w:rPr>
          <w:rFonts w:ascii="Humanst521 BT" w:hAnsi="Humanst521 BT"/>
        </w:rPr>
        <w:t xml:space="preserve"> En 2023 l</w:t>
      </w:r>
      <w:r w:rsidRPr="007F0FA7">
        <w:rPr>
          <w:rFonts w:ascii="Humanst521 BT" w:hAnsi="Humanst521 BT"/>
        </w:rPr>
        <w:t>a tasa reportada para UISALUD Santander fue superior al compararse con el ente territorial y presentó una diferencia significativa.</w:t>
      </w:r>
      <w:r w:rsidR="00EB2D30" w:rsidRPr="007F0FA7">
        <w:rPr>
          <w:rFonts w:ascii="Humanst521 BT" w:hAnsi="Humanst521 BT"/>
        </w:rPr>
        <w:t xml:space="preserve"> Y, p</w:t>
      </w:r>
      <w:r w:rsidRPr="007F0FA7">
        <w:rPr>
          <w:rFonts w:ascii="Humanst521 BT" w:hAnsi="Humanst521 BT"/>
        </w:rPr>
        <w:t xml:space="preserve">ara Floridablanca la tasa para este evento fue superior a la reportada por el municipio con una diferencia significativa. </w:t>
      </w:r>
    </w:p>
    <w:p w14:paraId="097C1D2B" w14:textId="77777777" w:rsidR="00AE1ACB" w:rsidRPr="007F0FA7" w:rsidRDefault="00AE1ACB" w:rsidP="00093B44">
      <w:pPr>
        <w:jc w:val="both"/>
        <w:rPr>
          <w:rFonts w:ascii="Humanst521 BT" w:hAnsi="Humanst521 BT"/>
        </w:rPr>
      </w:pPr>
    </w:p>
    <w:p w14:paraId="4A9F63F1" w14:textId="0CD014FF" w:rsidR="00277BDA" w:rsidRPr="007F0FA7" w:rsidRDefault="00277BDA" w:rsidP="00093B44">
      <w:pPr>
        <w:jc w:val="both"/>
        <w:rPr>
          <w:rFonts w:ascii="Humanst521 BT" w:hAnsi="Humanst521 BT"/>
        </w:rPr>
      </w:pPr>
      <w:r w:rsidRPr="007F0FA7">
        <w:rPr>
          <w:rFonts w:ascii="Humanst521 BT" w:hAnsi="Humanst521 BT"/>
        </w:rPr>
        <w:t xml:space="preserve">En la tabla </w:t>
      </w:r>
      <w:r w:rsidR="00687D1F" w:rsidRPr="007F0FA7">
        <w:rPr>
          <w:rFonts w:ascii="Humanst521 BT" w:hAnsi="Humanst521 BT"/>
        </w:rPr>
        <w:t>siguiente</w:t>
      </w:r>
      <w:r w:rsidRPr="007F0FA7">
        <w:rPr>
          <w:rFonts w:ascii="Humanst521 BT" w:hAnsi="Humanst521 BT"/>
        </w:rPr>
        <w:t xml:space="preserve"> se presenta las causas de mortalidad en la niñez por grupos de lista 1 a 4 años (16 causas).</w:t>
      </w:r>
    </w:p>
    <w:p w14:paraId="7B281AD3" w14:textId="0356D237" w:rsidR="0049542F" w:rsidRPr="00D92A24" w:rsidRDefault="00E4173D" w:rsidP="00093B44">
      <w:pPr>
        <w:pStyle w:val="Descripcin"/>
        <w:spacing w:line="240" w:lineRule="auto"/>
        <w:rPr>
          <w:rFonts w:ascii="Humanst521 BT" w:eastAsia="Verdana" w:hAnsi="Humanst521 BT" w:cs="Verdana"/>
          <w:b w:val="0"/>
          <w:bCs w:val="0"/>
          <w:color w:val="auto"/>
          <w:sz w:val="22"/>
          <w:szCs w:val="22"/>
          <w:lang w:val="es-ES"/>
        </w:rPr>
      </w:pPr>
      <w:bookmarkStart w:id="217" w:name="_Toc231286289"/>
      <w:r w:rsidRPr="00D92A24">
        <w:rPr>
          <w:rFonts w:ascii="Humanst521 BT" w:eastAsia="Verdana" w:hAnsi="Humanst521 BT" w:cs="Verdana"/>
          <w:b w:val="0"/>
          <w:bCs w:val="0"/>
          <w:color w:val="auto"/>
          <w:sz w:val="22"/>
          <w:szCs w:val="22"/>
          <w:lang w:val="es-ES"/>
        </w:rPr>
        <w:t xml:space="preserve">Tabla </w:t>
      </w:r>
      <w:r w:rsidRPr="00D92A24">
        <w:rPr>
          <w:rFonts w:ascii="Humanst521 BT" w:eastAsia="Verdana" w:hAnsi="Humanst521 BT" w:cs="Verdana"/>
          <w:b w:val="0"/>
          <w:bCs w:val="0"/>
          <w:color w:val="auto"/>
          <w:sz w:val="22"/>
          <w:szCs w:val="22"/>
          <w:lang w:val="es-ES"/>
        </w:rPr>
        <w:fldChar w:fldCharType="begin"/>
      </w:r>
      <w:r w:rsidRPr="00D92A24">
        <w:rPr>
          <w:rFonts w:ascii="Humanst521 BT" w:eastAsia="Verdana" w:hAnsi="Humanst521 BT" w:cs="Verdana"/>
          <w:b w:val="0"/>
          <w:bCs w:val="0"/>
          <w:color w:val="auto"/>
          <w:sz w:val="22"/>
          <w:szCs w:val="22"/>
          <w:lang w:val="es-ES"/>
        </w:rPr>
        <w:instrText xml:space="preserve"> SEQ Tabla \* ARABIC </w:instrText>
      </w:r>
      <w:r w:rsidRPr="00D92A24">
        <w:rPr>
          <w:rFonts w:ascii="Humanst521 BT" w:eastAsia="Verdana" w:hAnsi="Humanst521 BT" w:cs="Verdana"/>
          <w:b w:val="0"/>
          <w:bCs w:val="0"/>
          <w:color w:val="auto"/>
          <w:sz w:val="22"/>
          <w:szCs w:val="22"/>
          <w:lang w:val="es-ES"/>
        </w:rPr>
        <w:fldChar w:fldCharType="separate"/>
      </w:r>
      <w:r w:rsidR="00266118" w:rsidRPr="00D92A24">
        <w:rPr>
          <w:rFonts w:ascii="Humanst521 BT" w:eastAsia="Verdana" w:hAnsi="Humanst521 BT" w:cs="Verdana"/>
          <w:b w:val="0"/>
          <w:bCs w:val="0"/>
          <w:noProof/>
          <w:color w:val="auto"/>
          <w:sz w:val="22"/>
          <w:szCs w:val="22"/>
          <w:lang w:val="es-ES"/>
        </w:rPr>
        <w:t>44</w:t>
      </w:r>
      <w:r w:rsidRPr="00D92A24">
        <w:rPr>
          <w:rFonts w:ascii="Humanst521 BT" w:eastAsia="Verdana" w:hAnsi="Humanst521 BT" w:cs="Verdana"/>
          <w:b w:val="0"/>
          <w:bCs w:val="0"/>
          <w:color w:val="auto"/>
          <w:sz w:val="22"/>
          <w:szCs w:val="22"/>
          <w:lang w:val="es-ES"/>
        </w:rPr>
        <w:fldChar w:fldCharType="end"/>
      </w:r>
      <w:r w:rsidR="00D92A24">
        <w:rPr>
          <w:rFonts w:ascii="Humanst521 BT" w:eastAsia="Verdana" w:hAnsi="Humanst521 BT" w:cs="Verdana"/>
          <w:b w:val="0"/>
          <w:bCs w:val="0"/>
          <w:color w:val="auto"/>
          <w:sz w:val="22"/>
          <w:szCs w:val="22"/>
          <w:lang w:val="es-ES"/>
        </w:rPr>
        <w:t>.</w:t>
      </w:r>
      <w:r w:rsidRPr="00D92A24">
        <w:rPr>
          <w:rFonts w:ascii="Humanst521 BT" w:eastAsia="Verdana" w:hAnsi="Humanst521 BT" w:cs="Verdana"/>
          <w:b w:val="0"/>
          <w:bCs w:val="0"/>
          <w:color w:val="auto"/>
          <w:sz w:val="22"/>
          <w:szCs w:val="22"/>
          <w:lang w:val="es-ES"/>
        </w:rPr>
        <w:t xml:space="preserve"> Tasa </w:t>
      </w:r>
      <w:r w:rsidR="004C65C3" w:rsidRPr="00D92A24">
        <w:rPr>
          <w:rFonts w:ascii="Humanst521 BT" w:eastAsia="Verdana" w:hAnsi="Humanst521 BT" w:cs="Verdana"/>
          <w:b w:val="0"/>
          <w:bCs w:val="0"/>
          <w:color w:val="auto"/>
          <w:sz w:val="22"/>
          <w:szCs w:val="22"/>
          <w:lang w:val="es-ES"/>
        </w:rPr>
        <w:t xml:space="preserve">específica </w:t>
      </w:r>
      <w:r w:rsidRPr="00D92A24">
        <w:rPr>
          <w:rFonts w:ascii="Humanst521 BT" w:eastAsia="Verdana" w:hAnsi="Humanst521 BT" w:cs="Verdana"/>
          <w:b w:val="0"/>
          <w:bCs w:val="0"/>
          <w:color w:val="auto"/>
          <w:sz w:val="22"/>
          <w:szCs w:val="22"/>
          <w:lang w:val="es-ES"/>
        </w:rPr>
        <w:t>de mortalidad en la niñez por (grupos lista niñez) UISALUD Santander, 202</w:t>
      </w:r>
      <w:r w:rsidR="0098174E" w:rsidRPr="00D92A24">
        <w:rPr>
          <w:rFonts w:ascii="Humanst521 BT" w:eastAsia="Verdana" w:hAnsi="Humanst521 BT" w:cs="Verdana"/>
          <w:b w:val="0"/>
          <w:bCs w:val="0"/>
          <w:color w:val="auto"/>
          <w:sz w:val="22"/>
          <w:szCs w:val="22"/>
          <w:lang w:val="es-ES"/>
        </w:rPr>
        <w:t>4</w:t>
      </w:r>
      <w:bookmarkEnd w:id="217"/>
    </w:p>
    <w:tbl>
      <w:tblPr>
        <w:tblStyle w:val="Tablaconcuadrcula4-nfasis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496"/>
        <w:gridCol w:w="2135"/>
        <w:gridCol w:w="1494"/>
        <w:gridCol w:w="1492"/>
      </w:tblGrid>
      <w:tr w:rsidR="004C65C3" w:rsidRPr="007F0FA7" w14:paraId="3182E8CA" w14:textId="77777777" w:rsidTr="00735F2B">
        <w:trPr>
          <w:cnfStyle w:val="100000000000" w:firstRow="1" w:lastRow="0" w:firstColumn="0" w:lastColumn="0" w:oddVBand="0" w:evenVBand="0" w:oddHBand="0" w:evenHBand="0" w:firstRowFirstColumn="0" w:firstRowLastColumn="0" w:lastRowFirstColumn="0" w:lastRowLastColumn="0"/>
          <w:trHeight w:val="1223"/>
          <w:tblHeader/>
        </w:trPr>
        <w:tc>
          <w:tcPr>
            <w:cnfStyle w:val="001000000000" w:firstRow="0" w:lastRow="0" w:firstColumn="1" w:lastColumn="0" w:oddVBand="0" w:evenVBand="0" w:oddHBand="0" w:evenHBand="0" w:firstRowFirstColumn="0" w:firstRowLastColumn="0" w:lastRowFirstColumn="0" w:lastRowLastColumn="0"/>
            <w:tcW w:w="1012" w:type="pc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4B35F296" w14:textId="77777777" w:rsidR="004C65C3" w:rsidRPr="007F0FA7" w:rsidRDefault="004C65C3" w:rsidP="00093B44">
            <w:pPr>
              <w:jc w:val="both"/>
              <w:rPr>
                <w:rFonts w:ascii="Humanst521 BT" w:hAnsi="Humanst521 BT" w:cs="Arial"/>
                <w:color w:val="auto"/>
                <w:sz w:val="22"/>
                <w:szCs w:val="22"/>
                <w:lang w:eastAsia="es-CO"/>
              </w:rPr>
            </w:pPr>
            <w:r w:rsidRPr="007F0FA7">
              <w:rPr>
                <w:rFonts w:ascii="Humanst521 BT" w:hAnsi="Humanst521 BT" w:cs="Arial"/>
                <w:color w:val="auto"/>
                <w:sz w:val="22"/>
                <w:szCs w:val="22"/>
              </w:rPr>
              <w:t>Entidad territorial donde residen los afiliados a UISALUD</w:t>
            </w:r>
          </w:p>
        </w:tc>
        <w:tc>
          <w:tcPr>
            <w:tcW w:w="1307" w:type="pc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6FA8436C" w14:textId="77777777" w:rsidR="004C65C3" w:rsidRPr="007F0FA7" w:rsidRDefault="004C65C3"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Grandes causas de muerte</w:t>
            </w:r>
          </w:p>
        </w:tc>
        <w:tc>
          <w:tcPr>
            <w:tcW w:w="1118" w:type="pc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252F8BC2" w14:textId="6B615DF7" w:rsidR="004C65C3" w:rsidRPr="007F0FA7" w:rsidRDefault="004C65C3"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Pr>
                <w:rFonts w:ascii="Humanst521 BT" w:hAnsi="Humanst521 BT" w:cs="Arial"/>
                <w:color w:val="auto"/>
                <w:sz w:val="22"/>
                <w:szCs w:val="22"/>
              </w:rPr>
              <w:t>2023</w:t>
            </w:r>
          </w:p>
        </w:tc>
        <w:tc>
          <w:tcPr>
            <w:tcW w:w="782" w:type="pct"/>
            <w:tcBorders>
              <w:top w:val="none" w:sz="0" w:space="0" w:color="auto"/>
              <w:left w:val="none" w:sz="0" w:space="0" w:color="auto"/>
              <w:bottom w:val="none" w:sz="0" w:space="0" w:color="auto"/>
              <w:right w:val="none" w:sz="0" w:space="0" w:color="auto"/>
            </w:tcBorders>
            <w:shd w:val="clear" w:color="auto" w:fill="C5E0B3" w:themeFill="accent6" w:themeFillTint="66"/>
          </w:tcPr>
          <w:p w14:paraId="34453EF7" w14:textId="4CED5B85" w:rsidR="004C65C3" w:rsidRPr="004C65C3" w:rsidRDefault="004C65C3"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rPr>
            </w:pPr>
            <w:r w:rsidRPr="004C65C3">
              <w:rPr>
                <w:rFonts w:ascii="Humanst521 BT" w:hAnsi="Humanst521 BT" w:cs="Arial"/>
                <w:color w:val="auto"/>
              </w:rPr>
              <w:t>2024</w:t>
            </w:r>
          </w:p>
        </w:tc>
        <w:tc>
          <w:tcPr>
            <w:tcW w:w="781" w:type="pct"/>
            <w:tcBorders>
              <w:top w:val="none" w:sz="0" w:space="0" w:color="auto"/>
              <w:left w:val="none" w:sz="0" w:space="0" w:color="auto"/>
              <w:bottom w:val="none" w:sz="0" w:space="0" w:color="auto"/>
              <w:right w:val="none" w:sz="0" w:space="0" w:color="auto"/>
            </w:tcBorders>
            <w:shd w:val="clear" w:color="auto" w:fill="C5E0B3" w:themeFill="accent6" w:themeFillTint="66"/>
            <w:hideMark/>
          </w:tcPr>
          <w:p w14:paraId="2C115F54" w14:textId="25A7DFE6" w:rsidR="004C65C3" w:rsidRPr="007F0FA7" w:rsidRDefault="004C65C3" w:rsidP="00093B44">
            <w:pPr>
              <w:jc w:val="both"/>
              <w:cnfStyle w:val="100000000000" w:firstRow="1" w:lastRow="0" w:firstColumn="0" w:lastColumn="0" w:oddVBand="0" w:evenVBand="0" w:oddHBand="0" w:evenHBand="0" w:firstRowFirstColumn="0" w:firstRowLastColumn="0" w:lastRowFirstColumn="0" w:lastRowLastColumn="0"/>
              <w:rPr>
                <w:rFonts w:ascii="Humanst521 BT" w:hAnsi="Humanst521 BT" w:cs="Arial"/>
                <w:color w:val="auto"/>
                <w:sz w:val="22"/>
                <w:szCs w:val="22"/>
              </w:rPr>
            </w:pPr>
            <w:r w:rsidRPr="007F0FA7">
              <w:rPr>
                <w:rFonts w:ascii="Humanst521 BT" w:hAnsi="Humanst521 BT" w:cs="Arial"/>
                <w:color w:val="auto"/>
                <w:sz w:val="22"/>
                <w:szCs w:val="22"/>
              </w:rPr>
              <w:t>Tasa específica de mortalidad en la entidad territorial</w:t>
            </w:r>
            <w:r w:rsidRPr="007F0FA7">
              <w:rPr>
                <w:rFonts w:ascii="Humanst521 BT" w:hAnsi="Humanst521 BT" w:cs="Arial"/>
                <w:color w:val="auto"/>
                <w:sz w:val="22"/>
                <w:szCs w:val="22"/>
                <w:vertAlign w:val="superscript"/>
              </w:rPr>
              <w:t>*</w:t>
            </w:r>
            <w:r w:rsidRPr="007F0FA7">
              <w:rPr>
                <w:rFonts w:ascii="Humanst521 BT" w:hAnsi="Humanst521 BT" w:cs="Arial"/>
                <w:color w:val="auto"/>
                <w:sz w:val="22"/>
                <w:szCs w:val="22"/>
              </w:rPr>
              <w:t xml:space="preserve"> </w:t>
            </w:r>
          </w:p>
        </w:tc>
      </w:tr>
      <w:tr w:rsidR="006B6644" w:rsidRPr="007F0FA7" w14:paraId="3D88E99D" w14:textId="77777777" w:rsidTr="00735F2B">
        <w:trPr>
          <w:cnfStyle w:val="000000100000" w:firstRow="0" w:lastRow="0" w:firstColumn="0" w:lastColumn="0" w:oddVBand="0" w:evenVBand="0" w:oddHBand="1"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012" w:type="pct"/>
            <w:shd w:val="clear" w:color="auto" w:fill="FFFFFF" w:themeFill="background1"/>
            <w:noWrap/>
            <w:hideMark/>
          </w:tcPr>
          <w:p w14:paraId="7D76503E" w14:textId="77777777" w:rsidR="006B6644" w:rsidRPr="007F0FA7" w:rsidRDefault="006B6644" w:rsidP="00093B44">
            <w:pPr>
              <w:jc w:val="both"/>
              <w:rPr>
                <w:rFonts w:ascii="Humanst521 BT" w:hAnsi="Humanst521 BT" w:cs="Arial"/>
                <w:sz w:val="22"/>
                <w:szCs w:val="22"/>
              </w:rPr>
            </w:pPr>
            <w:r w:rsidRPr="007F0FA7">
              <w:rPr>
                <w:rFonts w:ascii="Humanst521 BT" w:hAnsi="Humanst521 BT" w:cs="Arial"/>
                <w:sz w:val="22"/>
                <w:szCs w:val="22"/>
              </w:rPr>
              <w:t>SANTANDER</w:t>
            </w:r>
          </w:p>
        </w:tc>
        <w:tc>
          <w:tcPr>
            <w:tcW w:w="1307" w:type="pct"/>
            <w:shd w:val="clear" w:color="auto" w:fill="FFFFFF" w:themeFill="background1"/>
            <w:hideMark/>
          </w:tcPr>
          <w:p w14:paraId="3EF14AEB" w14:textId="77777777" w:rsidR="006B6644" w:rsidRPr="007F0FA7" w:rsidRDefault="006B664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Malformaciones congénitas, deformidades y anomalías cromosómicas (Q00-Q99)</w:t>
            </w:r>
          </w:p>
        </w:tc>
        <w:tc>
          <w:tcPr>
            <w:tcW w:w="1118" w:type="pct"/>
            <w:shd w:val="clear" w:color="auto" w:fill="FF0000"/>
            <w:noWrap/>
            <w:hideMark/>
          </w:tcPr>
          <w:p w14:paraId="49D3EA12" w14:textId="61BE55FF" w:rsidR="006B6644" w:rsidRPr="007F0FA7" w:rsidRDefault="006B664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2272,73</w:t>
            </w:r>
          </w:p>
        </w:tc>
        <w:tc>
          <w:tcPr>
            <w:tcW w:w="782" w:type="pct"/>
            <w:shd w:val="clear" w:color="auto" w:fill="FFFFFF" w:themeFill="background1"/>
          </w:tcPr>
          <w:p w14:paraId="28E6220E" w14:textId="48DCE099" w:rsidR="006B6644" w:rsidRPr="007F0FA7" w:rsidRDefault="004C65C3"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rPr>
            </w:pPr>
            <w:r>
              <w:rPr>
                <w:rFonts w:ascii="Humanst521 BT" w:hAnsi="Humanst521 BT" w:cs="Arial"/>
              </w:rPr>
              <w:t>0</w:t>
            </w:r>
          </w:p>
        </w:tc>
        <w:tc>
          <w:tcPr>
            <w:tcW w:w="781" w:type="pct"/>
            <w:shd w:val="clear" w:color="auto" w:fill="FFFFFF" w:themeFill="background1"/>
            <w:hideMark/>
          </w:tcPr>
          <w:p w14:paraId="61C78011" w14:textId="0CA82027" w:rsidR="006B6644" w:rsidRPr="007F0FA7" w:rsidRDefault="006B6644" w:rsidP="00093B44">
            <w:pPr>
              <w:jc w:val="both"/>
              <w:cnfStyle w:val="000000100000" w:firstRow="0" w:lastRow="0" w:firstColumn="0" w:lastColumn="0" w:oddVBand="0" w:evenVBand="0" w:oddHBand="1"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1,65</w:t>
            </w:r>
          </w:p>
        </w:tc>
      </w:tr>
      <w:tr w:rsidR="006B6644" w:rsidRPr="007F0FA7" w14:paraId="4BE86237" w14:textId="77777777" w:rsidTr="00735F2B">
        <w:trPr>
          <w:trHeight w:val="600"/>
        </w:trPr>
        <w:tc>
          <w:tcPr>
            <w:cnfStyle w:val="001000000000" w:firstRow="0" w:lastRow="0" w:firstColumn="1" w:lastColumn="0" w:oddVBand="0" w:evenVBand="0" w:oddHBand="0" w:evenHBand="0" w:firstRowFirstColumn="0" w:firstRowLastColumn="0" w:lastRowFirstColumn="0" w:lastRowLastColumn="0"/>
            <w:tcW w:w="1012" w:type="pct"/>
            <w:shd w:val="clear" w:color="auto" w:fill="FFFFFF" w:themeFill="background1"/>
            <w:noWrap/>
            <w:hideMark/>
          </w:tcPr>
          <w:p w14:paraId="4876F2EB" w14:textId="77777777" w:rsidR="006B6644" w:rsidRPr="007F0FA7" w:rsidRDefault="006B6644" w:rsidP="00093B44">
            <w:pPr>
              <w:jc w:val="both"/>
              <w:rPr>
                <w:rFonts w:ascii="Humanst521 BT" w:hAnsi="Humanst521 BT" w:cs="Arial"/>
                <w:sz w:val="22"/>
                <w:szCs w:val="22"/>
              </w:rPr>
            </w:pPr>
            <w:r w:rsidRPr="007F0FA7">
              <w:rPr>
                <w:rFonts w:ascii="Humanst521 BT" w:hAnsi="Humanst521 BT" w:cs="Arial"/>
                <w:sz w:val="22"/>
                <w:szCs w:val="22"/>
              </w:rPr>
              <w:t>FLORIDABLANCA</w:t>
            </w:r>
          </w:p>
        </w:tc>
        <w:tc>
          <w:tcPr>
            <w:tcW w:w="1307" w:type="pct"/>
            <w:shd w:val="clear" w:color="auto" w:fill="FFFFFF" w:themeFill="background1"/>
            <w:hideMark/>
          </w:tcPr>
          <w:p w14:paraId="1651F4C5" w14:textId="77777777" w:rsidR="006B6644" w:rsidRPr="007F0FA7" w:rsidRDefault="006B664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Malformaciones congénitas, deformidades y anomalías cromosómicas (Q00-Q99)</w:t>
            </w:r>
          </w:p>
        </w:tc>
        <w:tc>
          <w:tcPr>
            <w:tcW w:w="1118" w:type="pct"/>
            <w:shd w:val="clear" w:color="auto" w:fill="FF0000"/>
            <w:noWrap/>
            <w:hideMark/>
          </w:tcPr>
          <w:p w14:paraId="6127E369" w14:textId="76A4D903" w:rsidR="006B6644" w:rsidRPr="007F0FA7" w:rsidRDefault="006B664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14.285,71</w:t>
            </w:r>
          </w:p>
        </w:tc>
        <w:tc>
          <w:tcPr>
            <w:tcW w:w="782" w:type="pct"/>
            <w:shd w:val="clear" w:color="auto" w:fill="FFFFFF" w:themeFill="background1"/>
          </w:tcPr>
          <w:p w14:paraId="0E81A42D" w14:textId="5CA11AE8" w:rsidR="006B6644" w:rsidRPr="007F0FA7" w:rsidRDefault="004C65C3"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rPr>
            </w:pPr>
            <w:r>
              <w:rPr>
                <w:rFonts w:ascii="Humanst521 BT" w:hAnsi="Humanst521 BT" w:cs="Arial"/>
              </w:rPr>
              <w:t>0</w:t>
            </w:r>
          </w:p>
        </w:tc>
        <w:tc>
          <w:tcPr>
            <w:tcW w:w="781" w:type="pct"/>
            <w:shd w:val="clear" w:color="auto" w:fill="FFFFFF" w:themeFill="background1"/>
            <w:hideMark/>
          </w:tcPr>
          <w:p w14:paraId="524C15AD" w14:textId="039BE3DF" w:rsidR="006B6644" w:rsidRPr="007F0FA7" w:rsidRDefault="006B6644" w:rsidP="00093B44">
            <w:pPr>
              <w:jc w:val="both"/>
              <w:cnfStyle w:val="000000000000" w:firstRow="0" w:lastRow="0" w:firstColumn="0" w:lastColumn="0" w:oddVBand="0" w:evenVBand="0" w:oddHBand="0" w:evenHBand="0" w:firstRowFirstColumn="0" w:firstRowLastColumn="0" w:lastRowFirstColumn="0" w:lastRowLastColumn="0"/>
              <w:rPr>
                <w:rFonts w:ascii="Humanst521 BT" w:hAnsi="Humanst521 BT" w:cs="Arial"/>
                <w:sz w:val="22"/>
                <w:szCs w:val="22"/>
              </w:rPr>
            </w:pPr>
            <w:r w:rsidRPr="007F0FA7">
              <w:rPr>
                <w:rFonts w:ascii="Humanst521 BT" w:hAnsi="Humanst521 BT" w:cs="Arial"/>
                <w:sz w:val="22"/>
                <w:szCs w:val="22"/>
              </w:rPr>
              <w:t>1,89</w:t>
            </w:r>
          </w:p>
        </w:tc>
      </w:tr>
    </w:tbl>
    <w:p w14:paraId="2749933B" w14:textId="77777777" w:rsidR="00074E05" w:rsidRPr="007F0FA7" w:rsidRDefault="00074E05" w:rsidP="00093B44">
      <w:pPr>
        <w:jc w:val="both"/>
        <w:rPr>
          <w:rFonts w:ascii="Humanst521 BT" w:hAnsi="Humanst521 BT"/>
        </w:rPr>
      </w:pPr>
    </w:p>
    <w:p w14:paraId="1F0E8D97" w14:textId="4F9F6BAE" w:rsidR="00FE2676" w:rsidRPr="007F0FA7" w:rsidRDefault="00FE2676" w:rsidP="00093B44">
      <w:pPr>
        <w:jc w:val="both"/>
        <w:rPr>
          <w:rFonts w:ascii="Humanst521 BT" w:hAnsi="Humanst521 BT"/>
          <w:i/>
          <w:iCs/>
        </w:rPr>
      </w:pPr>
      <w:r w:rsidRPr="007F0FA7">
        <w:rPr>
          <w:rStyle w:val="nfasissutil"/>
          <w:rFonts w:ascii="Humanst521 BT" w:hAnsi="Humanst521 BT"/>
          <w:color w:val="auto"/>
        </w:rPr>
        <w:t>No se presentaron indicadores de mortalidad trazadora en otros departamento y municipios</w:t>
      </w:r>
    </w:p>
    <w:p w14:paraId="0E902707" w14:textId="77777777" w:rsidR="00277BDA" w:rsidRPr="007F0FA7" w:rsidRDefault="00277BDA" w:rsidP="00093B44">
      <w:pPr>
        <w:jc w:val="both"/>
        <w:rPr>
          <w:rFonts w:ascii="Humanst521 BT" w:hAnsi="Humanst521 BT"/>
        </w:rPr>
      </w:pPr>
    </w:p>
    <w:p w14:paraId="33052227" w14:textId="0E0ACFC6" w:rsidR="00074E05" w:rsidRPr="0002437C" w:rsidRDefault="00FA25D4" w:rsidP="00CF2550">
      <w:pPr>
        <w:pStyle w:val="Descripcin"/>
        <w:spacing w:line="240" w:lineRule="auto"/>
        <w:outlineLvl w:val="3"/>
        <w:rPr>
          <w:rFonts w:ascii="Humanst521 BT" w:eastAsia="Verdana" w:hAnsi="Humanst521 BT" w:cs="Verdana"/>
          <w:sz w:val="22"/>
          <w:szCs w:val="22"/>
          <w:lang w:val="es-ES"/>
        </w:rPr>
      </w:pPr>
      <w:bookmarkStart w:id="218" w:name="_Toc161297435"/>
      <w:bookmarkStart w:id="219" w:name="_Toc231286814"/>
      <w:r w:rsidRPr="0002437C">
        <w:rPr>
          <w:rFonts w:ascii="Humanst521 BT" w:eastAsia="Verdana" w:hAnsi="Humanst521 BT" w:cs="Verdana"/>
          <w:sz w:val="22"/>
          <w:szCs w:val="22"/>
          <w:lang w:val="es-ES"/>
        </w:rPr>
        <w:t>5.2.2.6.</w:t>
      </w:r>
      <w:r w:rsidR="00034479" w:rsidRPr="0002437C">
        <w:rPr>
          <w:rFonts w:ascii="Humanst521 BT" w:eastAsia="Verdana" w:hAnsi="Humanst521 BT" w:cs="Verdana"/>
          <w:sz w:val="22"/>
          <w:szCs w:val="22"/>
          <w:lang w:val="es-ES"/>
        </w:rPr>
        <w:t xml:space="preserve"> </w:t>
      </w:r>
      <w:r w:rsidR="00074E05" w:rsidRPr="0002437C">
        <w:rPr>
          <w:rFonts w:ascii="Humanst521 BT" w:eastAsia="Verdana" w:hAnsi="Humanst521 BT" w:cs="Verdana"/>
          <w:sz w:val="22"/>
          <w:szCs w:val="22"/>
          <w:lang w:val="es-ES"/>
        </w:rPr>
        <w:t>Letalidad</w:t>
      </w:r>
      <w:bookmarkEnd w:id="218"/>
      <w:bookmarkEnd w:id="219"/>
      <w:r w:rsidR="00074E05" w:rsidRPr="0002437C">
        <w:rPr>
          <w:rFonts w:ascii="Humanst521 BT" w:eastAsia="Verdana" w:hAnsi="Humanst521 BT" w:cs="Verdana"/>
          <w:sz w:val="22"/>
          <w:szCs w:val="22"/>
          <w:lang w:val="es-ES"/>
        </w:rPr>
        <w:t xml:space="preserve"> </w:t>
      </w:r>
    </w:p>
    <w:p w14:paraId="66FBF4A1" w14:textId="77777777" w:rsidR="00074E05" w:rsidRPr="007F0FA7" w:rsidRDefault="00074E05" w:rsidP="00093B44">
      <w:pPr>
        <w:jc w:val="both"/>
        <w:rPr>
          <w:rFonts w:ascii="Humanst521 BT" w:hAnsi="Humanst521 BT"/>
        </w:rPr>
      </w:pPr>
    </w:p>
    <w:p w14:paraId="6AE4A2BF" w14:textId="4DDD3728" w:rsidR="00074E05" w:rsidRPr="007F0FA7" w:rsidRDefault="00074E05" w:rsidP="00093B44">
      <w:pPr>
        <w:jc w:val="both"/>
        <w:rPr>
          <w:rFonts w:ascii="Humanst521 BT" w:hAnsi="Humanst521 BT"/>
        </w:rPr>
      </w:pPr>
      <w:r w:rsidRPr="007F0FA7">
        <w:rPr>
          <w:rFonts w:ascii="Humanst521 BT" w:hAnsi="Humanst521 BT"/>
        </w:rPr>
        <w:t xml:space="preserve">El Sistema de Vigilancia para la Salud Pública (SIVIGILA) recoge información de los eventos de interés en salud pública cuya notificación es obligatoria. Para la caracterización de la población se hará seguimiento a siete eventos cuya letalidad genera gran impacto. </w:t>
      </w:r>
    </w:p>
    <w:p w14:paraId="6044668E" w14:textId="77777777" w:rsidR="00074E05" w:rsidRPr="007F0FA7" w:rsidRDefault="00074E05" w:rsidP="00093B44">
      <w:pPr>
        <w:jc w:val="both"/>
        <w:rPr>
          <w:rFonts w:ascii="Humanst521 BT" w:hAnsi="Humanst521 BT"/>
        </w:rPr>
      </w:pPr>
    </w:p>
    <w:p w14:paraId="3B1F4874" w14:textId="6416CA44" w:rsidR="00074E05" w:rsidRPr="007F0FA7" w:rsidRDefault="00074E05" w:rsidP="00093B44">
      <w:pPr>
        <w:jc w:val="both"/>
        <w:rPr>
          <w:rFonts w:ascii="Humanst521 BT" w:hAnsi="Humanst521 BT"/>
        </w:rPr>
      </w:pPr>
      <w:r w:rsidRPr="007F0FA7">
        <w:rPr>
          <w:rFonts w:ascii="Humanst521 BT" w:hAnsi="Humanst521 BT"/>
        </w:rPr>
        <w:t>En UISALUD no se han presentado letalidades entre los años 2020-202</w:t>
      </w:r>
      <w:r w:rsidR="00836723" w:rsidRPr="007F0FA7">
        <w:rPr>
          <w:rFonts w:ascii="Humanst521 BT" w:hAnsi="Humanst521 BT"/>
        </w:rPr>
        <w:t>4</w:t>
      </w:r>
      <w:r w:rsidR="00A279DE" w:rsidRPr="007F0FA7">
        <w:rPr>
          <w:rFonts w:ascii="Humanst521 BT" w:hAnsi="Humanst521 BT"/>
        </w:rPr>
        <w:t>,</w:t>
      </w:r>
      <w:r w:rsidRPr="007F0FA7">
        <w:rPr>
          <w:rFonts w:ascii="Humanst521 BT" w:hAnsi="Humanst521 BT"/>
        </w:rPr>
        <w:t xml:space="preserve"> para los indicadores relacionados en este ítem en los siguientes eventos de interés en salud pública: leptospirosis, malaria, tos ferina, dengue grave, síndrome de rubeola congénita, meningitis por Haemophilus e influenza</w:t>
      </w:r>
      <w:r w:rsidR="00F6466F" w:rsidRPr="007F0FA7">
        <w:rPr>
          <w:rFonts w:ascii="Humanst521 BT" w:hAnsi="Humanst521 BT"/>
        </w:rPr>
        <w:t>, ni infección respiratoria aguda grave (IRAG)</w:t>
      </w:r>
      <w:r w:rsidRPr="007F0FA7">
        <w:rPr>
          <w:rFonts w:ascii="Humanst521 BT" w:hAnsi="Humanst521 BT"/>
        </w:rPr>
        <w:t xml:space="preserve"> en ningún departamento o municipio donde se reportan afiliado</w:t>
      </w:r>
      <w:r w:rsidR="00A279DE" w:rsidRPr="007F0FA7">
        <w:rPr>
          <w:rFonts w:ascii="Humanst521 BT" w:hAnsi="Humanst521 BT"/>
        </w:rPr>
        <w:t>s.</w:t>
      </w:r>
    </w:p>
    <w:p w14:paraId="3A2B4F13" w14:textId="77777777" w:rsidR="00074E05" w:rsidRPr="007F0FA7" w:rsidRDefault="00074E05" w:rsidP="00093B44">
      <w:pPr>
        <w:jc w:val="both"/>
        <w:rPr>
          <w:rFonts w:ascii="Humanst521 BT" w:hAnsi="Humanst521 BT"/>
        </w:rPr>
      </w:pPr>
    </w:p>
    <w:p w14:paraId="5B3DF474" w14:textId="2EE1FF05" w:rsidR="00074E05" w:rsidRPr="0002437C" w:rsidRDefault="00034479" w:rsidP="00CF2550">
      <w:pPr>
        <w:pStyle w:val="Descripcin"/>
        <w:spacing w:line="240" w:lineRule="auto"/>
        <w:outlineLvl w:val="3"/>
        <w:rPr>
          <w:rFonts w:ascii="Humanst521 BT" w:eastAsia="Verdana" w:hAnsi="Humanst521 BT" w:cs="Verdana"/>
          <w:sz w:val="22"/>
          <w:szCs w:val="22"/>
          <w:lang w:val="es-ES"/>
        </w:rPr>
      </w:pPr>
      <w:bookmarkStart w:id="220" w:name="_Toc231286815"/>
      <w:bookmarkStart w:id="221" w:name="_Toc161297436"/>
      <w:r w:rsidRPr="0002437C">
        <w:rPr>
          <w:rFonts w:ascii="Humanst521 BT" w:eastAsia="Verdana" w:hAnsi="Humanst521 BT" w:cs="Verdana"/>
          <w:sz w:val="22"/>
          <w:szCs w:val="22"/>
          <w:lang w:val="es-ES"/>
        </w:rPr>
        <w:t>5.2.2.7.</w:t>
      </w:r>
      <w:r w:rsidR="00606E20" w:rsidRPr="0002437C">
        <w:rPr>
          <w:rFonts w:ascii="Humanst521 BT" w:eastAsia="Verdana" w:hAnsi="Humanst521 BT" w:cs="Verdana"/>
          <w:sz w:val="22"/>
          <w:szCs w:val="22"/>
          <w:lang w:val="es-ES"/>
        </w:rPr>
        <w:t xml:space="preserve"> </w:t>
      </w:r>
      <w:r w:rsidR="00074E05" w:rsidRPr="0002437C">
        <w:rPr>
          <w:rFonts w:ascii="Humanst521 BT" w:eastAsia="Verdana" w:hAnsi="Humanst521 BT" w:cs="Verdana"/>
          <w:sz w:val="22"/>
          <w:szCs w:val="22"/>
          <w:lang w:val="es-ES"/>
        </w:rPr>
        <w:t xml:space="preserve">Mortalidad </w:t>
      </w:r>
      <w:r w:rsidR="005241E6" w:rsidRPr="0002437C">
        <w:rPr>
          <w:rFonts w:ascii="Humanst521 BT" w:eastAsia="Verdana" w:hAnsi="Humanst521 BT" w:cs="Verdana"/>
          <w:sz w:val="22"/>
          <w:szCs w:val="22"/>
          <w:lang w:val="es-ES"/>
        </w:rPr>
        <w:t>UISALUD</w:t>
      </w:r>
      <w:r w:rsidR="00074E05" w:rsidRPr="0002437C">
        <w:rPr>
          <w:rFonts w:ascii="Humanst521 BT" w:eastAsia="Verdana" w:hAnsi="Humanst521 BT" w:cs="Verdana"/>
          <w:sz w:val="22"/>
          <w:szCs w:val="22"/>
          <w:lang w:val="es-ES"/>
        </w:rPr>
        <w:t xml:space="preserve"> fuente </w:t>
      </w:r>
      <w:r w:rsidR="002363CD" w:rsidRPr="0002437C">
        <w:rPr>
          <w:rFonts w:ascii="Humanst521 BT" w:eastAsia="Verdana" w:hAnsi="Humanst521 BT" w:cs="Verdana"/>
          <w:sz w:val="22"/>
          <w:szCs w:val="22"/>
          <w:lang w:val="es-ES"/>
        </w:rPr>
        <w:t>propia</w:t>
      </w:r>
      <w:r w:rsidR="00841463" w:rsidRPr="0002437C">
        <w:rPr>
          <w:rFonts w:ascii="Humanst521 BT" w:eastAsia="Verdana" w:hAnsi="Humanst521 BT" w:cs="Verdana"/>
          <w:sz w:val="22"/>
          <w:szCs w:val="22"/>
          <w:lang w:val="es-ES"/>
        </w:rPr>
        <w:t xml:space="preserve"> - 2024</w:t>
      </w:r>
      <w:r w:rsidR="00074E05" w:rsidRPr="0002437C">
        <w:rPr>
          <w:rFonts w:ascii="Humanst521 BT" w:eastAsia="Verdana" w:hAnsi="Humanst521 BT" w:cs="Verdana"/>
          <w:sz w:val="22"/>
          <w:szCs w:val="22"/>
          <w:lang w:val="es-ES"/>
        </w:rPr>
        <w:t>.</w:t>
      </w:r>
      <w:bookmarkEnd w:id="220"/>
      <w:r w:rsidR="00074E05" w:rsidRPr="0002437C">
        <w:rPr>
          <w:rFonts w:ascii="Humanst521 BT" w:eastAsia="Verdana" w:hAnsi="Humanst521 BT" w:cs="Verdana"/>
          <w:sz w:val="22"/>
          <w:szCs w:val="22"/>
          <w:lang w:val="es-ES"/>
        </w:rPr>
        <w:t xml:space="preserve"> </w:t>
      </w:r>
      <w:bookmarkEnd w:id="221"/>
    </w:p>
    <w:p w14:paraId="5069834E" w14:textId="77777777" w:rsidR="00D86878" w:rsidRDefault="00D86878" w:rsidP="00D86878"/>
    <w:p w14:paraId="542E8663" w14:textId="77777777" w:rsidR="007805F0" w:rsidRPr="007805F0" w:rsidRDefault="007805F0" w:rsidP="007805F0">
      <w:pPr>
        <w:widowControl/>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lastRenderedPageBreak/>
        <w:t>El comportamiento de la mortalidad registrado en UISALUD evidencia una transición demográfica y epidemiológica avanzada, caracterizada por un marcado envejecimiento poblacional y el predominio de enfermedades crónicas no transmisibles como principales causas de muerte.</w:t>
      </w:r>
    </w:p>
    <w:p w14:paraId="17E66CF2" w14:textId="77777777" w:rsidR="007805F0" w:rsidRPr="007805F0" w:rsidRDefault="007805F0" w:rsidP="007805F0">
      <w:pPr>
        <w:widowControl/>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La totalidad de las defunciones ocurrió en población clasificada en ciclo vital de vejez, con una mediana de edad cercana a los 81 años y edades que alcanzaron hasta los 97 años, lo cual refleja una supervivencia prolongada y una expectativa de vida elevada dentro de la población afiliada. Este comportamiento sugiere además un acceso continuo a servicios de salud, seguimiento clínico permanente y manejo institucional sostenido de enfermedades crónicas complejas.</w:t>
      </w:r>
    </w:p>
    <w:p w14:paraId="7DEE3662" w14:textId="77777777" w:rsidR="007805F0" w:rsidRPr="007805F0" w:rsidRDefault="007805F0" w:rsidP="007805F0">
      <w:pPr>
        <w:widowControl/>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El predominio de neoplasias malignas, enfermedades cardiovasculares y patologías neuropsiquiátricas confirma una alta carga de enfermedad crónica degenerativa, propia de poblaciones envejecidas y con elevada multimorbilidad. Estas condiciones generan una creciente demanda de servicios especializados, tratamientos de alto costo, hospitalizaciones recurrentes, apoyo diagnóstico, rehabilitación, cuidados paliativos y atención integral de larga duración.</w:t>
      </w:r>
    </w:p>
    <w:p w14:paraId="36A94FD4" w14:textId="77777777" w:rsidR="007805F0" w:rsidRPr="007805F0" w:rsidRDefault="007805F0" w:rsidP="007805F0">
      <w:pPr>
        <w:widowControl/>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 xml:space="preserve">De igual manera, la presencia de infecciones respiratorias como causa importante de mortalidad refleja la vulnerabilidad clínica de la población adulta mayor, particularmente en pacientes con fragilidad, deterioro funcional, </w:t>
      </w:r>
      <w:proofErr w:type="spellStart"/>
      <w:r w:rsidRPr="007805F0">
        <w:rPr>
          <w:rFonts w:ascii="Humanst521 BT" w:eastAsia="Times New Roman" w:hAnsi="Humanst521 BT" w:cs="Times New Roman"/>
          <w:sz w:val="24"/>
          <w:szCs w:val="24"/>
          <w:lang w:val="es-CO" w:eastAsia="es-CO"/>
        </w:rPr>
        <w:t>inmunosenescencia</w:t>
      </w:r>
      <w:proofErr w:type="spellEnd"/>
      <w:r w:rsidRPr="007805F0">
        <w:rPr>
          <w:rFonts w:ascii="Humanst521 BT" w:eastAsia="Times New Roman" w:hAnsi="Humanst521 BT" w:cs="Times New Roman"/>
          <w:sz w:val="24"/>
          <w:szCs w:val="24"/>
          <w:lang w:val="es-CO" w:eastAsia="es-CO"/>
        </w:rPr>
        <w:t xml:space="preserve"> y coexistencia de múltiples patologías crónicas.</w:t>
      </w:r>
    </w:p>
    <w:p w14:paraId="1868462B" w14:textId="77777777" w:rsidR="007805F0" w:rsidRPr="007805F0" w:rsidRDefault="007805F0" w:rsidP="007805F0">
      <w:pPr>
        <w:widowControl/>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El predominio de personas pensionadas entre los fallecidos evidencia el impacto que el envejecimiento poblacional tiene sobre la dinámica asistencial y financiera de UISALUD. Este fenómeno implica mayores necesidades de atención integral, incremento en la utilización de servicios de mediana y alta complejidad, aumento en el consumo de tecnologías en salud y mayores costos asociados al manejo de enfermedades de larga evolución.</w:t>
      </w:r>
    </w:p>
    <w:p w14:paraId="7358A467" w14:textId="77777777" w:rsidR="007805F0" w:rsidRPr="007805F0" w:rsidRDefault="007805F0" w:rsidP="007805F0">
      <w:pPr>
        <w:widowControl/>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Desde el enfoque epidemiológico y de gestión del riesgo, los hallazgos observados indican que UISALUD enfrenta actualmente una carga importante de enfermedad crónica y dependencia funcional, con tendencia progresiva al incremento debido al envejecimiento sostenido de la población afiliada. En este contexto, el modelo de atención institucional requiere fortalecer de manera prioritaria las estrategias orientadas a:</w:t>
      </w:r>
    </w:p>
    <w:p w14:paraId="2AA7F9E2" w14:textId="77777777" w:rsidR="007805F0" w:rsidRPr="007805F0" w:rsidRDefault="007805F0" w:rsidP="00B6007F">
      <w:pPr>
        <w:widowControl/>
        <w:numPr>
          <w:ilvl w:val="0"/>
          <w:numId w:val="14"/>
        </w:numPr>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envejecimiento saludable,</w:t>
      </w:r>
    </w:p>
    <w:p w14:paraId="092A0D53" w14:textId="77777777" w:rsidR="007805F0" w:rsidRPr="007805F0" w:rsidRDefault="007805F0" w:rsidP="00B6007F">
      <w:pPr>
        <w:widowControl/>
        <w:numPr>
          <w:ilvl w:val="0"/>
          <w:numId w:val="14"/>
        </w:numPr>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gestión integral del riesgo cardiovascular y metabólico,</w:t>
      </w:r>
    </w:p>
    <w:p w14:paraId="2D4DE1CD" w14:textId="77777777" w:rsidR="007805F0" w:rsidRPr="007805F0" w:rsidRDefault="007805F0" w:rsidP="00B6007F">
      <w:pPr>
        <w:widowControl/>
        <w:numPr>
          <w:ilvl w:val="0"/>
          <w:numId w:val="14"/>
        </w:numPr>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detección temprana y seguimiento oncológico,</w:t>
      </w:r>
    </w:p>
    <w:p w14:paraId="1FDC353D" w14:textId="77777777" w:rsidR="007805F0" w:rsidRPr="007805F0" w:rsidRDefault="007805F0" w:rsidP="00B6007F">
      <w:pPr>
        <w:widowControl/>
        <w:numPr>
          <w:ilvl w:val="0"/>
          <w:numId w:val="14"/>
        </w:numPr>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salud mental y enfermedades neurodegenerativas,</w:t>
      </w:r>
    </w:p>
    <w:p w14:paraId="5DF32EBD" w14:textId="77777777" w:rsidR="007805F0" w:rsidRPr="007805F0" w:rsidRDefault="007805F0" w:rsidP="00B6007F">
      <w:pPr>
        <w:widowControl/>
        <w:numPr>
          <w:ilvl w:val="0"/>
          <w:numId w:val="14"/>
        </w:numPr>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prevención de complicaciones en pacientes crónicos,</w:t>
      </w:r>
    </w:p>
    <w:p w14:paraId="5554F0BC" w14:textId="77777777" w:rsidR="007805F0" w:rsidRPr="007805F0" w:rsidRDefault="007805F0" w:rsidP="00B6007F">
      <w:pPr>
        <w:widowControl/>
        <w:numPr>
          <w:ilvl w:val="0"/>
          <w:numId w:val="14"/>
        </w:numPr>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atención domiciliaria,</w:t>
      </w:r>
    </w:p>
    <w:p w14:paraId="36A4419A" w14:textId="77777777" w:rsidR="007805F0" w:rsidRPr="007805F0" w:rsidRDefault="007805F0" w:rsidP="00B6007F">
      <w:pPr>
        <w:widowControl/>
        <w:numPr>
          <w:ilvl w:val="0"/>
          <w:numId w:val="14"/>
        </w:numPr>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cuidados paliativos,</w:t>
      </w:r>
    </w:p>
    <w:p w14:paraId="56757A99" w14:textId="77777777" w:rsidR="007805F0" w:rsidRPr="007805F0" w:rsidRDefault="007805F0" w:rsidP="00B6007F">
      <w:pPr>
        <w:widowControl/>
        <w:numPr>
          <w:ilvl w:val="0"/>
          <w:numId w:val="14"/>
        </w:numPr>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y seguimiento intensivo de pacientes pluripatológicos de alto riesgo.</w:t>
      </w:r>
    </w:p>
    <w:p w14:paraId="73ED2E9F" w14:textId="77777777" w:rsidR="007805F0" w:rsidRPr="007805F0" w:rsidRDefault="007805F0" w:rsidP="007805F0">
      <w:pPr>
        <w:widowControl/>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lastRenderedPageBreak/>
        <w:t>Así mismo, el comportamiento observado representa un reto significativo para la sostenibilidad financiera y operativa de UISALUD, debido al incremento progresivo de la carga de enfermedad, la complejidad clínica y la demanda de servicios especializados asociados a la longevidad de la población afiliada.</w:t>
      </w:r>
    </w:p>
    <w:p w14:paraId="6D22914E" w14:textId="77777777" w:rsidR="007805F0" w:rsidRPr="007805F0" w:rsidRDefault="007805F0" w:rsidP="007805F0">
      <w:pPr>
        <w:widowControl/>
        <w:autoSpaceDE/>
        <w:autoSpaceDN/>
        <w:spacing w:before="100" w:beforeAutospacing="1" w:after="100" w:afterAutospacing="1"/>
        <w:jc w:val="both"/>
        <w:rPr>
          <w:rFonts w:ascii="Humanst521 BT" w:eastAsia="Times New Roman" w:hAnsi="Humanst521 BT" w:cs="Times New Roman"/>
          <w:sz w:val="24"/>
          <w:szCs w:val="24"/>
          <w:lang w:val="es-CO" w:eastAsia="es-CO"/>
        </w:rPr>
      </w:pPr>
      <w:r w:rsidRPr="007805F0">
        <w:rPr>
          <w:rFonts w:ascii="Humanst521 BT" w:eastAsia="Times New Roman" w:hAnsi="Humanst521 BT" w:cs="Times New Roman"/>
          <w:sz w:val="24"/>
          <w:szCs w:val="24"/>
          <w:lang w:val="es-CO" w:eastAsia="es-CO"/>
        </w:rPr>
        <w:t>En conjunto, el perfil de mortalidad identificado es consistente con una población institucional altamente envejecida, con supervivencia prolongada y predominio de enfermedades crónicas degenerativas, situación que exige el fortalecimiento continuo de las estrategias de promoción de la salud, prevención de complicaciones, gestión del riesgo y atención integral centrada en el adulto mayor.</w:t>
      </w:r>
    </w:p>
    <w:p w14:paraId="1F49C3DE" w14:textId="7DEBDBCA" w:rsidR="0054679E" w:rsidRPr="007F0FA7" w:rsidRDefault="0054679E" w:rsidP="0054679E">
      <w:pPr>
        <w:pStyle w:val="Descripcin"/>
        <w:spacing w:line="240" w:lineRule="auto"/>
        <w:rPr>
          <w:rFonts w:ascii="Humanst521 BT" w:eastAsia="Verdana" w:hAnsi="Humanst521 BT" w:cs="Verdana"/>
          <w:color w:val="auto"/>
          <w:sz w:val="22"/>
          <w:szCs w:val="22"/>
          <w:lang w:val="es-ES"/>
        </w:rPr>
      </w:pPr>
      <w:bookmarkStart w:id="222" w:name="_Toc231286290"/>
      <w:r w:rsidRPr="007F0FA7">
        <w:rPr>
          <w:rFonts w:ascii="Humanst521 BT" w:eastAsia="Verdana" w:hAnsi="Humanst521 BT" w:cs="Verdana"/>
          <w:color w:val="auto"/>
          <w:sz w:val="22"/>
          <w:szCs w:val="22"/>
          <w:lang w:val="es-ES"/>
        </w:rPr>
        <w:t xml:space="preserve">Tabla </w:t>
      </w:r>
      <w:r w:rsidRPr="007F0FA7">
        <w:rPr>
          <w:rFonts w:ascii="Humanst521 BT" w:eastAsia="Verdana" w:hAnsi="Humanst521 BT" w:cs="Verdana"/>
          <w:color w:val="auto"/>
          <w:sz w:val="22"/>
          <w:szCs w:val="22"/>
          <w:lang w:val="es-ES"/>
        </w:rPr>
        <w:fldChar w:fldCharType="begin"/>
      </w:r>
      <w:r w:rsidRPr="007F0FA7">
        <w:rPr>
          <w:rFonts w:ascii="Humanst521 BT" w:eastAsia="Verdana" w:hAnsi="Humanst521 BT" w:cs="Verdana"/>
          <w:color w:val="auto"/>
          <w:sz w:val="22"/>
          <w:szCs w:val="22"/>
          <w:lang w:val="es-ES"/>
        </w:rPr>
        <w:instrText xml:space="preserve"> SEQ Tabla \* ARABIC </w:instrText>
      </w:r>
      <w:r w:rsidRPr="007F0FA7">
        <w:rPr>
          <w:rFonts w:ascii="Humanst521 BT" w:eastAsia="Verdana" w:hAnsi="Humanst521 BT" w:cs="Verdana"/>
          <w:color w:val="auto"/>
          <w:sz w:val="22"/>
          <w:szCs w:val="22"/>
          <w:lang w:val="es-ES"/>
        </w:rPr>
        <w:fldChar w:fldCharType="separate"/>
      </w:r>
      <w:r w:rsidR="00D92A24">
        <w:rPr>
          <w:rFonts w:ascii="Humanst521 BT" w:eastAsia="Verdana" w:hAnsi="Humanst521 BT" w:cs="Verdana"/>
          <w:noProof/>
          <w:color w:val="auto"/>
          <w:sz w:val="22"/>
          <w:szCs w:val="22"/>
          <w:lang w:val="es-ES"/>
        </w:rPr>
        <w:t>45</w:t>
      </w:r>
      <w:r w:rsidRPr="007F0FA7">
        <w:rPr>
          <w:rFonts w:ascii="Humanst521 BT" w:eastAsia="Verdana" w:hAnsi="Humanst521 BT" w:cs="Verdana"/>
          <w:color w:val="auto"/>
          <w:sz w:val="22"/>
          <w:szCs w:val="22"/>
          <w:lang w:val="es-ES"/>
        </w:rPr>
        <w:fldChar w:fldCharType="end"/>
      </w:r>
      <w:r w:rsidR="00D92A24">
        <w:rPr>
          <w:rFonts w:ascii="Humanst521 BT" w:eastAsia="Verdana" w:hAnsi="Humanst521 BT" w:cs="Verdana"/>
          <w:color w:val="auto"/>
          <w:sz w:val="22"/>
          <w:szCs w:val="22"/>
          <w:lang w:val="es-ES"/>
        </w:rPr>
        <w:t>.</w:t>
      </w:r>
      <w:r w:rsidRPr="007F0FA7">
        <w:rPr>
          <w:rFonts w:ascii="Humanst521 BT" w:eastAsia="Verdana" w:hAnsi="Humanst521 BT" w:cs="Verdana"/>
          <w:color w:val="auto"/>
          <w:sz w:val="22"/>
          <w:szCs w:val="22"/>
          <w:lang w:val="es-ES"/>
        </w:rPr>
        <w:t xml:space="preserve"> </w:t>
      </w:r>
      <w:r w:rsidR="0072493A">
        <w:rPr>
          <w:rFonts w:ascii="Humanst521 BT" w:eastAsia="Verdana" w:hAnsi="Humanst521 BT" w:cs="Verdana"/>
          <w:color w:val="auto"/>
          <w:sz w:val="22"/>
          <w:szCs w:val="22"/>
          <w:lang w:val="es-ES"/>
        </w:rPr>
        <w:t>M</w:t>
      </w:r>
      <w:r w:rsidRPr="007F0FA7">
        <w:rPr>
          <w:rFonts w:ascii="Humanst521 BT" w:eastAsia="Verdana" w:hAnsi="Humanst521 BT" w:cs="Verdana"/>
          <w:color w:val="auto"/>
          <w:sz w:val="22"/>
          <w:szCs w:val="22"/>
          <w:lang w:val="es-ES"/>
        </w:rPr>
        <w:t xml:space="preserve">ortalidad </w:t>
      </w:r>
      <w:r w:rsidR="0072493A">
        <w:rPr>
          <w:rFonts w:ascii="Humanst521 BT" w:eastAsia="Verdana" w:hAnsi="Humanst521 BT" w:cs="Verdana"/>
          <w:color w:val="auto"/>
          <w:sz w:val="22"/>
          <w:szCs w:val="22"/>
          <w:lang w:val="es-ES"/>
        </w:rPr>
        <w:t xml:space="preserve">– Grandes causas y subgrupos - </w:t>
      </w:r>
      <w:r w:rsidRPr="007F0FA7">
        <w:rPr>
          <w:rFonts w:ascii="Humanst521 BT" w:eastAsia="Verdana" w:hAnsi="Humanst521 BT" w:cs="Verdana"/>
          <w:color w:val="auto"/>
          <w:sz w:val="22"/>
          <w:szCs w:val="22"/>
          <w:lang w:val="es-ES"/>
        </w:rPr>
        <w:t>UISALUD Santander, 202</w:t>
      </w:r>
      <w:r>
        <w:rPr>
          <w:rFonts w:ascii="Humanst521 BT" w:eastAsia="Verdana" w:hAnsi="Humanst521 BT" w:cs="Verdana"/>
          <w:color w:val="auto"/>
          <w:sz w:val="22"/>
          <w:szCs w:val="22"/>
          <w:lang w:val="es-ES"/>
        </w:rPr>
        <w:t>4</w:t>
      </w:r>
      <w:bookmarkEnd w:id="222"/>
    </w:p>
    <w:tbl>
      <w:tblPr>
        <w:tblW w:w="8580" w:type="dxa"/>
        <w:tblCellMar>
          <w:left w:w="70" w:type="dxa"/>
          <w:right w:w="70" w:type="dxa"/>
        </w:tblCellMar>
        <w:tblLook w:val="04A0" w:firstRow="1" w:lastRow="0" w:firstColumn="1" w:lastColumn="0" w:noHBand="0" w:noVBand="1"/>
      </w:tblPr>
      <w:tblGrid>
        <w:gridCol w:w="1944"/>
        <w:gridCol w:w="3451"/>
        <w:gridCol w:w="875"/>
        <w:gridCol w:w="696"/>
        <w:gridCol w:w="683"/>
        <w:gridCol w:w="931"/>
      </w:tblGrid>
      <w:tr w:rsidR="000E67C3" w:rsidRPr="000E67C3" w14:paraId="392ECFBA" w14:textId="77777777" w:rsidTr="000E67C3">
        <w:trPr>
          <w:trHeight w:val="330"/>
        </w:trPr>
        <w:tc>
          <w:tcPr>
            <w:tcW w:w="1813" w:type="dxa"/>
            <w:vMerge w:val="restart"/>
            <w:tcBorders>
              <w:top w:val="single" w:sz="4" w:space="0" w:color="808080"/>
              <w:left w:val="single" w:sz="4" w:space="0" w:color="808080"/>
              <w:bottom w:val="single" w:sz="4" w:space="0" w:color="808080"/>
              <w:right w:val="single" w:sz="4" w:space="0" w:color="808080"/>
            </w:tcBorders>
            <w:shd w:val="clear" w:color="000000" w:fill="E2EFD9"/>
            <w:vAlign w:val="center"/>
            <w:hideMark/>
          </w:tcPr>
          <w:p w14:paraId="3ED86D28"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GRANDES GRUPOS</w:t>
            </w:r>
            <w:r w:rsidRPr="000E67C3">
              <w:rPr>
                <w:rFonts w:ascii="Humanst521 BT" w:eastAsia="Times New Roman" w:hAnsi="Humanst521 BT" w:cs="Calibri"/>
                <w:sz w:val="18"/>
                <w:szCs w:val="18"/>
                <w:lang w:val="es-CO" w:eastAsia="es-CO"/>
              </w:rPr>
              <w:t> </w:t>
            </w:r>
            <w:r w:rsidRPr="000E67C3">
              <w:rPr>
                <w:rFonts w:ascii="Humanst521 BT" w:eastAsia="Times New Roman" w:hAnsi="Humanst521 BT" w:cs="Calibri"/>
                <w:b/>
                <w:bCs/>
                <w:sz w:val="18"/>
                <w:szCs w:val="18"/>
                <w:lang w:val="es-CO" w:eastAsia="es-CO"/>
              </w:rPr>
              <w:t>(%acumulado)</w:t>
            </w:r>
          </w:p>
        </w:tc>
        <w:tc>
          <w:tcPr>
            <w:tcW w:w="3533" w:type="dxa"/>
            <w:vMerge w:val="restart"/>
            <w:tcBorders>
              <w:top w:val="single" w:sz="4" w:space="0" w:color="808080"/>
              <w:left w:val="single" w:sz="4" w:space="0" w:color="808080"/>
              <w:bottom w:val="single" w:sz="4" w:space="0" w:color="808080"/>
              <w:right w:val="single" w:sz="4" w:space="0" w:color="808080"/>
            </w:tcBorders>
            <w:shd w:val="clear" w:color="000000" w:fill="E2EFD9"/>
            <w:vAlign w:val="center"/>
            <w:hideMark/>
          </w:tcPr>
          <w:p w14:paraId="0FE07352"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SUBGRUPOS</w:t>
            </w:r>
            <w:r w:rsidRPr="000E67C3">
              <w:rPr>
                <w:rFonts w:ascii="Humanst521 BT" w:eastAsia="Times New Roman" w:hAnsi="Humanst521 BT" w:cs="Calibri"/>
                <w:sz w:val="18"/>
                <w:szCs w:val="18"/>
                <w:lang w:val="es-CO" w:eastAsia="es-CO"/>
              </w:rPr>
              <w:t> </w:t>
            </w:r>
          </w:p>
        </w:tc>
        <w:tc>
          <w:tcPr>
            <w:tcW w:w="1597" w:type="dxa"/>
            <w:gridSpan w:val="2"/>
            <w:tcBorders>
              <w:top w:val="single" w:sz="4" w:space="0" w:color="808080"/>
              <w:left w:val="nil"/>
              <w:bottom w:val="single" w:sz="4" w:space="0" w:color="808080"/>
              <w:right w:val="single" w:sz="4" w:space="0" w:color="808080"/>
            </w:tcBorders>
            <w:shd w:val="clear" w:color="000000" w:fill="E2EFD9"/>
            <w:vAlign w:val="center"/>
            <w:hideMark/>
          </w:tcPr>
          <w:p w14:paraId="30B4D7D3"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2023</w:t>
            </w:r>
          </w:p>
        </w:tc>
        <w:tc>
          <w:tcPr>
            <w:tcW w:w="1637" w:type="dxa"/>
            <w:gridSpan w:val="2"/>
            <w:tcBorders>
              <w:top w:val="single" w:sz="4" w:space="0" w:color="808080"/>
              <w:left w:val="nil"/>
              <w:bottom w:val="single" w:sz="4" w:space="0" w:color="808080"/>
              <w:right w:val="single" w:sz="4" w:space="0" w:color="808080"/>
            </w:tcBorders>
            <w:shd w:val="clear" w:color="000000" w:fill="E2EFD9"/>
            <w:vAlign w:val="center"/>
            <w:hideMark/>
          </w:tcPr>
          <w:p w14:paraId="24C8749F"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2024</w:t>
            </w:r>
          </w:p>
        </w:tc>
      </w:tr>
      <w:tr w:rsidR="000E67C3" w:rsidRPr="000E67C3" w14:paraId="234011E8" w14:textId="77777777" w:rsidTr="000E67C3">
        <w:trPr>
          <w:trHeight w:val="330"/>
        </w:trPr>
        <w:tc>
          <w:tcPr>
            <w:tcW w:w="1813" w:type="dxa"/>
            <w:vMerge/>
            <w:tcBorders>
              <w:top w:val="single" w:sz="4" w:space="0" w:color="808080"/>
              <w:left w:val="single" w:sz="4" w:space="0" w:color="808080"/>
              <w:bottom w:val="single" w:sz="4" w:space="0" w:color="808080"/>
              <w:right w:val="single" w:sz="4" w:space="0" w:color="808080"/>
            </w:tcBorders>
            <w:vAlign w:val="center"/>
            <w:hideMark/>
          </w:tcPr>
          <w:p w14:paraId="53E3F5D9" w14:textId="77777777" w:rsidR="000E67C3" w:rsidRPr="000E67C3" w:rsidRDefault="000E67C3" w:rsidP="000E67C3">
            <w:pPr>
              <w:widowControl/>
              <w:autoSpaceDE/>
              <w:autoSpaceDN/>
              <w:rPr>
                <w:rFonts w:ascii="Humanst521 BT" w:eastAsia="Times New Roman" w:hAnsi="Humanst521 BT" w:cs="Calibri"/>
                <w:b/>
                <w:bCs/>
                <w:sz w:val="18"/>
                <w:szCs w:val="18"/>
                <w:lang w:val="es-CO" w:eastAsia="es-CO"/>
              </w:rPr>
            </w:pPr>
          </w:p>
        </w:tc>
        <w:tc>
          <w:tcPr>
            <w:tcW w:w="3533" w:type="dxa"/>
            <w:vMerge/>
            <w:tcBorders>
              <w:top w:val="single" w:sz="4" w:space="0" w:color="808080"/>
              <w:left w:val="single" w:sz="4" w:space="0" w:color="808080"/>
              <w:bottom w:val="single" w:sz="4" w:space="0" w:color="808080"/>
              <w:right w:val="single" w:sz="4" w:space="0" w:color="808080"/>
            </w:tcBorders>
            <w:vAlign w:val="center"/>
            <w:hideMark/>
          </w:tcPr>
          <w:p w14:paraId="6B5B7985" w14:textId="77777777" w:rsidR="000E67C3" w:rsidRPr="000E67C3" w:rsidRDefault="000E67C3" w:rsidP="000E67C3">
            <w:pPr>
              <w:widowControl/>
              <w:autoSpaceDE/>
              <w:autoSpaceDN/>
              <w:rPr>
                <w:rFonts w:ascii="Humanst521 BT" w:eastAsia="Times New Roman" w:hAnsi="Humanst521 BT" w:cs="Calibri"/>
                <w:b/>
                <w:bCs/>
                <w:sz w:val="18"/>
                <w:szCs w:val="18"/>
                <w:lang w:val="es-CO" w:eastAsia="es-CO"/>
              </w:rPr>
            </w:pPr>
          </w:p>
        </w:tc>
        <w:tc>
          <w:tcPr>
            <w:tcW w:w="898" w:type="dxa"/>
            <w:tcBorders>
              <w:top w:val="nil"/>
              <w:left w:val="nil"/>
              <w:bottom w:val="single" w:sz="4" w:space="0" w:color="808080"/>
              <w:right w:val="single" w:sz="4" w:space="0" w:color="808080"/>
            </w:tcBorders>
            <w:shd w:val="clear" w:color="000000" w:fill="E2EFD9"/>
            <w:vAlign w:val="center"/>
            <w:hideMark/>
          </w:tcPr>
          <w:p w14:paraId="2F51CE8A"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w:t>
            </w:r>
            <w:r w:rsidRPr="000E67C3">
              <w:rPr>
                <w:rFonts w:ascii="Humanst521 BT" w:eastAsia="Times New Roman" w:hAnsi="Humanst521 BT" w:cs="Calibri"/>
                <w:sz w:val="18"/>
                <w:szCs w:val="18"/>
                <w:lang w:val="es-CO" w:eastAsia="es-CO"/>
              </w:rPr>
              <w:t> </w:t>
            </w:r>
          </w:p>
        </w:tc>
        <w:tc>
          <w:tcPr>
            <w:tcW w:w="699" w:type="dxa"/>
            <w:tcBorders>
              <w:top w:val="nil"/>
              <w:left w:val="nil"/>
              <w:bottom w:val="single" w:sz="4" w:space="0" w:color="808080"/>
              <w:right w:val="single" w:sz="4" w:space="0" w:color="808080"/>
            </w:tcBorders>
            <w:shd w:val="clear" w:color="000000" w:fill="E2EFD9"/>
            <w:vAlign w:val="center"/>
            <w:hideMark/>
          </w:tcPr>
          <w:p w14:paraId="706D5B46"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 Part.</w:t>
            </w:r>
            <w:r w:rsidRPr="000E67C3">
              <w:rPr>
                <w:rFonts w:ascii="Humanst521 BT" w:eastAsia="Times New Roman" w:hAnsi="Humanst521 BT" w:cs="Calibri"/>
                <w:sz w:val="18"/>
                <w:szCs w:val="18"/>
                <w:lang w:val="es-CO" w:eastAsia="es-CO"/>
              </w:rPr>
              <w:t> </w:t>
            </w:r>
          </w:p>
        </w:tc>
        <w:tc>
          <w:tcPr>
            <w:tcW w:w="698" w:type="dxa"/>
            <w:tcBorders>
              <w:top w:val="nil"/>
              <w:left w:val="nil"/>
              <w:bottom w:val="single" w:sz="4" w:space="0" w:color="808080"/>
              <w:right w:val="single" w:sz="4" w:space="0" w:color="808080"/>
            </w:tcBorders>
            <w:shd w:val="clear" w:color="000000" w:fill="E2EFD9"/>
            <w:vAlign w:val="center"/>
            <w:hideMark/>
          </w:tcPr>
          <w:p w14:paraId="2E536FC9"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w:t>
            </w:r>
            <w:r w:rsidRPr="000E67C3">
              <w:rPr>
                <w:rFonts w:ascii="Humanst521 BT" w:eastAsia="Times New Roman" w:hAnsi="Humanst521 BT" w:cs="Calibri"/>
                <w:sz w:val="18"/>
                <w:szCs w:val="18"/>
                <w:lang w:val="es-CO" w:eastAsia="es-CO"/>
              </w:rPr>
              <w:t> </w:t>
            </w:r>
          </w:p>
        </w:tc>
        <w:tc>
          <w:tcPr>
            <w:tcW w:w="939" w:type="dxa"/>
            <w:tcBorders>
              <w:top w:val="nil"/>
              <w:left w:val="nil"/>
              <w:bottom w:val="single" w:sz="4" w:space="0" w:color="808080"/>
              <w:right w:val="single" w:sz="4" w:space="0" w:color="808080"/>
            </w:tcBorders>
            <w:shd w:val="clear" w:color="000000" w:fill="E2EFD9"/>
            <w:vAlign w:val="center"/>
            <w:hideMark/>
          </w:tcPr>
          <w:p w14:paraId="51F44677"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 Part.</w:t>
            </w:r>
            <w:r w:rsidRPr="000E67C3">
              <w:rPr>
                <w:rFonts w:ascii="Humanst521 BT" w:eastAsia="Times New Roman" w:hAnsi="Humanst521 BT" w:cs="Calibri"/>
                <w:sz w:val="18"/>
                <w:szCs w:val="18"/>
                <w:lang w:val="es-CO" w:eastAsia="es-CO"/>
              </w:rPr>
              <w:t> </w:t>
            </w:r>
          </w:p>
        </w:tc>
      </w:tr>
      <w:tr w:rsidR="000E67C3" w:rsidRPr="000E67C3" w14:paraId="1E984C20" w14:textId="77777777" w:rsidTr="000E67C3">
        <w:trPr>
          <w:trHeight w:val="360"/>
        </w:trPr>
        <w:tc>
          <w:tcPr>
            <w:tcW w:w="181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6BFBC07A"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Condiciones transmisibles y nutricionales (21%) </w:t>
            </w:r>
          </w:p>
        </w:tc>
        <w:tc>
          <w:tcPr>
            <w:tcW w:w="3533" w:type="dxa"/>
            <w:tcBorders>
              <w:top w:val="nil"/>
              <w:left w:val="nil"/>
              <w:bottom w:val="single" w:sz="4" w:space="0" w:color="808080"/>
              <w:right w:val="single" w:sz="4" w:space="0" w:color="808080"/>
            </w:tcBorders>
            <w:shd w:val="clear" w:color="000000" w:fill="FFFFFF"/>
            <w:vAlign w:val="center"/>
            <w:hideMark/>
          </w:tcPr>
          <w:p w14:paraId="3414084D"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Infecciones respiratorias y otras infecciones </w:t>
            </w:r>
          </w:p>
        </w:tc>
        <w:tc>
          <w:tcPr>
            <w:tcW w:w="898" w:type="dxa"/>
            <w:tcBorders>
              <w:top w:val="nil"/>
              <w:left w:val="nil"/>
              <w:bottom w:val="single" w:sz="4" w:space="0" w:color="808080"/>
              <w:right w:val="single" w:sz="4" w:space="0" w:color="808080"/>
            </w:tcBorders>
            <w:shd w:val="clear" w:color="000000" w:fill="FFFFFF"/>
            <w:vAlign w:val="center"/>
            <w:hideMark/>
          </w:tcPr>
          <w:p w14:paraId="7F8F2EBC"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2</w:t>
            </w:r>
          </w:p>
        </w:tc>
        <w:tc>
          <w:tcPr>
            <w:tcW w:w="699" w:type="dxa"/>
            <w:tcBorders>
              <w:top w:val="nil"/>
              <w:left w:val="nil"/>
              <w:bottom w:val="single" w:sz="4" w:space="0" w:color="808080"/>
              <w:right w:val="single" w:sz="4" w:space="0" w:color="808080"/>
            </w:tcBorders>
            <w:shd w:val="clear" w:color="000000" w:fill="FFFFFF"/>
            <w:vAlign w:val="center"/>
            <w:hideMark/>
          </w:tcPr>
          <w:p w14:paraId="3300EE6A"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8,0%</w:t>
            </w:r>
          </w:p>
        </w:tc>
        <w:tc>
          <w:tcPr>
            <w:tcW w:w="698" w:type="dxa"/>
            <w:tcBorders>
              <w:top w:val="nil"/>
              <w:left w:val="nil"/>
              <w:bottom w:val="single" w:sz="4" w:space="0" w:color="808080"/>
              <w:right w:val="single" w:sz="4" w:space="0" w:color="808080"/>
            </w:tcBorders>
            <w:shd w:val="clear" w:color="000000" w:fill="FFFFFF"/>
            <w:vAlign w:val="center"/>
            <w:hideMark/>
          </w:tcPr>
          <w:p w14:paraId="45C725C2"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3</w:t>
            </w:r>
          </w:p>
        </w:tc>
        <w:tc>
          <w:tcPr>
            <w:tcW w:w="939" w:type="dxa"/>
            <w:tcBorders>
              <w:top w:val="nil"/>
              <w:left w:val="nil"/>
              <w:bottom w:val="single" w:sz="4" w:space="0" w:color="808080"/>
              <w:right w:val="single" w:sz="4" w:space="0" w:color="808080"/>
            </w:tcBorders>
            <w:shd w:val="clear" w:color="000000" w:fill="FFFFFF"/>
            <w:vAlign w:val="center"/>
            <w:hideMark/>
          </w:tcPr>
          <w:p w14:paraId="040067BC"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5,0%</w:t>
            </w:r>
          </w:p>
        </w:tc>
      </w:tr>
      <w:tr w:rsidR="000E67C3" w:rsidRPr="000E67C3" w14:paraId="3B9B9244"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53AD1D46"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EDEDED"/>
            <w:vAlign w:val="center"/>
            <w:hideMark/>
          </w:tcPr>
          <w:p w14:paraId="3348E25E"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Enfermedades infecciosas y parasitarias </w:t>
            </w:r>
          </w:p>
        </w:tc>
        <w:tc>
          <w:tcPr>
            <w:tcW w:w="898" w:type="dxa"/>
            <w:tcBorders>
              <w:top w:val="nil"/>
              <w:left w:val="nil"/>
              <w:bottom w:val="single" w:sz="4" w:space="0" w:color="808080"/>
              <w:right w:val="single" w:sz="4" w:space="0" w:color="808080"/>
            </w:tcBorders>
            <w:shd w:val="clear" w:color="000000" w:fill="EDEDED"/>
            <w:vAlign w:val="center"/>
            <w:hideMark/>
          </w:tcPr>
          <w:p w14:paraId="0E21051F"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699" w:type="dxa"/>
            <w:tcBorders>
              <w:top w:val="nil"/>
              <w:left w:val="nil"/>
              <w:bottom w:val="single" w:sz="4" w:space="0" w:color="808080"/>
              <w:right w:val="single" w:sz="4" w:space="0" w:color="808080"/>
            </w:tcBorders>
            <w:shd w:val="clear" w:color="000000" w:fill="EDEDED"/>
            <w:vAlign w:val="center"/>
            <w:hideMark/>
          </w:tcPr>
          <w:p w14:paraId="23CE28FD"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c>
          <w:tcPr>
            <w:tcW w:w="698" w:type="dxa"/>
            <w:tcBorders>
              <w:top w:val="nil"/>
              <w:left w:val="nil"/>
              <w:bottom w:val="single" w:sz="4" w:space="0" w:color="808080"/>
              <w:right w:val="single" w:sz="4" w:space="0" w:color="808080"/>
            </w:tcBorders>
            <w:shd w:val="clear" w:color="000000" w:fill="EDEDED"/>
            <w:vAlign w:val="center"/>
            <w:hideMark/>
          </w:tcPr>
          <w:p w14:paraId="37074AA0"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939" w:type="dxa"/>
            <w:tcBorders>
              <w:top w:val="nil"/>
              <w:left w:val="nil"/>
              <w:bottom w:val="single" w:sz="4" w:space="0" w:color="808080"/>
              <w:right w:val="single" w:sz="4" w:space="0" w:color="808080"/>
            </w:tcBorders>
            <w:shd w:val="clear" w:color="000000" w:fill="EDEDED"/>
            <w:vAlign w:val="center"/>
            <w:hideMark/>
          </w:tcPr>
          <w:p w14:paraId="2DC6B85D"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r>
      <w:tr w:rsidR="000E67C3" w:rsidRPr="000E67C3" w14:paraId="1C53A680" w14:textId="77777777" w:rsidTr="000E67C3">
        <w:trPr>
          <w:trHeight w:val="360"/>
        </w:trPr>
        <w:tc>
          <w:tcPr>
            <w:tcW w:w="1813" w:type="dxa"/>
            <w:vMerge w:val="restart"/>
            <w:tcBorders>
              <w:top w:val="nil"/>
              <w:left w:val="single" w:sz="4" w:space="0" w:color="808080"/>
              <w:bottom w:val="single" w:sz="4" w:space="0" w:color="808080"/>
              <w:right w:val="single" w:sz="4" w:space="0" w:color="808080"/>
            </w:tcBorders>
            <w:shd w:val="clear" w:color="000000" w:fill="FFFFFF"/>
            <w:vAlign w:val="center"/>
            <w:hideMark/>
          </w:tcPr>
          <w:p w14:paraId="5A47034F"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Enfermedades no transmisibles (75,4%) </w:t>
            </w:r>
          </w:p>
        </w:tc>
        <w:tc>
          <w:tcPr>
            <w:tcW w:w="3533" w:type="dxa"/>
            <w:tcBorders>
              <w:top w:val="nil"/>
              <w:left w:val="nil"/>
              <w:bottom w:val="single" w:sz="4" w:space="0" w:color="808080"/>
              <w:right w:val="single" w:sz="4" w:space="0" w:color="808080"/>
            </w:tcBorders>
            <w:shd w:val="clear" w:color="000000" w:fill="FFFFFF"/>
            <w:vAlign w:val="center"/>
            <w:hideMark/>
          </w:tcPr>
          <w:p w14:paraId="7156C7E9"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Enfermedades cardiovasculares </w:t>
            </w:r>
          </w:p>
        </w:tc>
        <w:tc>
          <w:tcPr>
            <w:tcW w:w="898" w:type="dxa"/>
            <w:tcBorders>
              <w:top w:val="nil"/>
              <w:left w:val="nil"/>
              <w:bottom w:val="single" w:sz="4" w:space="0" w:color="808080"/>
              <w:right w:val="single" w:sz="4" w:space="0" w:color="808080"/>
            </w:tcBorders>
            <w:shd w:val="clear" w:color="000000" w:fill="FFFFFF"/>
            <w:vAlign w:val="center"/>
            <w:hideMark/>
          </w:tcPr>
          <w:p w14:paraId="29402A29"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5</w:t>
            </w:r>
          </w:p>
        </w:tc>
        <w:tc>
          <w:tcPr>
            <w:tcW w:w="699" w:type="dxa"/>
            <w:tcBorders>
              <w:top w:val="nil"/>
              <w:left w:val="nil"/>
              <w:bottom w:val="single" w:sz="4" w:space="0" w:color="808080"/>
              <w:right w:val="single" w:sz="4" w:space="0" w:color="808080"/>
            </w:tcBorders>
            <w:shd w:val="clear" w:color="000000" w:fill="FFFFFF"/>
            <w:vAlign w:val="center"/>
            <w:hideMark/>
          </w:tcPr>
          <w:p w14:paraId="1D9E2BC2"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20,0%</w:t>
            </w:r>
          </w:p>
        </w:tc>
        <w:tc>
          <w:tcPr>
            <w:tcW w:w="698" w:type="dxa"/>
            <w:tcBorders>
              <w:top w:val="nil"/>
              <w:left w:val="nil"/>
              <w:bottom w:val="single" w:sz="4" w:space="0" w:color="808080"/>
              <w:right w:val="single" w:sz="4" w:space="0" w:color="808080"/>
            </w:tcBorders>
            <w:shd w:val="clear" w:color="000000" w:fill="FFFFFF"/>
            <w:vAlign w:val="center"/>
            <w:hideMark/>
          </w:tcPr>
          <w:p w14:paraId="5801622E"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5</w:t>
            </w:r>
          </w:p>
        </w:tc>
        <w:tc>
          <w:tcPr>
            <w:tcW w:w="939" w:type="dxa"/>
            <w:tcBorders>
              <w:top w:val="nil"/>
              <w:left w:val="nil"/>
              <w:bottom w:val="single" w:sz="4" w:space="0" w:color="808080"/>
              <w:right w:val="single" w:sz="4" w:space="0" w:color="808080"/>
            </w:tcBorders>
            <w:shd w:val="clear" w:color="000000" w:fill="FFFFFF"/>
            <w:vAlign w:val="center"/>
            <w:hideMark/>
          </w:tcPr>
          <w:p w14:paraId="48205B19"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15,0%</w:t>
            </w:r>
          </w:p>
        </w:tc>
      </w:tr>
      <w:tr w:rsidR="000E67C3" w:rsidRPr="000E67C3" w14:paraId="2D77D219"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50273CDD"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EDEDED"/>
            <w:vAlign w:val="center"/>
            <w:hideMark/>
          </w:tcPr>
          <w:p w14:paraId="0C56C540"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Neoplasia maligna </w:t>
            </w:r>
          </w:p>
        </w:tc>
        <w:tc>
          <w:tcPr>
            <w:tcW w:w="898" w:type="dxa"/>
            <w:tcBorders>
              <w:top w:val="nil"/>
              <w:left w:val="nil"/>
              <w:bottom w:val="single" w:sz="4" w:space="0" w:color="808080"/>
              <w:right w:val="single" w:sz="4" w:space="0" w:color="808080"/>
            </w:tcBorders>
            <w:shd w:val="clear" w:color="000000" w:fill="EDEDED"/>
            <w:vAlign w:val="center"/>
            <w:hideMark/>
          </w:tcPr>
          <w:p w14:paraId="77D9EF5B"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8</w:t>
            </w:r>
          </w:p>
        </w:tc>
        <w:tc>
          <w:tcPr>
            <w:tcW w:w="699" w:type="dxa"/>
            <w:tcBorders>
              <w:top w:val="nil"/>
              <w:left w:val="nil"/>
              <w:bottom w:val="single" w:sz="4" w:space="0" w:color="808080"/>
              <w:right w:val="single" w:sz="4" w:space="0" w:color="808080"/>
            </w:tcBorders>
            <w:shd w:val="clear" w:color="000000" w:fill="EDEDED"/>
            <w:vAlign w:val="center"/>
            <w:hideMark/>
          </w:tcPr>
          <w:p w14:paraId="7EC05E5B"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32,0%</w:t>
            </w:r>
          </w:p>
        </w:tc>
        <w:tc>
          <w:tcPr>
            <w:tcW w:w="698" w:type="dxa"/>
            <w:tcBorders>
              <w:top w:val="nil"/>
              <w:left w:val="nil"/>
              <w:bottom w:val="single" w:sz="4" w:space="0" w:color="808080"/>
              <w:right w:val="single" w:sz="4" w:space="0" w:color="808080"/>
            </w:tcBorders>
            <w:shd w:val="clear" w:color="000000" w:fill="EDEDED"/>
            <w:vAlign w:val="center"/>
            <w:hideMark/>
          </w:tcPr>
          <w:p w14:paraId="34F0C345"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9</w:t>
            </w:r>
          </w:p>
        </w:tc>
        <w:tc>
          <w:tcPr>
            <w:tcW w:w="939" w:type="dxa"/>
            <w:tcBorders>
              <w:top w:val="nil"/>
              <w:left w:val="nil"/>
              <w:bottom w:val="single" w:sz="4" w:space="0" w:color="808080"/>
              <w:right w:val="single" w:sz="4" w:space="0" w:color="808080"/>
            </w:tcBorders>
            <w:shd w:val="clear" w:color="000000" w:fill="EDEDED"/>
            <w:vAlign w:val="center"/>
            <w:hideMark/>
          </w:tcPr>
          <w:p w14:paraId="137FEB70"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40,0%</w:t>
            </w:r>
          </w:p>
        </w:tc>
      </w:tr>
      <w:tr w:rsidR="000E67C3" w:rsidRPr="000E67C3" w14:paraId="65FE6227"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68C3DB93"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FFFFFF"/>
            <w:vAlign w:val="center"/>
            <w:hideMark/>
          </w:tcPr>
          <w:p w14:paraId="3CCB9615"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 xml:space="preserve">Enfermedades del sistema </w:t>
            </w:r>
            <w:proofErr w:type="spellStart"/>
            <w:r w:rsidRPr="000E67C3">
              <w:rPr>
                <w:rFonts w:ascii="Humanst521 BT" w:eastAsia="Times New Roman" w:hAnsi="Humanst521 BT" w:cs="Calibri"/>
                <w:sz w:val="18"/>
                <w:szCs w:val="18"/>
                <w:lang w:val="es-CO" w:eastAsia="es-CO"/>
              </w:rPr>
              <w:t>genito</w:t>
            </w:r>
            <w:proofErr w:type="spellEnd"/>
            <w:r w:rsidRPr="000E67C3">
              <w:rPr>
                <w:rFonts w:ascii="Humanst521 BT" w:eastAsia="Times New Roman" w:hAnsi="Humanst521 BT" w:cs="Calibri"/>
                <w:sz w:val="18"/>
                <w:szCs w:val="18"/>
                <w:lang w:val="es-CO" w:eastAsia="es-CO"/>
              </w:rPr>
              <w:t>-urinario </w:t>
            </w:r>
          </w:p>
        </w:tc>
        <w:tc>
          <w:tcPr>
            <w:tcW w:w="898" w:type="dxa"/>
            <w:tcBorders>
              <w:top w:val="nil"/>
              <w:left w:val="nil"/>
              <w:bottom w:val="single" w:sz="4" w:space="0" w:color="808080"/>
              <w:right w:val="single" w:sz="4" w:space="0" w:color="808080"/>
            </w:tcBorders>
            <w:shd w:val="clear" w:color="000000" w:fill="FFFFFF"/>
            <w:vAlign w:val="center"/>
            <w:hideMark/>
          </w:tcPr>
          <w:p w14:paraId="69496AE2"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699" w:type="dxa"/>
            <w:tcBorders>
              <w:top w:val="nil"/>
              <w:left w:val="nil"/>
              <w:bottom w:val="single" w:sz="4" w:space="0" w:color="808080"/>
              <w:right w:val="single" w:sz="4" w:space="0" w:color="808080"/>
            </w:tcBorders>
            <w:shd w:val="clear" w:color="000000" w:fill="FFFFFF"/>
            <w:vAlign w:val="center"/>
            <w:hideMark/>
          </w:tcPr>
          <w:p w14:paraId="40965657"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c>
          <w:tcPr>
            <w:tcW w:w="698" w:type="dxa"/>
            <w:tcBorders>
              <w:top w:val="nil"/>
              <w:left w:val="nil"/>
              <w:bottom w:val="single" w:sz="4" w:space="0" w:color="808080"/>
              <w:right w:val="single" w:sz="4" w:space="0" w:color="808080"/>
            </w:tcBorders>
            <w:shd w:val="clear" w:color="000000" w:fill="FFFFFF"/>
            <w:vAlign w:val="center"/>
            <w:hideMark/>
          </w:tcPr>
          <w:p w14:paraId="627B1335"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939" w:type="dxa"/>
            <w:tcBorders>
              <w:top w:val="nil"/>
              <w:left w:val="nil"/>
              <w:bottom w:val="single" w:sz="4" w:space="0" w:color="808080"/>
              <w:right w:val="single" w:sz="4" w:space="0" w:color="808080"/>
            </w:tcBorders>
            <w:shd w:val="clear" w:color="000000" w:fill="FFFFFF"/>
            <w:vAlign w:val="center"/>
            <w:hideMark/>
          </w:tcPr>
          <w:p w14:paraId="269CBCA9"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r>
      <w:tr w:rsidR="000E67C3" w:rsidRPr="000E67C3" w14:paraId="30FE6E62"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6B086C4C"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EDEDED"/>
            <w:vAlign w:val="center"/>
            <w:hideMark/>
          </w:tcPr>
          <w:p w14:paraId="3D2FA2A9"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Enfermedades digestivas </w:t>
            </w:r>
          </w:p>
        </w:tc>
        <w:tc>
          <w:tcPr>
            <w:tcW w:w="898" w:type="dxa"/>
            <w:tcBorders>
              <w:top w:val="nil"/>
              <w:left w:val="nil"/>
              <w:bottom w:val="single" w:sz="4" w:space="0" w:color="808080"/>
              <w:right w:val="single" w:sz="4" w:space="0" w:color="808080"/>
            </w:tcBorders>
            <w:shd w:val="clear" w:color="000000" w:fill="EDEDED"/>
            <w:vAlign w:val="center"/>
            <w:hideMark/>
          </w:tcPr>
          <w:p w14:paraId="677FFB65"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699" w:type="dxa"/>
            <w:tcBorders>
              <w:top w:val="nil"/>
              <w:left w:val="nil"/>
              <w:bottom w:val="single" w:sz="4" w:space="0" w:color="808080"/>
              <w:right w:val="single" w:sz="4" w:space="0" w:color="808080"/>
            </w:tcBorders>
            <w:shd w:val="clear" w:color="000000" w:fill="EDEDED"/>
            <w:vAlign w:val="center"/>
            <w:hideMark/>
          </w:tcPr>
          <w:p w14:paraId="33DC2EE7"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c>
          <w:tcPr>
            <w:tcW w:w="698" w:type="dxa"/>
            <w:tcBorders>
              <w:top w:val="nil"/>
              <w:left w:val="nil"/>
              <w:bottom w:val="single" w:sz="4" w:space="0" w:color="808080"/>
              <w:right w:val="single" w:sz="4" w:space="0" w:color="808080"/>
            </w:tcBorders>
            <w:shd w:val="clear" w:color="000000" w:fill="EDEDED"/>
            <w:vAlign w:val="center"/>
            <w:hideMark/>
          </w:tcPr>
          <w:p w14:paraId="21002C43"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2</w:t>
            </w:r>
          </w:p>
        </w:tc>
        <w:tc>
          <w:tcPr>
            <w:tcW w:w="939" w:type="dxa"/>
            <w:tcBorders>
              <w:top w:val="nil"/>
              <w:left w:val="nil"/>
              <w:bottom w:val="single" w:sz="4" w:space="0" w:color="808080"/>
              <w:right w:val="single" w:sz="4" w:space="0" w:color="808080"/>
            </w:tcBorders>
            <w:shd w:val="clear" w:color="000000" w:fill="EDEDED"/>
            <w:vAlign w:val="center"/>
            <w:hideMark/>
          </w:tcPr>
          <w:p w14:paraId="1EAEBFBD"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10,0%</w:t>
            </w:r>
          </w:p>
        </w:tc>
      </w:tr>
      <w:tr w:rsidR="000E67C3" w:rsidRPr="000E67C3" w14:paraId="1409E2E6"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2BDD6C56"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FFFFFF"/>
            <w:vAlign w:val="center"/>
            <w:hideMark/>
          </w:tcPr>
          <w:p w14:paraId="6891E4B3"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 xml:space="preserve">Condiciones </w:t>
            </w:r>
            <w:proofErr w:type="spellStart"/>
            <w:r w:rsidRPr="000E67C3">
              <w:rPr>
                <w:rFonts w:ascii="Humanst521 BT" w:eastAsia="Times New Roman" w:hAnsi="Humanst521 BT" w:cs="Calibri"/>
                <w:sz w:val="18"/>
                <w:szCs w:val="18"/>
                <w:lang w:val="es-CO" w:eastAsia="es-CO"/>
              </w:rPr>
              <w:t>neuropsiquiatricas</w:t>
            </w:r>
            <w:proofErr w:type="spellEnd"/>
          </w:p>
        </w:tc>
        <w:tc>
          <w:tcPr>
            <w:tcW w:w="898" w:type="dxa"/>
            <w:tcBorders>
              <w:top w:val="nil"/>
              <w:left w:val="nil"/>
              <w:bottom w:val="single" w:sz="4" w:space="0" w:color="808080"/>
              <w:right w:val="single" w:sz="4" w:space="0" w:color="808080"/>
            </w:tcBorders>
            <w:shd w:val="clear" w:color="000000" w:fill="FFFFFF"/>
            <w:vAlign w:val="center"/>
            <w:hideMark/>
          </w:tcPr>
          <w:p w14:paraId="3FFF8F7A"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5</w:t>
            </w:r>
          </w:p>
        </w:tc>
        <w:tc>
          <w:tcPr>
            <w:tcW w:w="699" w:type="dxa"/>
            <w:tcBorders>
              <w:top w:val="nil"/>
              <w:left w:val="nil"/>
              <w:bottom w:val="single" w:sz="4" w:space="0" w:color="808080"/>
              <w:right w:val="single" w:sz="4" w:space="0" w:color="808080"/>
            </w:tcBorders>
            <w:shd w:val="clear" w:color="000000" w:fill="FFFFFF"/>
            <w:vAlign w:val="center"/>
            <w:hideMark/>
          </w:tcPr>
          <w:p w14:paraId="4A301D1A"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20,0%</w:t>
            </w:r>
          </w:p>
        </w:tc>
        <w:tc>
          <w:tcPr>
            <w:tcW w:w="698" w:type="dxa"/>
            <w:tcBorders>
              <w:top w:val="nil"/>
              <w:left w:val="nil"/>
              <w:bottom w:val="single" w:sz="4" w:space="0" w:color="808080"/>
              <w:right w:val="single" w:sz="4" w:space="0" w:color="808080"/>
            </w:tcBorders>
            <w:shd w:val="clear" w:color="000000" w:fill="FFFFFF"/>
            <w:vAlign w:val="center"/>
            <w:hideMark/>
          </w:tcPr>
          <w:p w14:paraId="32D949DC"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5</w:t>
            </w:r>
          </w:p>
        </w:tc>
        <w:tc>
          <w:tcPr>
            <w:tcW w:w="939" w:type="dxa"/>
            <w:tcBorders>
              <w:top w:val="nil"/>
              <w:left w:val="nil"/>
              <w:bottom w:val="single" w:sz="4" w:space="0" w:color="808080"/>
              <w:right w:val="single" w:sz="4" w:space="0" w:color="808080"/>
            </w:tcBorders>
            <w:shd w:val="clear" w:color="000000" w:fill="FFFFFF"/>
            <w:vAlign w:val="center"/>
            <w:hideMark/>
          </w:tcPr>
          <w:p w14:paraId="54F34779"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20,0%</w:t>
            </w:r>
          </w:p>
        </w:tc>
      </w:tr>
      <w:tr w:rsidR="000E67C3" w:rsidRPr="000E67C3" w14:paraId="090CCCAD"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5A524148"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EDEDED"/>
            <w:vAlign w:val="center"/>
            <w:hideMark/>
          </w:tcPr>
          <w:p w14:paraId="209F5C0C"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Enfermedades respiratorias </w:t>
            </w:r>
          </w:p>
        </w:tc>
        <w:tc>
          <w:tcPr>
            <w:tcW w:w="898" w:type="dxa"/>
            <w:tcBorders>
              <w:top w:val="nil"/>
              <w:left w:val="nil"/>
              <w:bottom w:val="single" w:sz="4" w:space="0" w:color="808080"/>
              <w:right w:val="single" w:sz="4" w:space="0" w:color="808080"/>
            </w:tcBorders>
            <w:shd w:val="clear" w:color="000000" w:fill="EDEDED"/>
            <w:vAlign w:val="center"/>
            <w:hideMark/>
          </w:tcPr>
          <w:p w14:paraId="1C9AF9A0"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1</w:t>
            </w:r>
          </w:p>
        </w:tc>
        <w:tc>
          <w:tcPr>
            <w:tcW w:w="699" w:type="dxa"/>
            <w:tcBorders>
              <w:top w:val="nil"/>
              <w:left w:val="nil"/>
              <w:bottom w:val="single" w:sz="4" w:space="0" w:color="808080"/>
              <w:right w:val="single" w:sz="4" w:space="0" w:color="808080"/>
            </w:tcBorders>
            <w:shd w:val="clear" w:color="000000" w:fill="EDEDED"/>
            <w:vAlign w:val="center"/>
            <w:hideMark/>
          </w:tcPr>
          <w:p w14:paraId="00672A9F"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4,0%</w:t>
            </w:r>
          </w:p>
        </w:tc>
        <w:tc>
          <w:tcPr>
            <w:tcW w:w="698" w:type="dxa"/>
            <w:tcBorders>
              <w:top w:val="nil"/>
              <w:left w:val="nil"/>
              <w:bottom w:val="single" w:sz="4" w:space="0" w:color="808080"/>
              <w:right w:val="single" w:sz="4" w:space="0" w:color="808080"/>
            </w:tcBorders>
            <w:shd w:val="clear" w:color="000000" w:fill="EDEDED"/>
            <w:vAlign w:val="center"/>
            <w:hideMark/>
          </w:tcPr>
          <w:p w14:paraId="10DAD1C8"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1</w:t>
            </w:r>
          </w:p>
        </w:tc>
        <w:tc>
          <w:tcPr>
            <w:tcW w:w="939" w:type="dxa"/>
            <w:tcBorders>
              <w:top w:val="nil"/>
              <w:left w:val="nil"/>
              <w:bottom w:val="single" w:sz="4" w:space="0" w:color="808080"/>
              <w:right w:val="single" w:sz="4" w:space="0" w:color="808080"/>
            </w:tcBorders>
            <w:shd w:val="clear" w:color="000000" w:fill="EDEDED"/>
            <w:vAlign w:val="center"/>
            <w:hideMark/>
          </w:tcPr>
          <w:p w14:paraId="35AEAC17"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5,0%</w:t>
            </w:r>
          </w:p>
        </w:tc>
      </w:tr>
      <w:tr w:rsidR="000E67C3" w:rsidRPr="000E67C3" w14:paraId="6BBE23E7"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4B14B821"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FFFFFF"/>
            <w:vAlign w:val="center"/>
            <w:hideMark/>
          </w:tcPr>
          <w:p w14:paraId="74E89510"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Desordenes endocrinos</w:t>
            </w:r>
          </w:p>
        </w:tc>
        <w:tc>
          <w:tcPr>
            <w:tcW w:w="898" w:type="dxa"/>
            <w:tcBorders>
              <w:top w:val="nil"/>
              <w:left w:val="nil"/>
              <w:bottom w:val="single" w:sz="4" w:space="0" w:color="808080"/>
              <w:right w:val="single" w:sz="4" w:space="0" w:color="808080"/>
            </w:tcBorders>
            <w:shd w:val="clear" w:color="000000" w:fill="FFFFFF"/>
            <w:vAlign w:val="center"/>
            <w:hideMark/>
          </w:tcPr>
          <w:p w14:paraId="19AB872B"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1</w:t>
            </w:r>
          </w:p>
        </w:tc>
        <w:tc>
          <w:tcPr>
            <w:tcW w:w="699" w:type="dxa"/>
            <w:tcBorders>
              <w:top w:val="nil"/>
              <w:left w:val="nil"/>
              <w:bottom w:val="single" w:sz="4" w:space="0" w:color="808080"/>
              <w:right w:val="single" w:sz="4" w:space="0" w:color="808080"/>
            </w:tcBorders>
            <w:shd w:val="clear" w:color="000000" w:fill="FFFFFF"/>
            <w:vAlign w:val="center"/>
            <w:hideMark/>
          </w:tcPr>
          <w:p w14:paraId="646D35F0"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4,0%</w:t>
            </w:r>
          </w:p>
        </w:tc>
        <w:tc>
          <w:tcPr>
            <w:tcW w:w="698" w:type="dxa"/>
            <w:tcBorders>
              <w:top w:val="nil"/>
              <w:left w:val="nil"/>
              <w:bottom w:val="single" w:sz="4" w:space="0" w:color="808080"/>
              <w:right w:val="single" w:sz="4" w:space="0" w:color="808080"/>
            </w:tcBorders>
            <w:shd w:val="clear" w:color="000000" w:fill="FFFFFF"/>
            <w:vAlign w:val="center"/>
            <w:hideMark/>
          </w:tcPr>
          <w:p w14:paraId="4CBB36AA"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939" w:type="dxa"/>
            <w:tcBorders>
              <w:top w:val="nil"/>
              <w:left w:val="nil"/>
              <w:bottom w:val="single" w:sz="4" w:space="0" w:color="808080"/>
              <w:right w:val="single" w:sz="4" w:space="0" w:color="808080"/>
            </w:tcBorders>
            <w:shd w:val="clear" w:color="000000" w:fill="FFFFFF"/>
            <w:vAlign w:val="center"/>
            <w:hideMark/>
          </w:tcPr>
          <w:p w14:paraId="452D08F9"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r>
      <w:tr w:rsidR="000E67C3" w:rsidRPr="000E67C3" w14:paraId="6097F8D8"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787440E3"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EDEDED"/>
            <w:vAlign w:val="center"/>
            <w:hideMark/>
          </w:tcPr>
          <w:p w14:paraId="1EEA3AEE"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Diabetes</w:t>
            </w:r>
          </w:p>
        </w:tc>
        <w:tc>
          <w:tcPr>
            <w:tcW w:w="898" w:type="dxa"/>
            <w:tcBorders>
              <w:top w:val="nil"/>
              <w:left w:val="nil"/>
              <w:bottom w:val="single" w:sz="4" w:space="0" w:color="808080"/>
              <w:right w:val="single" w:sz="4" w:space="0" w:color="808080"/>
            </w:tcBorders>
            <w:shd w:val="clear" w:color="000000" w:fill="EDEDED"/>
            <w:vAlign w:val="center"/>
            <w:hideMark/>
          </w:tcPr>
          <w:p w14:paraId="1AE376AF"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2</w:t>
            </w:r>
          </w:p>
        </w:tc>
        <w:tc>
          <w:tcPr>
            <w:tcW w:w="699" w:type="dxa"/>
            <w:tcBorders>
              <w:top w:val="nil"/>
              <w:left w:val="nil"/>
              <w:bottom w:val="single" w:sz="4" w:space="0" w:color="808080"/>
              <w:right w:val="single" w:sz="4" w:space="0" w:color="808080"/>
            </w:tcBorders>
            <w:shd w:val="clear" w:color="000000" w:fill="EDEDED"/>
            <w:vAlign w:val="center"/>
            <w:hideMark/>
          </w:tcPr>
          <w:p w14:paraId="234CD039"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8,0%</w:t>
            </w:r>
          </w:p>
        </w:tc>
        <w:tc>
          <w:tcPr>
            <w:tcW w:w="698" w:type="dxa"/>
            <w:tcBorders>
              <w:top w:val="nil"/>
              <w:left w:val="nil"/>
              <w:bottom w:val="single" w:sz="4" w:space="0" w:color="808080"/>
              <w:right w:val="single" w:sz="4" w:space="0" w:color="808080"/>
            </w:tcBorders>
            <w:shd w:val="clear" w:color="000000" w:fill="EDEDED"/>
            <w:vAlign w:val="center"/>
            <w:hideMark/>
          </w:tcPr>
          <w:p w14:paraId="54DCDA78"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939" w:type="dxa"/>
            <w:tcBorders>
              <w:top w:val="nil"/>
              <w:left w:val="nil"/>
              <w:bottom w:val="single" w:sz="4" w:space="0" w:color="808080"/>
              <w:right w:val="single" w:sz="4" w:space="0" w:color="808080"/>
            </w:tcBorders>
            <w:shd w:val="clear" w:color="000000" w:fill="EDEDED"/>
            <w:vAlign w:val="center"/>
            <w:hideMark/>
          </w:tcPr>
          <w:p w14:paraId="37B61D8A"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r>
      <w:tr w:rsidR="000E67C3" w:rsidRPr="000E67C3" w14:paraId="276EE798" w14:textId="77777777" w:rsidTr="000E67C3">
        <w:trPr>
          <w:trHeight w:val="360"/>
        </w:trPr>
        <w:tc>
          <w:tcPr>
            <w:tcW w:w="1813" w:type="dxa"/>
            <w:vMerge/>
            <w:tcBorders>
              <w:top w:val="nil"/>
              <w:left w:val="single" w:sz="4" w:space="0" w:color="808080"/>
              <w:bottom w:val="single" w:sz="4" w:space="0" w:color="808080"/>
              <w:right w:val="single" w:sz="4" w:space="0" w:color="808080"/>
            </w:tcBorders>
            <w:vAlign w:val="center"/>
            <w:hideMark/>
          </w:tcPr>
          <w:p w14:paraId="41325BC6" w14:textId="77777777" w:rsidR="000E67C3" w:rsidRPr="000E67C3" w:rsidRDefault="000E67C3" w:rsidP="000E67C3">
            <w:pPr>
              <w:widowControl/>
              <w:autoSpaceDE/>
              <w:autoSpaceDN/>
              <w:rPr>
                <w:rFonts w:ascii="Humanst521 BT" w:eastAsia="Times New Roman" w:hAnsi="Humanst521 BT" w:cs="Calibri"/>
                <w:sz w:val="18"/>
                <w:szCs w:val="18"/>
                <w:lang w:val="es-CO" w:eastAsia="es-CO"/>
              </w:rPr>
            </w:pPr>
          </w:p>
        </w:tc>
        <w:tc>
          <w:tcPr>
            <w:tcW w:w="3533" w:type="dxa"/>
            <w:tcBorders>
              <w:top w:val="nil"/>
              <w:left w:val="nil"/>
              <w:bottom w:val="single" w:sz="4" w:space="0" w:color="808080"/>
              <w:right w:val="single" w:sz="4" w:space="0" w:color="808080"/>
            </w:tcBorders>
            <w:shd w:val="clear" w:color="000000" w:fill="FFFFFF"/>
            <w:vAlign w:val="center"/>
            <w:hideMark/>
          </w:tcPr>
          <w:p w14:paraId="43F78496"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proofErr w:type="spellStart"/>
            <w:r w:rsidRPr="000E67C3">
              <w:rPr>
                <w:rFonts w:ascii="Humanst521 BT" w:eastAsia="Times New Roman" w:hAnsi="Humanst521 BT" w:cs="Calibri"/>
                <w:sz w:val="18"/>
                <w:szCs w:val="18"/>
                <w:lang w:val="es-CO" w:eastAsia="es-CO"/>
              </w:rPr>
              <w:t>Anomalia</w:t>
            </w:r>
            <w:proofErr w:type="spellEnd"/>
            <w:r w:rsidRPr="000E67C3">
              <w:rPr>
                <w:rFonts w:ascii="Humanst521 BT" w:eastAsia="Times New Roman" w:hAnsi="Humanst521 BT" w:cs="Calibri"/>
                <w:sz w:val="18"/>
                <w:szCs w:val="18"/>
                <w:lang w:val="es-CO" w:eastAsia="es-CO"/>
              </w:rPr>
              <w:t xml:space="preserve"> congénita </w:t>
            </w:r>
          </w:p>
        </w:tc>
        <w:tc>
          <w:tcPr>
            <w:tcW w:w="898" w:type="dxa"/>
            <w:tcBorders>
              <w:top w:val="nil"/>
              <w:left w:val="nil"/>
              <w:bottom w:val="single" w:sz="4" w:space="0" w:color="808080"/>
              <w:right w:val="single" w:sz="4" w:space="0" w:color="808080"/>
            </w:tcBorders>
            <w:shd w:val="clear" w:color="000000" w:fill="FFFFFF"/>
            <w:vAlign w:val="center"/>
            <w:hideMark/>
          </w:tcPr>
          <w:p w14:paraId="09A6372D"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1</w:t>
            </w:r>
          </w:p>
        </w:tc>
        <w:tc>
          <w:tcPr>
            <w:tcW w:w="699" w:type="dxa"/>
            <w:tcBorders>
              <w:top w:val="nil"/>
              <w:left w:val="nil"/>
              <w:bottom w:val="single" w:sz="4" w:space="0" w:color="808080"/>
              <w:right w:val="single" w:sz="4" w:space="0" w:color="808080"/>
            </w:tcBorders>
            <w:shd w:val="clear" w:color="000000" w:fill="FFFFFF"/>
            <w:vAlign w:val="center"/>
            <w:hideMark/>
          </w:tcPr>
          <w:p w14:paraId="489F742B"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4,0%</w:t>
            </w:r>
          </w:p>
        </w:tc>
        <w:tc>
          <w:tcPr>
            <w:tcW w:w="698" w:type="dxa"/>
            <w:tcBorders>
              <w:top w:val="nil"/>
              <w:left w:val="nil"/>
              <w:bottom w:val="single" w:sz="4" w:space="0" w:color="808080"/>
              <w:right w:val="single" w:sz="4" w:space="0" w:color="808080"/>
            </w:tcBorders>
            <w:shd w:val="clear" w:color="000000" w:fill="FFFFFF"/>
            <w:vAlign w:val="center"/>
            <w:hideMark/>
          </w:tcPr>
          <w:p w14:paraId="28385FA7"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1</w:t>
            </w:r>
          </w:p>
        </w:tc>
        <w:tc>
          <w:tcPr>
            <w:tcW w:w="939" w:type="dxa"/>
            <w:tcBorders>
              <w:top w:val="nil"/>
              <w:left w:val="nil"/>
              <w:bottom w:val="single" w:sz="4" w:space="0" w:color="808080"/>
              <w:right w:val="single" w:sz="4" w:space="0" w:color="808080"/>
            </w:tcBorders>
            <w:shd w:val="clear" w:color="000000" w:fill="FFFFFF"/>
            <w:vAlign w:val="center"/>
            <w:hideMark/>
          </w:tcPr>
          <w:p w14:paraId="15BA4ED4"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5,0%</w:t>
            </w:r>
          </w:p>
        </w:tc>
      </w:tr>
      <w:tr w:rsidR="000E67C3" w:rsidRPr="000E67C3" w14:paraId="719558EC" w14:textId="77777777" w:rsidTr="000E67C3">
        <w:trPr>
          <w:trHeight w:val="330"/>
        </w:trPr>
        <w:tc>
          <w:tcPr>
            <w:tcW w:w="1813" w:type="dxa"/>
            <w:tcBorders>
              <w:top w:val="nil"/>
              <w:left w:val="single" w:sz="4" w:space="0" w:color="808080"/>
              <w:bottom w:val="single" w:sz="4" w:space="0" w:color="808080"/>
              <w:right w:val="single" w:sz="4" w:space="0" w:color="808080"/>
            </w:tcBorders>
            <w:shd w:val="clear" w:color="000000" w:fill="FFFFFF"/>
            <w:vAlign w:val="center"/>
            <w:hideMark/>
          </w:tcPr>
          <w:p w14:paraId="64B77E1F"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Lesiones (3%) </w:t>
            </w:r>
          </w:p>
        </w:tc>
        <w:tc>
          <w:tcPr>
            <w:tcW w:w="3533" w:type="dxa"/>
            <w:tcBorders>
              <w:top w:val="nil"/>
              <w:left w:val="nil"/>
              <w:bottom w:val="single" w:sz="4" w:space="0" w:color="808080"/>
              <w:right w:val="single" w:sz="4" w:space="0" w:color="808080"/>
            </w:tcBorders>
            <w:shd w:val="clear" w:color="000000" w:fill="EDEDED"/>
            <w:vAlign w:val="center"/>
            <w:hideMark/>
          </w:tcPr>
          <w:p w14:paraId="6E6E452C"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 xml:space="preserve">Lesiones no </w:t>
            </w:r>
            <w:proofErr w:type="gramStart"/>
            <w:r w:rsidRPr="000E67C3">
              <w:rPr>
                <w:rFonts w:ascii="Humanst521 BT" w:eastAsia="Times New Roman" w:hAnsi="Humanst521 BT" w:cs="Calibri"/>
                <w:sz w:val="18"/>
                <w:szCs w:val="18"/>
                <w:lang w:val="es-CO" w:eastAsia="es-CO"/>
              </w:rPr>
              <w:t>intencionales  -</w:t>
            </w:r>
            <w:proofErr w:type="gramEnd"/>
            <w:r w:rsidRPr="000E67C3">
              <w:rPr>
                <w:rFonts w:ascii="Humanst521 BT" w:eastAsia="Times New Roman" w:hAnsi="Humanst521 BT" w:cs="Calibri"/>
                <w:sz w:val="18"/>
                <w:szCs w:val="18"/>
                <w:lang w:val="es-CO" w:eastAsia="es-CO"/>
              </w:rPr>
              <w:t xml:space="preserve"> Traumatismos</w:t>
            </w:r>
          </w:p>
        </w:tc>
        <w:tc>
          <w:tcPr>
            <w:tcW w:w="898" w:type="dxa"/>
            <w:tcBorders>
              <w:top w:val="nil"/>
              <w:left w:val="nil"/>
              <w:bottom w:val="single" w:sz="4" w:space="0" w:color="808080"/>
              <w:right w:val="single" w:sz="4" w:space="0" w:color="808080"/>
            </w:tcBorders>
            <w:shd w:val="clear" w:color="000000" w:fill="EDEDED"/>
            <w:vAlign w:val="center"/>
            <w:hideMark/>
          </w:tcPr>
          <w:p w14:paraId="1760A7FE"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699" w:type="dxa"/>
            <w:tcBorders>
              <w:top w:val="nil"/>
              <w:left w:val="nil"/>
              <w:bottom w:val="single" w:sz="4" w:space="0" w:color="808080"/>
              <w:right w:val="single" w:sz="4" w:space="0" w:color="808080"/>
            </w:tcBorders>
            <w:shd w:val="clear" w:color="000000" w:fill="EDEDED"/>
            <w:vAlign w:val="center"/>
            <w:hideMark/>
          </w:tcPr>
          <w:p w14:paraId="72196A40"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c>
          <w:tcPr>
            <w:tcW w:w="698" w:type="dxa"/>
            <w:tcBorders>
              <w:top w:val="nil"/>
              <w:left w:val="nil"/>
              <w:bottom w:val="single" w:sz="4" w:space="0" w:color="808080"/>
              <w:right w:val="single" w:sz="4" w:space="0" w:color="808080"/>
            </w:tcBorders>
            <w:shd w:val="clear" w:color="000000" w:fill="EDEDED"/>
            <w:vAlign w:val="center"/>
            <w:hideMark/>
          </w:tcPr>
          <w:p w14:paraId="540E152E"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w:t>
            </w:r>
          </w:p>
        </w:tc>
        <w:tc>
          <w:tcPr>
            <w:tcW w:w="939" w:type="dxa"/>
            <w:tcBorders>
              <w:top w:val="nil"/>
              <w:left w:val="nil"/>
              <w:bottom w:val="single" w:sz="4" w:space="0" w:color="808080"/>
              <w:right w:val="single" w:sz="4" w:space="0" w:color="808080"/>
            </w:tcBorders>
            <w:shd w:val="clear" w:color="000000" w:fill="EDEDED"/>
            <w:vAlign w:val="center"/>
            <w:hideMark/>
          </w:tcPr>
          <w:p w14:paraId="3B4F7056" w14:textId="77777777" w:rsidR="000E67C3" w:rsidRPr="000E67C3" w:rsidRDefault="000E67C3" w:rsidP="000E67C3">
            <w:pPr>
              <w:widowControl/>
              <w:autoSpaceDE/>
              <w:autoSpaceDN/>
              <w:jc w:val="center"/>
              <w:rPr>
                <w:rFonts w:ascii="Humanst521 BT" w:eastAsia="Times New Roman" w:hAnsi="Humanst521 BT" w:cs="Calibri"/>
                <w:sz w:val="18"/>
                <w:szCs w:val="18"/>
                <w:lang w:val="es-CO" w:eastAsia="es-CO"/>
              </w:rPr>
            </w:pPr>
            <w:r w:rsidRPr="000E67C3">
              <w:rPr>
                <w:rFonts w:ascii="Humanst521 BT" w:eastAsia="Times New Roman" w:hAnsi="Humanst521 BT" w:cs="Calibri"/>
                <w:sz w:val="18"/>
                <w:szCs w:val="18"/>
                <w:lang w:val="es-CO" w:eastAsia="es-CO"/>
              </w:rPr>
              <w:t>0,0%</w:t>
            </w:r>
          </w:p>
        </w:tc>
      </w:tr>
      <w:tr w:rsidR="000E67C3" w:rsidRPr="000E67C3" w14:paraId="45C7AD1E" w14:textId="77777777" w:rsidTr="000E67C3">
        <w:trPr>
          <w:trHeight w:val="360"/>
        </w:trPr>
        <w:tc>
          <w:tcPr>
            <w:tcW w:w="5346" w:type="dxa"/>
            <w:gridSpan w:val="2"/>
            <w:tcBorders>
              <w:top w:val="single" w:sz="4" w:space="0" w:color="808080"/>
              <w:left w:val="single" w:sz="4" w:space="0" w:color="808080"/>
              <w:bottom w:val="single" w:sz="4" w:space="0" w:color="808080"/>
              <w:right w:val="single" w:sz="4" w:space="0" w:color="808080"/>
            </w:tcBorders>
            <w:shd w:val="clear" w:color="000000" w:fill="E2EFDA"/>
            <w:vAlign w:val="center"/>
            <w:hideMark/>
          </w:tcPr>
          <w:p w14:paraId="09815318"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Total</w:t>
            </w:r>
            <w:r w:rsidRPr="000E67C3">
              <w:rPr>
                <w:rFonts w:ascii="Humanst521 BT" w:eastAsia="Times New Roman" w:hAnsi="Humanst521 BT" w:cs="Calibri"/>
                <w:sz w:val="18"/>
                <w:szCs w:val="18"/>
                <w:lang w:val="es-CO" w:eastAsia="es-CO"/>
              </w:rPr>
              <w:t> </w:t>
            </w:r>
          </w:p>
        </w:tc>
        <w:tc>
          <w:tcPr>
            <w:tcW w:w="898" w:type="dxa"/>
            <w:tcBorders>
              <w:top w:val="nil"/>
              <w:left w:val="nil"/>
              <w:bottom w:val="single" w:sz="4" w:space="0" w:color="808080"/>
              <w:right w:val="single" w:sz="4" w:space="0" w:color="808080"/>
            </w:tcBorders>
            <w:shd w:val="clear" w:color="000000" w:fill="E2EFDA"/>
            <w:vAlign w:val="center"/>
            <w:hideMark/>
          </w:tcPr>
          <w:p w14:paraId="415D6ED9"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25</w:t>
            </w:r>
          </w:p>
        </w:tc>
        <w:tc>
          <w:tcPr>
            <w:tcW w:w="699" w:type="dxa"/>
            <w:tcBorders>
              <w:top w:val="nil"/>
              <w:left w:val="nil"/>
              <w:bottom w:val="single" w:sz="4" w:space="0" w:color="808080"/>
              <w:right w:val="single" w:sz="4" w:space="0" w:color="808080"/>
            </w:tcBorders>
            <w:shd w:val="clear" w:color="000000" w:fill="E2EFDA"/>
            <w:vAlign w:val="center"/>
            <w:hideMark/>
          </w:tcPr>
          <w:p w14:paraId="38725E56"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100%</w:t>
            </w:r>
          </w:p>
        </w:tc>
        <w:tc>
          <w:tcPr>
            <w:tcW w:w="698" w:type="dxa"/>
            <w:tcBorders>
              <w:top w:val="nil"/>
              <w:left w:val="nil"/>
              <w:bottom w:val="single" w:sz="4" w:space="0" w:color="808080"/>
              <w:right w:val="single" w:sz="4" w:space="0" w:color="808080"/>
            </w:tcBorders>
            <w:shd w:val="clear" w:color="000000" w:fill="E2EFDA"/>
            <w:vAlign w:val="center"/>
            <w:hideMark/>
          </w:tcPr>
          <w:p w14:paraId="1699EB7A"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26</w:t>
            </w:r>
          </w:p>
        </w:tc>
        <w:tc>
          <w:tcPr>
            <w:tcW w:w="939" w:type="dxa"/>
            <w:tcBorders>
              <w:top w:val="nil"/>
              <w:left w:val="nil"/>
              <w:bottom w:val="single" w:sz="4" w:space="0" w:color="808080"/>
              <w:right w:val="single" w:sz="4" w:space="0" w:color="808080"/>
            </w:tcBorders>
            <w:shd w:val="clear" w:color="000000" w:fill="E2EFDA"/>
            <w:vAlign w:val="center"/>
            <w:hideMark/>
          </w:tcPr>
          <w:p w14:paraId="29EB5FD1" w14:textId="77777777" w:rsidR="000E67C3" w:rsidRPr="000E67C3" w:rsidRDefault="000E67C3" w:rsidP="000E67C3">
            <w:pPr>
              <w:widowControl/>
              <w:autoSpaceDE/>
              <w:autoSpaceDN/>
              <w:jc w:val="center"/>
              <w:rPr>
                <w:rFonts w:ascii="Humanst521 BT" w:eastAsia="Times New Roman" w:hAnsi="Humanst521 BT" w:cs="Calibri"/>
                <w:b/>
                <w:bCs/>
                <w:sz w:val="18"/>
                <w:szCs w:val="18"/>
                <w:lang w:val="es-CO" w:eastAsia="es-CO"/>
              </w:rPr>
            </w:pPr>
            <w:r w:rsidRPr="000E67C3">
              <w:rPr>
                <w:rFonts w:ascii="Humanst521 BT" w:eastAsia="Times New Roman" w:hAnsi="Humanst521 BT" w:cs="Calibri"/>
                <w:b/>
                <w:bCs/>
                <w:sz w:val="18"/>
                <w:szCs w:val="18"/>
                <w:lang w:val="es-CO" w:eastAsia="es-CO"/>
              </w:rPr>
              <w:t>100,0%</w:t>
            </w:r>
          </w:p>
        </w:tc>
      </w:tr>
    </w:tbl>
    <w:p w14:paraId="3F4946F7" w14:textId="77777777" w:rsidR="0054679E" w:rsidRDefault="0054679E" w:rsidP="00093B44">
      <w:pPr>
        <w:jc w:val="both"/>
        <w:rPr>
          <w:rFonts w:ascii="Humanst521 BT" w:hAnsi="Humanst521 BT"/>
        </w:rPr>
      </w:pPr>
    </w:p>
    <w:p w14:paraId="67F31E4F" w14:textId="77777777" w:rsidR="0054679E" w:rsidRPr="00D86878" w:rsidRDefault="0054679E" w:rsidP="00093B44">
      <w:pPr>
        <w:jc w:val="both"/>
        <w:rPr>
          <w:rFonts w:ascii="Humanst521 BT" w:hAnsi="Humanst521 BT"/>
        </w:rPr>
      </w:pPr>
    </w:p>
    <w:p w14:paraId="5D1AED7A" w14:textId="77777777" w:rsidR="00074E05" w:rsidRPr="007F0FA7" w:rsidRDefault="00074E05" w:rsidP="00093B44">
      <w:pPr>
        <w:jc w:val="both"/>
        <w:rPr>
          <w:rFonts w:ascii="Humanst521 BT" w:hAnsi="Humanst521 BT" w:cs="Arial"/>
        </w:rPr>
      </w:pPr>
    </w:p>
    <w:p w14:paraId="6BE63558" w14:textId="391E00CB" w:rsidR="00074E05" w:rsidRPr="007F0FA7" w:rsidRDefault="001B0710" w:rsidP="00093B44">
      <w:pPr>
        <w:pStyle w:val="Descripcin"/>
        <w:spacing w:line="240" w:lineRule="auto"/>
        <w:jc w:val="both"/>
        <w:rPr>
          <w:rFonts w:ascii="Humanst521 BT" w:hAnsi="Humanst521 BT"/>
          <w:color w:val="auto"/>
          <w:sz w:val="22"/>
          <w:szCs w:val="22"/>
        </w:rPr>
      </w:pPr>
      <w:bookmarkStart w:id="223" w:name="_Toc161298188"/>
      <w:bookmarkStart w:id="224" w:name="_Toc161318808"/>
      <w:bookmarkStart w:id="225" w:name="_Toc231286773"/>
      <w:r w:rsidRPr="007F0FA7">
        <w:rPr>
          <w:rFonts w:ascii="Humanst521 BT" w:eastAsia="Verdana" w:hAnsi="Humanst521 BT" w:cs="Verdana"/>
          <w:color w:val="auto"/>
          <w:sz w:val="22"/>
          <w:szCs w:val="22"/>
          <w:lang w:val="es-ES"/>
        </w:rPr>
        <w:t xml:space="preserve">Figura </w:t>
      </w:r>
      <w:r w:rsidRPr="007F0FA7">
        <w:rPr>
          <w:rFonts w:ascii="Humanst521 BT" w:eastAsia="Verdana" w:hAnsi="Humanst521 BT" w:cs="Verdana"/>
          <w:color w:val="auto"/>
          <w:sz w:val="22"/>
          <w:szCs w:val="22"/>
          <w:lang w:val="es-ES"/>
        </w:rPr>
        <w:fldChar w:fldCharType="begin"/>
      </w:r>
      <w:r w:rsidRPr="007F0FA7">
        <w:rPr>
          <w:rFonts w:ascii="Humanst521 BT" w:eastAsia="Verdana" w:hAnsi="Humanst521 BT" w:cs="Verdana"/>
          <w:color w:val="auto"/>
          <w:sz w:val="22"/>
          <w:szCs w:val="22"/>
          <w:lang w:val="es-ES"/>
        </w:rPr>
        <w:instrText xml:space="preserve"> SEQ Figura_ \* ARABIC </w:instrText>
      </w:r>
      <w:r w:rsidRPr="007F0FA7">
        <w:rPr>
          <w:rFonts w:ascii="Humanst521 BT" w:eastAsia="Verdana" w:hAnsi="Humanst521 BT" w:cs="Verdana"/>
          <w:color w:val="auto"/>
          <w:sz w:val="22"/>
          <w:szCs w:val="22"/>
          <w:lang w:val="es-ES"/>
        </w:rPr>
        <w:fldChar w:fldCharType="separate"/>
      </w:r>
      <w:r w:rsidR="00E20FAA">
        <w:rPr>
          <w:rFonts w:ascii="Humanst521 BT" w:eastAsia="Verdana" w:hAnsi="Humanst521 BT" w:cs="Verdana"/>
          <w:noProof/>
          <w:color w:val="auto"/>
          <w:sz w:val="22"/>
          <w:szCs w:val="22"/>
          <w:lang w:val="es-ES"/>
        </w:rPr>
        <w:t>11</w:t>
      </w:r>
      <w:r w:rsidRPr="007F0FA7">
        <w:rPr>
          <w:rFonts w:ascii="Humanst521 BT" w:eastAsia="Verdana" w:hAnsi="Humanst521 BT" w:cs="Verdana"/>
          <w:color w:val="auto"/>
          <w:sz w:val="22"/>
          <w:szCs w:val="22"/>
          <w:lang w:val="es-ES"/>
        </w:rPr>
        <w:fldChar w:fldCharType="end"/>
      </w:r>
      <w:r w:rsidR="00E20FAA">
        <w:rPr>
          <w:rFonts w:ascii="Humanst521 BT" w:eastAsia="Verdana" w:hAnsi="Humanst521 BT" w:cs="Verdana"/>
          <w:color w:val="auto"/>
          <w:sz w:val="22"/>
          <w:szCs w:val="22"/>
          <w:lang w:val="es-ES"/>
        </w:rPr>
        <w:t>.</w:t>
      </w:r>
      <w:r w:rsidRPr="007F0FA7">
        <w:rPr>
          <w:rFonts w:ascii="Humanst521 BT" w:eastAsia="Verdana" w:hAnsi="Humanst521 BT" w:cs="Verdana"/>
          <w:color w:val="auto"/>
          <w:sz w:val="22"/>
          <w:szCs w:val="22"/>
          <w:lang w:val="es-ES"/>
        </w:rPr>
        <w:t xml:space="preserve"> </w:t>
      </w:r>
      <w:r w:rsidR="00074E05" w:rsidRPr="007F0FA7">
        <w:rPr>
          <w:rFonts w:ascii="Humanst521 BT" w:hAnsi="Humanst521 BT"/>
          <w:color w:val="auto"/>
          <w:sz w:val="22"/>
          <w:szCs w:val="22"/>
        </w:rPr>
        <w:t>Promedio de edad y mediana de edad de los casos fallecidos, UISALUD, 2</w:t>
      </w:r>
      <w:bookmarkEnd w:id="223"/>
      <w:bookmarkEnd w:id="224"/>
      <w:r w:rsidR="0062717C" w:rsidRPr="007F0FA7">
        <w:rPr>
          <w:rFonts w:ascii="Humanst521 BT" w:hAnsi="Humanst521 BT"/>
          <w:color w:val="auto"/>
          <w:sz w:val="22"/>
          <w:szCs w:val="22"/>
        </w:rPr>
        <w:t>024</w:t>
      </w:r>
      <w:bookmarkEnd w:id="225"/>
    </w:p>
    <w:p w14:paraId="7B049740" w14:textId="5D465A17" w:rsidR="00FE3ABB" w:rsidRPr="007F0FA7" w:rsidRDefault="009B4141" w:rsidP="00093B44">
      <w:pPr>
        <w:jc w:val="center"/>
        <w:rPr>
          <w:rFonts w:ascii="Humanst521 BT" w:hAnsi="Humanst521 BT"/>
        </w:rPr>
      </w:pPr>
      <w:r>
        <w:rPr>
          <w:noProof/>
        </w:rPr>
        <w:lastRenderedPageBreak/>
        <mc:AlternateContent>
          <mc:Choice Requires="cx1">
            <w:drawing>
              <wp:inline distT="0" distB="0" distL="0" distR="0" wp14:anchorId="6EFB05AF" wp14:editId="2F1608E8">
                <wp:extent cx="3452813" cy="2544367"/>
                <wp:effectExtent l="0" t="0" r="14605" b="8890"/>
                <wp:docPr id="55" name="Gráfico 55">
                  <a:extLst xmlns:a="http://schemas.openxmlformats.org/drawingml/2006/main">
                    <a:ext uri="{FF2B5EF4-FFF2-40B4-BE49-F238E27FC236}">
                      <a16:creationId xmlns:a16="http://schemas.microsoft.com/office/drawing/2014/main" id="{2C041384-6F06-4C92-9801-81CFBFC7CFB2}"/>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8"/>
                  </a:graphicData>
                </a:graphic>
              </wp:inline>
            </w:drawing>
          </mc:Choice>
          <mc:Fallback>
            <w:drawing>
              <wp:inline distT="0" distB="0" distL="0" distR="0" wp14:anchorId="6EFB05AF" wp14:editId="2F1608E8">
                <wp:extent cx="3452813" cy="2544367"/>
                <wp:effectExtent l="0" t="0" r="14605" b="8890"/>
                <wp:docPr id="55" name="Gráfico 55">
                  <a:extLst xmlns:a="http://schemas.openxmlformats.org/drawingml/2006/main">
                    <a:ext uri="{FF2B5EF4-FFF2-40B4-BE49-F238E27FC236}">
                      <a16:creationId xmlns:a16="http://schemas.microsoft.com/office/drawing/2014/main" id="{2C041384-6F06-4C92-9801-81CFBFC7CFB2}"/>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5" name="Gráfico 55">
                          <a:extLst>
                            <a:ext uri="{FF2B5EF4-FFF2-40B4-BE49-F238E27FC236}">
                              <a16:creationId xmlns:a16="http://schemas.microsoft.com/office/drawing/2014/main" id="{2C041384-6F06-4C92-9801-81CFBFC7CFB2}"/>
                            </a:ext>
                          </a:extLst>
                        </pic:cNvPr>
                        <pic:cNvPicPr>
                          <a:picLocks noGrp="1" noRot="1" noChangeAspect="1" noMove="1" noResize="1" noEditPoints="1" noAdjustHandles="1" noChangeArrowheads="1" noChangeShapeType="1"/>
                        </pic:cNvPicPr>
                      </pic:nvPicPr>
                      <pic:blipFill>
                        <a:blip r:embed="rId29"/>
                        <a:stretch>
                          <a:fillRect/>
                        </a:stretch>
                      </pic:blipFill>
                      <pic:spPr>
                        <a:xfrm>
                          <a:off x="0" y="0"/>
                          <a:ext cx="3452495" cy="2543810"/>
                        </a:xfrm>
                        <a:prstGeom prst="rect">
                          <a:avLst/>
                        </a:prstGeom>
                      </pic:spPr>
                    </pic:pic>
                  </a:graphicData>
                </a:graphic>
              </wp:inline>
            </w:drawing>
          </mc:Fallback>
        </mc:AlternateContent>
      </w:r>
    </w:p>
    <w:p w14:paraId="2333A500" w14:textId="68B82231" w:rsidR="00074E05" w:rsidRPr="007F0FA7" w:rsidRDefault="00074E05" w:rsidP="00093B44">
      <w:pPr>
        <w:jc w:val="both"/>
        <w:rPr>
          <w:rFonts w:ascii="Humanst521 BT" w:hAnsi="Humanst521 BT"/>
        </w:rPr>
      </w:pPr>
      <w:r w:rsidRPr="007F0FA7">
        <w:rPr>
          <w:rFonts w:ascii="Humanst521 BT" w:hAnsi="Humanst521 BT"/>
        </w:rPr>
        <w:t>Fuente: UISALUD</w:t>
      </w:r>
    </w:p>
    <w:p w14:paraId="0F4DC406" w14:textId="77777777" w:rsidR="00074E05" w:rsidRPr="007F0FA7" w:rsidRDefault="00074E05" w:rsidP="00093B44">
      <w:pPr>
        <w:jc w:val="both"/>
        <w:rPr>
          <w:rFonts w:ascii="Humanst521 BT" w:hAnsi="Humanst521 BT" w:cs="Arial"/>
        </w:rPr>
      </w:pPr>
    </w:p>
    <w:p w14:paraId="67657AA6" w14:textId="5D287964" w:rsidR="00F40AA6" w:rsidRDefault="00F40AA6" w:rsidP="00093B44">
      <w:pPr>
        <w:pStyle w:val="Textoindependiente"/>
        <w:spacing w:before="88"/>
        <w:rPr>
          <w:rFonts w:ascii="Humanst521 BT" w:hAnsi="Humanst521 BT"/>
          <w:b/>
          <w:sz w:val="22"/>
          <w:szCs w:val="22"/>
        </w:rPr>
      </w:pPr>
    </w:p>
    <w:p w14:paraId="5FF848B8" w14:textId="3158D28A" w:rsidR="00D17563" w:rsidRDefault="00D17563" w:rsidP="00D17563">
      <w:pPr>
        <w:pStyle w:val="Prrafodelista"/>
        <w:tabs>
          <w:tab w:val="left" w:pos="2465"/>
        </w:tabs>
        <w:ind w:left="1782" w:right="385" w:firstLine="0"/>
        <w:outlineLvl w:val="2"/>
        <w:rPr>
          <w:rFonts w:ascii="Humanst521 BT" w:hAnsi="Humanst521 BT"/>
          <w:b/>
          <w:bCs/>
          <w:color w:val="2F5496" w:themeColor="accent1" w:themeShade="BF"/>
          <w:sz w:val="24"/>
          <w:szCs w:val="24"/>
        </w:rPr>
      </w:pPr>
      <w:bookmarkStart w:id="226" w:name="_Toc231286816"/>
      <w:r>
        <w:rPr>
          <w:rFonts w:ascii="Humanst521 BT" w:hAnsi="Humanst521 BT"/>
          <w:b/>
          <w:bCs/>
          <w:color w:val="2F5496" w:themeColor="accent1" w:themeShade="BF"/>
          <w:sz w:val="24"/>
          <w:szCs w:val="24"/>
        </w:rPr>
        <w:t>5.2.</w:t>
      </w:r>
      <w:proofErr w:type="gramStart"/>
      <w:r w:rsidR="0044257A">
        <w:rPr>
          <w:rFonts w:ascii="Humanst521 BT" w:hAnsi="Humanst521 BT"/>
          <w:b/>
          <w:bCs/>
          <w:color w:val="2F5496" w:themeColor="accent1" w:themeShade="BF"/>
          <w:sz w:val="24"/>
          <w:szCs w:val="24"/>
        </w:rPr>
        <w:t>4</w:t>
      </w:r>
      <w:r>
        <w:rPr>
          <w:rFonts w:ascii="Humanst521 BT" w:hAnsi="Humanst521 BT"/>
          <w:b/>
          <w:bCs/>
          <w:color w:val="2F5496" w:themeColor="accent1" w:themeShade="BF"/>
          <w:sz w:val="24"/>
          <w:szCs w:val="24"/>
        </w:rPr>
        <w:t>.</w:t>
      </w:r>
      <w:r w:rsidRPr="007325D7">
        <w:rPr>
          <w:rFonts w:ascii="Humanst521 BT" w:hAnsi="Humanst521 BT"/>
          <w:b/>
          <w:bCs/>
          <w:color w:val="2F5496" w:themeColor="accent1" w:themeShade="BF"/>
          <w:sz w:val="24"/>
          <w:szCs w:val="24"/>
        </w:rPr>
        <w:t>Conclusiones</w:t>
      </w:r>
      <w:proofErr w:type="gramEnd"/>
      <w:r w:rsidRPr="007325D7">
        <w:rPr>
          <w:rFonts w:ascii="Humanst521 BT" w:hAnsi="Humanst521 BT"/>
          <w:b/>
          <w:bCs/>
          <w:color w:val="2F5496" w:themeColor="accent1" w:themeShade="BF"/>
          <w:sz w:val="24"/>
          <w:szCs w:val="24"/>
        </w:rPr>
        <w:t xml:space="preserve"> </w:t>
      </w:r>
      <w:r>
        <w:rPr>
          <w:rFonts w:ascii="Humanst521 BT" w:hAnsi="Humanst521 BT"/>
          <w:b/>
          <w:bCs/>
          <w:color w:val="2F5496" w:themeColor="accent1" w:themeShade="BF"/>
          <w:sz w:val="24"/>
          <w:szCs w:val="24"/>
        </w:rPr>
        <w:t>capítulo 2. M</w:t>
      </w:r>
      <w:r w:rsidRPr="007325D7">
        <w:rPr>
          <w:rFonts w:ascii="Humanst521 BT" w:hAnsi="Humanst521 BT"/>
          <w:b/>
          <w:bCs/>
          <w:color w:val="2F5496" w:themeColor="accent1" w:themeShade="BF"/>
          <w:sz w:val="24"/>
          <w:szCs w:val="24"/>
        </w:rPr>
        <w:t>or</w:t>
      </w:r>
      <w:r w:rsidR="0044257A">
        <w:rPr>
          <w:rFonts w:ascii="Humanst521 BT" w:hAnsi="Humanst521 BT"/>
          <w:b/>
          <w:bCs/>
          <w:color w:val="2F5496" w:themeColor="accent1" w:themeShade="BF"/>
          <w:sz w:val="24"/>
          <w:szCs w:val="24"/>
        </w:rPr>
        <w:t>talidad</w:t>
      </w:r>
      <w:bookmarkEnd w:id="226"/>
    </w:p>
    <w:p w14:paraId="530A9DF9" w14:textId="77777777" w:rsidR="00D17563" w:rsidRPr="007325D7" w:rsidRDefault="00D17563" w:rsidP="00D17563">
      <w:pPr>
        <w:pStyle w:val="Prrafodelista"/>
        <w:tabs>
          <w:tab w:val="left" w:pos="2465"/>
        </w:tabs>
        <w:ind w:left="1782" w:right="385" w:firstLine="0"/>
        <w:outlineLvl w:val="2"/>
        <w:rPr>
          <w:rFonts w:ascii="Humanst521 BT" w:hAnsi="Humanst521 BT"/>
          <w:b/>
          <w:bCs/>
          <w:color w:val="2F5496" w:themeColor="accent1" w:themeShade="BF"/>
          <w:sz w:val="24"/>
          <w:szCs w:val="24"/>
        </w:rPr>
      </w:pPr>
    </w:p>
    <w:p w14:paraId="3927C27A" w14:textId="77777777" w:rsidR="00D17563" w:rsidRDefault="00D17563" w:rsidP="00093B44">
      <w:pPr>
        <w:pStyle w:val="Textoindependiente"/>
        <w:spacing w:before="88"/>
        <w:rPr>
          <w:rFonts w:ascii="Humanst521 BT" w:hAnsi="Humanst521 BT"/>
          <w:b/>
          <w:sz w:val="22"/>
          <w:szCs w:val="22"/>
        </w:rPr>
      </w:pPr>
    </w:p>
    <w:p w14:paraId="14B26740" w14:textId="77777777" w:rsidR="00D17563" w:rsidRPr="00D17563" w:rsidRDefault="00D17563" w:rsidP="00D17563">
      <w:pPr>
        <w:widowControl/>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El análisis de mortalidad en la población afiliada a UISALUD evidencia un perfil epidemiológico dominado por las enfermedades crónicas no transmisibles, especialmente las neoplasias y las enfermedades del sistema circulatorio, que se consolidan como las principales causas de muerte y de años de vida potencialmente perdidos (AVPP). Aunque las tasas ajustadas en varios municipios y departamentos se muestran inferiores a los promedios nacionales y territoriales, la carga de enfermedad sigue siendo significativa y refleja la necesidad de fortalecer las estrategias de prevención, detección temprana y control integral de estas patologías.</w:t>
      </w:r>
    </w:p>
    <w:p w14:paraId="1B2FBC9F" w14:textId="77777777" w:rsidR="00D17563" w:rsidRPr="00D17563" w:rsidRDefault="00D17563" w:rsidP="00D17563">
      <w:pPr>
        <w:widowControl/>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El análisis por sexo y edad revela diferencias importantes:</w:t>
      </w:r>
    </w:p>
    <w:p w14:paraId="1163E659" w14:textId="77777777" w:rsidR="00D17563" w:rsidRPr="00D17563" w:rsidRDefault="00D17563" w:rsidP="00D17563">
      <w:pPr>
        <w:widowControl/>
        <w:numPr>
          <w:ilvl w:val="0"/>
          <w:numId w:val="32"/>
        </w:numPr>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En hombres, la mortalidad por neoplasias digestivas y genitourinarias, así como por enfermedades cerebrovasculares, supera los promedios departamentales.</w:t>
      </w:r>
    </w:p>
    <w:p w14:paraId="40889BDB" w14:textId="77777777" w:rsidR="00D17563" w:rsidRPr="00D17563" w:rsidRDefault="00D17563" w:rsidP="00D17563">
      <w:pPr>
        <w:widowControl/>
        <w:numPr>
          <w:ilvl w:val="0"/>
          <w:numId w:val="32"/>
        </w:numPr>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En mujeres, destacan las neoplasias hematológicas y las enfermedades hipertensivas y cerebrovasculares, con tasas superiores a las de referencia.</w:t>
      </w:r>
    </w:p>
    <w:p w14:paraId="53CFEAE3" w14:textId="77777777" w:rsidR="00D17563" w:rsidRPr="00D17563" w:rsidRDefault="00D17563" w:rsidP="00D17563">
      <w:pPr>
        <w:widowControl/>
        <w:numPr>
          <w:ilvl w:val="0"/>
          <w:numId w:val="32"/>
        </w:numPr>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Los trastornos mentales y del comportamiento emergen como una causa creciente de mortalidad en ambos sexos, lo que subraya la urgencia de fortalecer la atención en salud mental.</w:t>
      </w:r>
    </w:p>
    <w:p w14:paraId="6A72E77F" w14:textId="77777777" w:rsidR="00D17563" w:rsidRPr="00D17563" w:rsidRDefault="00D17563" w:rsidP="00D17563">
      <w:pPr>
        <w:widowControl/>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La mortalidad infantil y en menores de 5 años, aunque en descenso, continúa representando un reto para la atención materno-infantil y la prevención de muertes evitables.</w:t>
      </w:r>
    </w:p>
    <w:p w14:paraId="5527D597" w14:textId="77777777" w:rsidR="00D17563" w:rsidRPr="00D17563" w:rsidRDefault="00D17563" w:rsidP="00D17563">
      <w:pPr>
        <w:widowControl/>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lastRenderedPageBreak/>
        <w:t>En términos de AVPP, las muertes prematuras por neoplasias y enfermedades cardiovasculares generan un impacto considerable en la productividad y bienestar de la población afiliada, lo que exige intervenciones focalizadas en los grupos de mayor riesgo.</w:t>
      </w:r>
    </w:p>
    <w:p w14:paraId="7439F59E" w14:textId="596318EB" w:rsidR="00D17563" w:rsidRPr="00D17563" w:rsidRDefault="00D17563" w:rsidP="00D17563">
      <w:pPr>
        <w:widowControl/>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En síntesis, la mortalidad en UISALUD refleja una transición epidemiológica hacia enfermedades crónicas y condiciones de salud mental, con un peso creciente del envejecimiento y la multimorbilidad. Estos hallazgos orientan la necesidad de:</w:t>
      </w:r>
    </w:p>
    <w:p w14:paraId="6E90A096" w14:textId="77777777" w:rsidR="00D17563" w:rsidRPr="00D17563" w:rsidRDefault="00D17563" w:rsidP="00D17563">
      <w:pPr>
        <w:widowControl/>
        <w:numPr>
          <w:ilvl w:val="0"/>
          <w:numId w:val="33"/>
        </w:numPr>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Consolidar programas de prevención y control de ECNT.</w:t>
      </w:r>
    </w:p>
    <w:p w14:paraId="3D6D93CD" w14:textId="77777777" w:rsidR="00D17563" w:rsidRPr="00D17563" w:rsidRDefault="00D17563" w:rsidP="00D17563">
      <w:pPr>
        <w:widowControl/>
        <w:numPr>
          <w:ilvl w:val="0"/>
          <w:numId w:val="33"/>
        </w:numPr>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Fortalecer la atención primaria en salud y la gestión integral del riesgo.</w:t>
      </w:r>
    </w:p>
    <w:p w14:paraId="2FCBFC4F" w14:textId="77777777" w:rsidR="00D17563" w:rsidRPr="00D17563" w:rsidRDefault="00D17563" w:rsidP="00D17563">
      <w:pPr>
        <w:widowControl/>
        <w:numPr>
          <w:ilvl w:val="0"/>
          <w:numId w:val="33"/>
        </w:numPr>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Integrar la salud mental como prioridad transversal.</w:t>
      </w:r>
    </w:p>
    <w:p w14:paraId="3F9B3E90" w14:textId="77777777" w:rsidR="00D17563" w:rsidRPr="00D17563" w:rsidRDefault="00D17563" w:rsidP="00D17563">
      <w:pPr>
        <w:widowControl/>
        <w:numPr>
          <w:ilvl w:val="0"/>
          <w:numId w:val="33"/>
        </w:numPr>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Garantizar la equidad territorial en el acceso a servicios de salud.</w:t>
      </w:r>
    </w:p>
    <w:p w14:paraId="41BBE850" w14:textId="77777777" w:rsidR="00D17563" w:rsidRPr="00D17563" w:rsidRDefault="00D17563" w:rsidP="00D17563">
      <w:pPr>
        <w:widowControl/>
        <w:autoSpaceDE/>
        <w:autoSpaceDN/>
        <w:spacing w:before="100" w:beforeAutospacing="1" w:after="100" w:afterAutospacing="1"/>
        <w:rPr>
          <w:rFonts w:ascii="Humanst521 BT" w:eastAsia="Times New Roman" w:hAnsi="Humanst521 BT" w:cs="Times New Roman"/>
          <w:lang w:val="es-CO" w:eastAsia="es-CO"/>
        </w:rPr>
      </w:pPr>
      <w:r w:rsidRPr="00D17563">
        <w:rPr>
          <w:rFonts w:ascii="Humanst521 BT" w:eastAsia="Times New Roman" w:hAnsi="Humanst521 BT" w:cs="Times New Roman"/>
          <w:lang w:val="es-CO" w:eastAsia="es-CO"/>
        </w:rPr>
        <w:t>De esta manera, UISALUD podrá reducir la carga de mortalidad evitable, mejorar la calidad de vida de sus afiliados y contribuir a la sostenibilidad del sistema de salud en el marco del Plan Decenal de Salud Pública 2022-2031.</w:t>
      </w:r>
    </w:p>
    <w:p w14:paraId="092DED1E" w14:textId="77777777" w:rsidR="00D17563" w:rsidRDefault="00D17563" w:rsidP="00093B44">
      <w:pPr>
        <w:pStyle w:val="Textoindependiente"/>
        <w:spacing w:before="88"/>
        <w:rPr>
          <w:rFonts w:ascii="Humanst521 BT" w:hAnsi="Humanst521 BT"/>
          <w:b/>
          <w:sz w:val="22"/>
          <w:szCs w:val="22"/>
        </w:rPr>
      </w:pPr>
    </w:p>
    <w:p w14:paraId="1838A6E5" w14:textId="77777777" w:rsidR="00D17563" w:rsidRPr="007F0FA7" w:rsidRDefault="00D17563" w:rsidP="00093B44">
      <w:pPr>
        <w:pStyle w:val="Textoindependiente"/>
        <w:spacing w:before="88"/>
        <w:rPr>
          <w:rFonts w:ascii="Humanst521 BT" w:hAnsi="Humanst521 BT"/>
          <w:b/>
          <w:sz w:val="22"/>
          <w:szCs w:val="22"/>
        </w:rPr>
      </w:pPr>
    </w:p>
    <w:p w14:paraId="3005C83F" w14:textId="116E6848" w:rsidR="00244200" w:rsidRPr="00FF396E" w:rsidRDefault="00092228" w:rsidP="00FF396E">
      <w:pPr>
        <w:pStyle w:val="Ttulo2"/>
        <w:numPr>
          <w:ilvl w:val="1"/>
          <w:numId w:val="9"/>
        </w:numPr>
        <w:tabs>
          <w:tab w:val="left" w:pos="769"/>
          <w:tab w:val="left" w:pos="1755"/>
        </w:tabs>
        <w:ind w:right="379"/>
        <w:rPr>
          <w:rFonts w:ascii="Humanst521 BT" w:eastAsiaTheme="majorEastAsia" w:hAnsi="Humanst521 BT" w:cstheme="majorBidi"/>
          <w:color w:val="2F5496" w:themeColor="accent1" w:themeShade="BF"/>
          <w:sz w:val="28"/>
          <w:szCs w:val="28"/>
          <w:lang w:eastAsia="es-CO"/>
        </w:rPr>
      </w:pPr>
      <w:bookmarkStart w:id="227" w:name="_bookmark14"/>
      <w:bookmarkStart w:id="228" w:name="_Toc231286817"/>
      <w:bookmarkEnd w:id="227"/>
      <w:r w:rsidRPr="00FF396E">
        <w:rPr>
          <w:rFonts w:ascii="Humanst521 BT" w:eastAsiaTheme="majorEastAsia" w:hAnsi="Humanst521 BT" w:cstheme="majorBidi"/>
          <w:color w:val="2F5496" w:themeColor="accent1" w:themeShade="BF"/>
          <w:sz w:val="28"/>
          <w:szCs w:val="28"/>
          <w:lang w:eastAsia="es-CO"/>
        </w:rPr>
        <w:t>CAPÍTULO 3.  PRIORIZACIÓN DE LAS NECESIDADES Y PROBLEMÁTICAS EN SALUD DE LOS AFILIADOS.</w:t>
      </w:r>
      <w:bookmarkEnd w:id="228"/>
    </w:p>
    <w:p w14:paraId="04D6EF02" w14:textId="77777777" w:rsidR="00C47C20" w:rsidRDefault="00C47C20" w:rsidP="00C47C20">
      <w:pPr>
        <w:tabs>
          <w:tab w:val="left" w:pos="769"/>
          <w:tab w:val="left" w:pos="1755"/>
        </w:tabs>
        <w:ind w:right="381"/>
        <w:outlineLvl w:val="1"/>
        <w:rPr>
          <w:rFonts w:ascii="Humanst521 BT" w:hAnsi="Humanst521 BT"/>
          <w:b/>
        </w:rPr>
      </w:pPr>
    </w:p>
    <w:p w14:paraId="34D5C91F" w14:textId="77777777" w:rsidR="00C47C20" w:rsidRPr="003A5ED9" w:rsidRDefault="00C47C20" w:rsidP="003A5ED9">
      <w:pPr>
        <w:rPr>
          <w:rFonts w:ascii="Humanst521 BT" w:hAnsi="Humanst521 BT"/>
        </w:rPr>
      </w:pPr>
      <w:r w:rsidRPr="003A5ED9">
        <w:rPr>
          <w:rFonts w:ascii="Humanst521 BT" w:hAnsi="Humanst521 BT"/>
        </w:rPr>
        <w:t>Este capítulo integra los problemas identificados en los capítulos 1 y 2, su priorización y las acciones estratégicas correspondientes, en concordancia con lineamientos del Ministerio de Salud y Protección Social.</w:t>
      </w:r>
    </w:p>
    <w:p w14:paraId="08916AB4" w14:textId="1A3CB3DC" w:rsidR="00C47C20" w:rsidRPr="00C93AFE" w:rsidRDefault="00551F98" w:rsidP="00CF2550">
      <w:pPr>
        <w:pStyle w:val="Ttulo3"/>
        <w:rPr>
          <w:rFonts w:ascii="Humanst521 BT" w:hAnsi="Humanst521 BT"/>
          <w:b/>
          <w:bCs/>
          <w:color w:val="2F5496" w:themeColor="accent1" w:themeShade="BF"/>
          <w:sz w:val="24"/>
          <w:szCs w:val="24"/>
        </w:rPr>
      </w:pPr>
      <w:bookmarkStart w:id="229" w:name="_Toc231286818"/>
      <w:r w:rsidRPr="00C93AFE">
        <w:rPr>
          <w:rFonts w:ascii="Humanst521 BT" w:hAnsi="Humanst521 BT"/>
          <w:b/>
          <w:bCs/>
          <w:color w:val="2F5496" w:themeColor="accent1" w:themeShade="BF"/>
          <w:sz w:val="24"/>
          <w:szCs w:val="24"/>
        </w:rPr>
        <w:t>5.</w:t>
      </w:r>
      <w:r w:rsidR="00C47C20" w:rsidRPr="00C93AFE">
        <w:rPr>
          <w:rFonts w:ascii="Humanst521 BT" w:hAnsi="Humanst521 BT"/>
          <w:b/>
          <w:bCs/>
          <w:color w:val="2F5496" w:themeColor="accent1" w:themeShade="BF"/>
          <w:sz w:val="24"/>
          <w:szCs w:val="24"/>
        </w:rPr>
        <w:t>3.1 Consolidación de problemas identificados por capítulo</w:t>
      </w:r>
      <w:bookmarkEnd w:id="229"/>
    </w:p>
    <w:p w14:paraId="6FEE9250" w14:textId="77777777" w:rsidR="00551F98" w:rsidRPr="00C93AFE" w:rsidRDefault="00551F98" w:rsidP="00C47C20">
      <w:pPr>
        <w:pStyle w:val="Ttulo1"/>
        <w:rPr>
          <w:rFonts w:ascii="Humanst521 BT" w:hAnsi="Humanst521 BT"/>
          <w:b/>
          <w:bCs/>
          <w:color w:val="2F5496" w:themeColor="accent1" w:themeShade="BF"/>
          <w:sz w:val="24"/>
          <w:szCs w:val="24"/>
        </w:rPr>
      </w:pPr>
    </w:p>
    <w:p w14:paraId="4DB736F5" w14:textId="3C6B1661" w:rsidR="00C47C20" w:rsidRPr="00551F98" w:rsidRDefault="00C47C20" w:rsidP="00C47C20">
      <w:pPr>
        <w:rPr>
          <w:rFonts w:ascii="Humanst521 BT" w:hAnsi="Humanst521 BT"/>
        </w:rPr>
      </w:pPr>
      <w:r w:rsidRPr="00551F98">
        <w:rPr>
          <w:rFonts w:ascii="Humanst521 BT" w:hAnsi="Humanst521 BT"/>
        </w:rPr>
        <w:t xml:space="preserve">Capítulo 1 – Determinantes sociales: envejecimiento </w:t>
      </w:r>
      <w:r w:rsidR="00A179A9" w:rsidRPr="00551F98">
        <w:rPr>
          <w:rFonts w:ascii="Humanst521 BT" w:hAnsi="Humanst521 BT"/>
        </w:rPr>
        <w:t>poblacional, vulnerabilidad</w:t>
      </w:r>
      <w:r w:rsidRPr="00551F98">
        <w:rPr>
          <w:rFonts w:ascii="Humanst521 BT" w:hAnsi="Humanst521 BT"/>
        </w:rPr>
        <w:t xml:space="preserve"> (discapacidad y víctimas), enfermedades laborales.</w:t>
      </w:r>
    </w:p>
    <w:p w14:paraId="08C43E5B" w14:textId="77777777" w:rsidR="00C47C20" w:rsidRPr="00551F98" w:rsidRDefault="00C47C20" w:rsidP="00C47C20">
      <w:pPr>
        <w:rPr>
          <w:rFonts w:ascii="Humanst521 BT" w:hAnsi="Humanst521 BT"/>
        </w:rPr>
      </w:pPr>
      <w:r w:rsidRPr="00551F98">
        <w:rPr>
          <w:rFonts w:ascii="Humanst521 BT" w:hAnsi="Humanst521 BT"/>
        </w:rPr>
        <w:t>Capítulo 2 – Morbilidad: predominio de enfermedades crónicas, alta carga de ECNT, salud mental, dengue, concentración del gasto en pocos usuarios.</w:t>
      </w:r>
    </w:p>
    <w:p w14:paraId="6B98EB5E" w14:textId="77777777" w:rsidR="00C47C20" w:rsidRDefault="00C47C20" w:rsidP="00C47C20">
      <w:pPr>
        <w:rPr>
          <w:rFonts w:ascii="Humanst521 BT" w:hAnsi="Humanst521 BT"/>
        </w:rPr>
      </w:pPr>
      <w:r w:rsidRPr="00551F98">
        <w:rPr>
          <w:rFonts w:ascii="Humanst521 BT" w:hAnsi="Humanst521 BT"/>
        </w:rPr>
        <w:t>Capítulo 2 – Mortalidad: predominio de neoplasias y cardiovasculares, años de vida potencialmente perdidos, impacto en adulto mayor.</w:t>
      </w:r>
    </w:p>
    <w:p w14:paraId="5A264F44" w14:textId="77777777" w:rsidR="00A179A9" w:rsidRPr="00551F98" w:rsidRDefault="00A179A9" w:rsidP="00C47C20">
      <w:pPr>
        <w:rPr>
          <w:rFonts w:ascii="Humanst521 BT" w:hAnsi="Humanst521 BT"/>
        </w:rPr>
      </w:pPr>
    </w:p>
    <w:p w14:paraId="648A6BD5" w14:textId="7000F72C" w:rsidR="00C47C20" w:rsidRPr="00C93AFE" w:rsidRDefault="00A179A9" w:rsidP="00CF2550">
      <w:pPr>
        <w:pStyle w:val="Ttulo3"/>
        <w:rPr>
          <w:rFonts w:ascii="Humanst521 BT" w:hAnsi="Humanst521 BT"/>
          <w:b/>
          <w:bCs/>
          <w:color w:val="2F5496" w:themeColor="accent1" w:themeShade="BF"/>
          <w:sz w:val="24"/>
          <w:szCs w:val="24"/>
        </w:rPr>
      </w:pPr>
      <w:bookmarkStart w:id="230" w:name="_Toc231286819"/>
      <w:r w:rsidRPr="00C93AFE">
        <w:rPr>
          <w:rFonts w:ascii="Humanst521 BT" w:hAnsi="Humanst521 BT"/>
          <w:b/>
          <w:bCs/>
          <w:color w:val="2F5496" w:themeColor="accent1" w:themeShade="BF"/>
          <w:sz w:val="24"/>
          <w:szCs w:val="24"/>
        </w:rPr>
        <w:t>5.</w:t>
      </w:r>
      <w:r w:rsidR="00C47C20" w:rsidRPr="00C93AFE">
        <w:rPr>
          <w:rFonts w:ascii="Humanst521 BT" w:hAnsi="Humanst521 BT"/>
          <w:b/>
          <w:bCs/>
          <w:color w:val="2F5496" w:themeColor="accent1" w:themeShade="BF"/>
          <w:sz w:val="24"/>
          <w:szCs w:val="24"/>
        </w:rPr>
        <w:t>3.2 Metodología y criterios de priorización</w:t>
      </w:r>
      <w:bookmarkEnd w:id="230"/>
    </w:p>
    <w:p w14:paraId="2FDB86AF" w14:textId="1CE5B0D3" w:rsidR="000156F0" w:rsidRPr="000156F0" w:rsidRDefault="000156F0" w:rsidP="000156F0">
      <w:pPr>
        <w:widowControl/>
        <w:autoSpaceDE/>
        <w:autoSpaceDN/>
        <w:spacing w:before="100" w:beforeAutospacing="1" w:after="100" w:afterAutospacing="1" w:line="300" w:lineRule="atLeast"/>
        <w:jc w:val="both"/>
        <w:rPr>
          <w:rFonts w:ascii="Humanst521 BT" w:eastAsia="Times New Roman" w:hAnsi="Humanst521 BT" w:cs="Segoe UI"/>
          <w:lang w:val="es-CO" w:eastAsia="es-CO"/>
        </w:rPr>
      </w:pPr>
      <w:r w:rsidRPr="000156F0">
        <w:rPr>
          <w:rFonts w:ascii="Humanst521 BT" w:eastAsia="Times New Roman" w:hAnsi="Humanst521 BT" w:cs="Segoe UI"/>
          <w:lang w:val="es-CO" w:eastAsia="es-CO"/>
        </w:rPr>
        <w:t>La priorización de las necesidades y problemáticas en salud de la población afiliada a UISALUD se desarrolló a partir de un análisis integral y sistemático de la información presentada en los capítulos previos, en coherencia con los lineamientos del Ministerio de Salud y Protección Social y el Plan Decenal de Salud Pública 2022–2031.</w:t>
      </w:r>
    </w:p>
    <w:p w14:paraId="13CAC3D0" w14:textId="77777777" w:rsidR="000156F0" w:rsidRPr="000156F0" w:rsidRDefault="000156F0" w:rsidP="000156F0">
      <w:pPr>
        <w:widowControl/>
        <w:autoSpaceDE/>
        <w:autoSpaceDN/>
        <w:spacing w:before="100" w:beforeAutospacing="1" w:after="100" w:afterAutospacing="1" w:line="300" w:lineRule="atLeast"/>
        <w:jc w:val="both"/>
        <w:rPr>
          <w:rFonts w:ascii="Humanst521 BT" w:eastAsia="Times New Roman" w:hAnsi="Humanst521 BT" w:cs="Segoe UI"/>
          <w:lang w:val="es-CO" w:eastAsia="es-CO"/>
        </w:rPr>
      </w:pPr>
      <w:r w:rsidRPr="000156F0">
        <w:rPr>
          <w:rFonts w:ascii="Humanst521 BT" w:eastAsia="Times New Roman" w:hAnsi="Humanst521 BT" w:cs="Segoe UI"/>
          <w:lang w:val="es-CO" w:eastAsia="es-CO"/>
        </w:rPr>
        <w:lastRenderedPageBreak/>
        <w:t>Este proceso tuvo como propósito orientar la toma de decisiones en salud, optimizando el uso de los recursos disponibles y focalizando las intervenciones en aquellas problemáticas que generan mayor impacto en la calidad de vida, la carga de enfermedad y la sostenibilidad del sistema, desde la perspectiva del aseguramiento.</w:t>
      </w:r>
    </w:p>
    <w:p w14:paraId="64C6CD0A" w14:textId="77777777" w:rsidR="000156F0" w:rsidRPr="000156F0" w:rsidRDefault="000156F0" w:rsidP="000156F0">
      <w:pPr>
        <w:widowControl/>
        <w:autoSpaceDE/>
        <w:autoSpaceDN/>
        <w:spacing w:before="100" w:beforeAutospacing="1" w:after="100" w:afterAutospacing="1" w:line="300" w:lineRule="atLeast"/>
        <w:rPr>
          <w:rFonts w:ascii="Humanst521 BT" w:eastAsia="Times New Roman" w:hAnsi="Humanst521 BT" w:cs="Segoe UI"/>
          <w:lang w:val="es-CO" w:eastAsia="es-CO"/>
        </w:rPr>
      </w:pPr>
      <w:r w:rsidRPr="000156F0">
        <w:rPr>
          <w:rFonts w:ascii="Humanst521 BT" w:eastAsia="Times New Roman" w:hAnsi="Humanst521 BT" w:cs="Segoe UI"/>
          <w:lang w:val="es-CO" w:eastAsia="es-CO"/>
        </w:rPr>
        <w:t>La priorización se fundamentó en:</w:t>
      </w:r>
    </w:p>
    <w:p w14:paraId="39B4E79A" w14:textId="77777777" w:rsidR="000156F0" w:rsidRPr="000156F0" w:rsidRDefault="000156F0" w:rsidP="00B6007F">
      <w:pPr>
        <w:widowControl/>
        <w:numPr>
          <w:ilvl w:val="0"/>
          <w:numId w:val="17"/>
        </w:numPr>
        <w:autoSpaceDE/>
        <w:autoSpaceDN/>
        <w:spacing w:before="100" w:beforeAutospacing="1" w:after="100" w:afterAutospacing="1" w:line="300" w:lineRule="atLeast"/>
        <w:rPr>
          <w:rFonts w:ascii="Humanst521 BT" w:eastAsia="Times New Roman" w:hAnsi="Humanst521 BT" w:cs="Segoe UI"/>
          <w:lang w:val="es-CO" w:eastAsia="es-CO"/>
        </w:rPr>
      </w:pPr>
      <w:r w:rsidRPr="000156F0">
        <w:rPr>
          <w:rFonts w:ascii="Humanst521 BT" w:eastAsia="Times New Roman" w:hAnsi="Humanst521 BT" w:cs="Segoe UI"/>
          <w:lang w:val="es-CO" w:eastAsia="es-CO"/>
        </w:rPr>
        <w:t>El análisis de los determinantes sociales de la salud y la configuración territorial.</w:t>
      </w:r>
    </w:p>
    <w:p w14:paraId="6C25D928" w14:textId="77777777" w:rsidR="000156F0" w:rsidRPr="000156F0" w:rsidRDefault="000156F0" w:rsidP="00B6007F">
      <w:pPr>
        <w:widowControl/>
        <w:numPr>
          <w:ilvl w:val="0"/>
          <w:numId w:val="17"/>
        </w:numPr>
        <w:autoSpaceDE/>
        <w:autoSpaceDN/>
        <w:spacing w:before="100" w:beforeAutospacing="1" w:after="100" w:afterAutospacing="1" w:line="300" w:lineRule="atLeast"/>
        <w:rPr>
          <w:rFonts w:ascii="Humanst521 BT" w:eastAsia="Times New Roman" w:hAnsi="Humanst521 BT" w:cs="Segoe UI"/>
          <w:lang w:val="es-CO" w:eastAsia="es-CO"/>
        </w:rPr>
      </w:pPr>
      <w:r w:rsidRPr="000156F0">
        <w:rPr>
          <w:rFonts w:ascii="Humanst521 BT" w:eastAsia="Times New Roman" w:hAnsi="Humanst521 BT" w:cs="Segoe UI"/>
          <w:lang w:val="es-CO" w:eastAsia="es-CO"/>
        </w:rPr>
        <w:t>La caracterización demográfica y epidemiológica de la población afiliada.</w:t>
      </w:r>
    </w:p>
    <w:p w14:paraId="0308C80C" w14:textId="77777777" w:rsidR="000156F0" w:rsidRPr="000156F0" w:rsidRDefault="000156F0" w:rsidP="00B6007F">
      <w:pPr>
        <w:widowControl/>
        <w:numPr>
          <w:ilvl w:val="0"/>
          <w:numId w:val="17"/>
        </w:numPr>
        <w:autoSpaceDE/>
        <w:autoSpaceDN/>
        <w:spacing w:before="100" w:beforeAutospacing="1" w:after="100" w:afterAutospacing="1" w:line="300" w:lineRule="atLeast"/>
        <w:rPr>
          <w:rFonts w:ascii="Humanst521 BT" w:eastAsia="Times New Roman" w:hAnsi="Humanst521 BT" w:cs="Segoe UI"/>
          <w:lang w:val="es-CO" w:eastAsia="es-CO"/>
        </w:rPr>
      </w:pPr>
      <w:r w:rsidRPr="000156F0">
        <w:rPr>
          <w:rFonts w:ascii="Humanst521 BT" w:eastAsia="Times New Roman" w:hAnsi="Humanst521 BT" w:cs="Segoe UI"/>
          <w:lang w:val="es-CO" w:eastAsia="es-CO"/>
        </w:rPr>
        <w:t>El comportamiento de la morbilidad, mortalidad y eventos de interés en salud pública.</w:t>
      </w:r>
    </w:p>
    <w:p w14:paraId="02EF3939" w14:textId="77777777" w:rsidR="000156F0" w:rsidRPr="000156F0" w:rsidRDefault="000156F0" w:rsidP="00B6007F">
      <w:pPr>
        <w:widowControl/>
        <w:numPr>
          <w:ilvl w:val="0"/>
          <w:numId w:val="17"/>
        </w:numPr>
        <w:autoSpaceDE/>
        <w:autoSpaceDN/>
        <w:spacing w:before="100" w:beforeAutospacing="1" w:after="100" w:afterAutospacing="1" w:line="300" w:lineRule="atLeast"/>
        <w:rPr>
          <w:rFonts w:ascii="Humanst521 BT" w:eastAsia="Times New Roman" w:hAnsi="Humanst521 BT" w:cs="Segoe UI"/>
          <w:lang w:val="es-CO" w:eastAsia="es-CO"/>
        </w:rPr>
      </w:pPr>
      <w:r w:rsidRPr="000156F0">
        <w:rPr>
          <w:rFonts w:ascii="Humanst521 BT" w:eastAsia="Times New Roman" w:hAnsi="Humanst521 BT" w:cs="Segoe UI"/>
          <w:lang w:val="es-CO" w:eastAsia="es-CO"/>
        </w:rPr>
        <w:t>La identificación de grupos poblacionales con mayor vulnerabilidad.</w:t>
      </w:r>
    </w:p>
    <w:p w14:paraId="2E72F06A" w14:textId="77777777" w:rsidR="000156F0" w:rsidRPr="000156F0" w:rsidRDefault="000156F0" w:rsidP="00B6007F">
      <w:pPr>
        <w:widowControl/>
        <w:numPr>
          <w:ilvl w:val="0"/>
          <w:numId w:val="17"/>
        </w:numPr>
        <w:autoSpaceDE/>
        <w:autoSpaceDN/>
        <w:spacing w:before="100" w:beforeAutospacing="1" w:after="100" w:afterAutospacing="1" w:line="300" w:lineRule="atLeast"/>
        <w:rPr>
          <w:rFonts w:ascii="Humanst521 BT" w:eastAsia="Times New Roman" w:hAnsi="Humanst521 BT" w:cs="Segoe UI"/>
          <w:lang w:val="es-CO" w:eastAsia="es-CO"/>
        </w:rPr>
      </w:pPr>
      <w:r w:rsidRPr="000156F0">
        <w:rPr>
          <w:rFonts w:ascii="Humanst521 BT" w:eastAsia="Times New Roman" w:hAnsi="Humanst521 BT" w:cs="Segoe UI"/>
          <w:lang w:val="es-CO" w:eastAsia="es-CO"/>
        </w:rPr>
        <w:t>La capacidad institucional y territorial para intervenir los problemas identificados.</w:t>
      </w:r>
    </w:p>
    <w:p w14:paraId="54F7F76E" w14:textId="77777777" w:rsidR="000156F0" w:rsidRDefault="000156F0" w:rsidP="00C47C20">
      <w:pPr>
        <w:pStyle w:val="Ttulo1"/>
        <w:rPr>
          <w:rFonts w:ascii="Humanst521 BT" w:hAnsi="Humanst521 BT"/>
          <w:b/>
          <w:bCs/>
          <w:sz w:val="22"/>
          <w:szCs w:val="22"/>
        </w:rPr>
      </w:pPr>
    </w:p>
    <w:p w14:paraId="4C5B3B0A" w14:textId="0B83762F" w:rsidR="00B41AC4" w:rsidRPr="00E20FAA" w:rsidRDefault="00B41AC4" w:rsidP="00B41AC4">
      <w:pPr>
        <w:pStyle w:val="Default"/>
        <w:jc w:val="both"/>
        <w:rPr>
          <w:rFonts w:ascii="Humanst521 BT" w:hAnsi="Humanst521 BT"/>
          <w:color w:val="auto"/>
          <w:sz w:val="22"/>
          <w:szCs w:val="22"/>
        </w:rPr>
      </w:pPr>
      <w:bookmarkStart w:id="231" w:name="_Toc231286291"/>
      <w:r w:rsidRPr="00E20FAA">
        <w:rPr>
          <w:rFonts w:ascii="Humanst521 BT" w:eastAsia="Verdana" w:hAnsi="Humanst521 BT"/>
          <w:color w:val="auto"/>
          <w:sz w:val="22"/>
          <w:szCs w:val="22"/>
          <w:lang w:val="es-ES"/>
        </w:rPr>
        <w:t xml:space="preserve">Tabla </w:t>
      </w:r>
      <w:r w:rsidRPr="00E20FAA">
        <w:rPr>
          <w:rFonts w:ascii="Humanst521 BT" w:eastAsia="Verdana" w:hAnsi="Humanst521 BT"/>
          <w:color w:val="auto"/>
          <w:sz w:val="22"/>
          <w:szCs w:val="22"/>
          <w:lang w:val="es-ES"/>
        </w:rPr>
        <w:fldChar w:fldCharType="begin"/>
      </w:r>
      <w:r w:rsidRPr="00E20FAA">
        <w:rPr>
          <w:rFonts w:ascii="Humanst521 BT" w:eastAsia="Verdana" w:hAnsi="Humanst521 BT"/>
          <w:color w:val="auto"/>
          <w:sz w:val="22"/>
          <w:szCs w:val="22"/>
          <w:lang w:val="es-ES"/>
        </w:rPr>
        <w:instrText xml:space="preserve"> SEQ Tabla \* ARABIC </w:instrText>
      </w:r>
      <w:r w:rsidRPr="00E20FAA">
        <w:rPr>
          <w:rFonts w:ascii="Humanst521 BT" w:eastAsia="Verdana" w:hAnsi="Humanst521 BT"/>
          <w:color w:val="auto"/>
          <w:sz w:val="22"/>
          <w:szCs w:val="22"/>
          <w:lang w:val="es-ES"/>
        </w:rPr>
        <w:fldChar w:fldCharType="separate"/>
      </w:r>
      <w:r w:rsidR="00770ED8" w:rsidRPr="00E20FAA">
        <w:rPr>
          <w:rFonts w:ascii="Humanst521 BT" w:eastAsia="Verdana" w:hAnsi="Humanst521 BT"/>
          <w:noProof/>
          <w:color w:val="auto"/>
          <w:sz w:val="22"/>
          <w:szCs w:val="22"/>
          <w:lang w:val="es-ES"/>
        </w:rPr>
        <w:t>46</w:t>
      </w:r>
      <w:r w:rsidRPr="00E20FAA">
        <w:rPr>
          <w:rFonts w:ascii="Humanst521 BT" w:eastAsia="Verdana" w:hAnsi="Humanst521 BT"/>
          <w:color w:val="auto"/>
          <w:sz w:val="22"/>
          <w:szCs w:val="22"/>
          <w:lang w:val="es-ES"/>
        </w:rPr>
        <w:fldChar w:fldCharType="end"/>
      </w:r>
      <w:r w:rsidRPr="00E20FAA">
        <w:rPr>
          <w:rFonts w:ascii="Humanst521 BT" w:eastAsia="Verdana" w:hAnsi="Humanst521 BT"/>
          <w:color w:val="auto"/>
          <w:sz w:val="22"/>
          <w:szCs w:val="22"/>
          <w:lang w:val="es-ES"/>
        </w:rPr>
        <w:t>. Criterios de evaluación de los problemas identificados</w:t>
      </w:r>
      <w:bookmarkEnd w:id="231"/>
    </w:p>
    <w:p w14:paraId="768E4DA6" w14:textId="77777777" w:rsidR="00A179A9" w:rsidRPr="00A179A9" w:rsidRDefault="00A179A9" w:rsidP="00C47C20">
      <w:pPr>
        <w:pStyle w:val="Ttulo1"/>
        <w:rPr>
          <w:rFonts w:ascii="Humanst521 BT" w:hAnsi="Humanst521 BT"/>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237"/>
        <w:gridCol w:w="848"/>
      </w:tblGrid>
      <w:tr w:rsidR="00C47C20" w:rsidRPr="002231FF" w14:paraId="690A7B4F" w14:textId="77777777" w:rsidTr="002231FF">
        <w:tc>
          <w:tcPr>
            <w:tcW w:w="1555" w:type="dxa"/>
            <w:shd w:val="clear" w:color="auto" w:fill="C5E0B3" w:themeFill="accent6" w:themeFillTint="66"/>
          </w:tcPr>
          <w:p w14:paraId="2D57BFCB" w14:textId="77777777" w:rsidR="00C47C20" w:rsidRPr="002231FF" w:rsidRDefault="00C47C20" w:rsidP="002231FF">
            <w:pPr>
              <w:jc w:val="center"/>
              <w:rPr>
                <w:rFonts w:ascii="Humanst521 BT" w:hAnsi="Humanst521 BT"/>
                <w:b/>
                <w:bCs/>
                <w:sz w:val="20"/>
                <w:szCs w:val="20"/>
              </w:rPr>
            </w:pPr>
            <w:r w:rsidRPr="002231FF">
              <w:rPr>
                <w:rFonts w:ascii="Humanst521 BT" w:hAnsi="Humanst521 BT"/>
                <w:b/>
                <w:bCs/>
                <w:sz w:val="20"/>
                <w:szCs w:val="20"/>
              </w:rPr>
              <w:t>C</w:t>
            </w:r>
            <w:proofErr w:type="spellStart"/>
            <w:r w:rsidRPr="002231FF">
              <w:rPr>
                <w:rFonts w:ascii="Humanst521 BT" w:eastAsia="Times New Roman" w:hAnsi="Humanst521 BT" w:cs="Calibri"/>
                <w:b/>
                <w:bCs/>
                <w:sz w:val="20"/>
                <w:szCs w:val="20"/>
                <w:lang w:val="es-CO" w:eastAsia="es-CO"/>
              </w:rPr>
              <w:t>riterio</w:t>
            </w:r>
            <w:proofErr w:type="spellEnd"/>
          </w:p>
        </w:tc>
        <w:tc>
          <w:tcPr>
            <w:tcW w:w="6237" w:type="dxa"/>
            <w:shd w:val="clear" w:color="auto" w:fill="C5E0B3" w:themeFill="accent6" w:themeFillTint="66"/>
          </w:tcPr>
          <w:p w14:paraId="1A659A6D" w14:textId="77777777" w:rsidR="00C47C20" w:rsidRPr="002231FF" w:rsidRDefault="00C47C20" w:rsidP="002231FF">
            <w:pPr>
              <w:jc w:val="center"/>
              <w:rPr>
                <w:rFonts w:ascii="Humanst521 BT" w:hAnsi="Humanst521 BT"/>
                <w:b/>
                <w:bCs/>
                <w:sz w:val="20"/>
                <w:szCs w:val="20"/>
              </w:rPr>
            </w:pPr>
            <w:r w:rsidRPr="002231FF">
              <w:rPr>
                <w:rFonts w:ascii="Humanst521 BT" w:hAnsi="Humanst521 BT"/>
                <w:b/>
                <w:bCs/>
                <w:sz w:val="20"/>
                <w:szCs w:val="20"/>
              </w:rPr>
              <w:t>Definición</w:t>
            </w:r>
          </w:p>
        </w:tc>
        <w:tc>
          <w:tcPr>
            <w:tcW w:w="848" w:type="dxa"/>
            <w:shd w:val="clear" w:color="auto" w:fill="C5E0B3" w:themeFill="accent6" w:themeFillTint="66"/>
          </w:tcPr>
          <w:p w14:paraId="46E20C9B" w14:textId="77777777" w:rsidR="00C47C20" w:rsidRPr="002231FF" w:rsidRDefault="00C47C20" w:rsidP="002231FF">
            <w:pPr>
              <w:jc w:val="center"/>
              <w:rPr>
                <w:rFonts w:ascii="Humanst521 BT" w:hAnsi="Humanst521 BT"/>
                <w:b/>
                <w:bCs/>
                <w:sz w:val="20"/>
                <w:szCs w:val="20"/>
              </w:rPr>
            </w:pPr>
            <w:r w:rsidRPr="002231FF">
              <w:rPr>
                <w:rFonts w:ascii="Humanst521 BT" w:hAnsi="Humanst521 BT"/>
                <w:b/>
                <w:bCs/>
                <w:sz w:val="20"/>
                <w:szCs w:val="20"/>
              </w:rPr>
              <w:t>Escala</w:t>
            </w:r>
          </w:p>
        </w:tc>
      </w:tr>
      <w:tr w:rsidR="00C47C20" w:rsidRPr="002231FF" w14:paraId="185681B4" w14:textId="77777777" w:rsidTr="002231FF">
        <w:tc>
          <w:tcPr>
            <w:tcW w:w="1555" w:type="dxa"/>
          </w:tcPr>
          <w:p w14:paraId="52298035"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Magnitud</w:t>
            </w:r>
          </w:p>
        </w:tc>
        <w:tc>
          <w:tcPr>
            <w:tcW w:w="6237" w:type="dxa"/>
          </w:tcPr>
          <w:p w14:paraId="1D284A6C" w14:textId="3CBEC1C9" w:rsidR="00C47C20" w:rsidRPr="002231FF" w:rsidRDefault="00C47C20" w:rsidP="00D2556E">
            <w:pPr>
              <w:rPr>
                <w:rFonts w:ascii="Humanst521 BT" w:hAnsi="Humanst521 BT"/>
                <w:sz w:val="20"/>
                <w:szCs w:val="20"/>
              </w:rPr>
            </w:pPr>
            <w:r w:rsidRPr="002231FF">
              <w:rPr>
                <w:rFonts w:ascii="Humanst521 BT" w:hAnsi="Humanst521 BT"/>
                <w:sz w:val="20"/>
                <w:szCs w:val="20"/>
              </w:rPr>
              <w:t>Frecuencia del problema</w:t>
            </w:r>
            <w:r w:rsidR="002231FF" w:rsidRPr="002231FF">
              <w:rPr>
                <w:rFonts w:ascii="Humanst521 BT" w:hAnsi="Humanst521 BT"/>
                <w:sz w:val="20"/>
                <w:szCs w:val="20"/>
              </w:rPr>
              <w:t xml:space="preserve"> </w:t>
            </w:r>
            <w:r w:rsidR="007C01CA" w:rsidRPr="002231FF">
              <w:rPr>
                <w:rFonts w:ascii="Humanst521 BT" w:eastAsia="Times New Roman" w:hAnsi="Humanst521 BT" w:cs="Times New Roman"/>
                <w:color w:val="000000"/>
                <w:sz w:val="20"/>
                <w:szCs w:val="20"/>
                <w:lang w:val="es-CO" w:eastAsia="es-CO"/>
              </w:rPr>
              <w:t>¿Cuántas personas son afectados por el</w:t>
            </w:r>
          </w:p>
        </w:tc>
        <w:tc>
          <w:tcPr>
            <w:tcW w:w="848" w:type="dxa"/>
          </w:tcPr>
          <w:p w14:paraId="2DBBCA8E"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1-5</w:t>
            </w:r>
          </w:p>
        </w:tc>
      </w:tr>
      <w:tr w:rsidR="00C47C20" w:rsidRPr="002231FF" w14:paraId="11831C34" w14:textId="77777777" w:rsidTr="002231FF">
        <w:tc>
          <w:tcPr>
            <w:tcW w:w="1555" w:type="dxa"/>
          </w:tcPr>
          <w:p w14:paraId="49BAA13E"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Trascendencia</w:t>
            </w:r>
          </w:p>
        </w:tc>
        <w:tc>
          <w:tcPr>
            <w:tcW w:w="6237" w:type="dxa"/>
          </w:tcPr>
          <w:p w14:paraId="17C8B2F9" w14:textId="7D1D1C13" w:rsidR="00C47C20" w:rsidRPr="002231FF" w:rsidRDefault="00C47C20" w:rsidP="00D2556E">
            <w:pPr>
              <w:rPr>
                <w:rFonts w:ascii="Humanst521 BT" w:hAnsi="Humanst521 BT"/>
                <w:sz w:val="20"/>
                <w:szCs w:val="20"/>
              </w:rPr>
            </w:pPr>
            <w:r w:rsidRPr="002231FF">
              <w:rPr>
                <w:rFonts w:ascii="Humanst521 BT" w:hAnsi="Humanst521 BT"/>
                <w:sz w:val="20"/>
                <w:szCs w:val="20"/>
              </w:rPr>
              <w:t>Impacto en salud</w:t>
            </w:r>
            <w:r w:rsidR="007C01CA" w:rsidRPr="002231FF">
              <w:rPr>
                <w:rFonts w:ascii="Humanst521 BT" w:hAnsi="Humanst521 BT"/>
                <w:sz w:val="20"/>
                <w:szCs w:val="20"/>
              </w:rPr>
              <w:t xml:space="preserve"> </w:t>
            </w:r>
            <w:r w:rsidR="00811E5F" w:rsidRPr="002231FF">
              <w:rPr>
                <w:rFonts w:ascii="Humanst521 BT" w:eastAsia="Times New Roman" w:hAnsi="Humanst521 BT" w:cs="Times New Roman"/>
                <w:color w:val="000000"/>
                <w:sz w:val="20"/>
                <w:szCs w:val="20"/>
                <w:lang w:val="es-CO" w:eastAsia="es-CO"/>
              </w:rPr>
              <w:t>¿Qué tan duradero o grave es el problema por sus efectos a través del tiempo?</w:t>
            </w:r>
          </w:p>
        </w:tc>
        <w:tc>
          <w:tcPr>
            <w:tcW w:w="848" w:type="dxa"/>
          </w:tcPr>
          <w:p w14:paraId="0986C012"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1-5</w:t>
            </w:r>
          </w:p>
        </w:tc>
      </w:tr>
      <w:tr w:rsidR="00C47C20" w:rsidRPr="002231FF" w14:paraId="6EE97E70" w14:textId="77777777" w:rsidTr="002231FF">
        <w:tc>
          <w:tcPr>
            <w:tcW w:w="1555" w:type="dxa"/>
          </w:tcPr>
          <w:p w14:paraId="6DDDAA10"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Pertinencia</w:t>
            </w:r>
          </w:p>
        </w:tc>
        <w:tc>
          <w:tcPr>
            <w:tcW w:w="6237" w:type="dxa"/>
          </w:tcPr>
          <w:p w14:paraId="6BD22A56" w14:textId="1F140EEC" w:rsidR="00C47C20" w:rsidRPr="002231FF" w:rsidRDefault="002231FF" w:rsidP="00D2556E">
            <w:pPr>
              <w:rPr>
                <w:rFonts w:ascii="Humanst521 BT" w:hAnsi="Humanst521 BT"/>
                <w:sz w:val="20"/>
                <w:szCs w:val="20"/>
              </w:rPr>
            </w:pPr>
            <w:r w:rsidRPr="002231FF">
              <w:rPr>
                <w:rFonts w:ascii="Humanst521 BT" w:hAnsi="Humanst521 BT"/>
                <w:sz w:val="20"/>
                <w:szCs w:val="20"/>
              </w:rPr>
              <w:t>¿Relación social Cuál es el grado de adecuación o de compromiso que tiene la política respecto al contexto social en el cual se desarrolla y respecto del marco cultural de la población en la que se da?</w:t>
            </w:r>
          </w:p>
        </w:tc>
        <w:tc>
          <w:tcPr>
            <w:tcW w:w="848" w:type="dxa"/>
          </w:tcPr>
          <w:p w14:paraId="78AF0F43"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1-5</w:t>
            </w:r>
          </w:p>
        </w:tc>
      </w:tr>
      <w:tr w:rsidR="00C47C20" w:rsidRPr="002231FF" w14:paraId="5E738CB3" w14:textId="77777777" w:rsidTr="002231FF">
        <w:tc>
          <w:tcPr>
            <w:tcW w:w="1555" w:type="dxa"/>
          </w:tcPr>
          <w:p w14:paraId="0EA48DB2"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Factibilidad</w:t>
            </w:r>
          </w:p>
        </w:tc>
        <w:tc>
          <w:tcPr>
            <w:tcW w:w="6237" w:type="dxa"/>
          </w:tcPr>
          <w:p w14:paraId="59DC94A5" w14:textId="28BF5064" w:rsidR="00C47C20" w:rsidRPr="002231FF" w:rsidRDefault="00C47C20" w:rsidP="00D2556E">
            <w:pPr>
              <w:rPr>
                <w:rFonts w:ascii="Humanst521 BT" w:hAnsi="Humanst521 BT"/>
                <w:sz w:val="20"/>
                <w:szCs w:val="20"/>
              </w:rPr>
            </w:pPr>
            <w:r w:rsidRPr="002231FF">
              <w:rPr>
                <w:rFonts w:ascii="Humanst521 BT" w:hAnsi="Humanst521 BT"/>
                <w:sz w:val="20"/>
                <w:szCs w:val="20"/>
              </w:rPr>
              <w:t>Capacidad institucional</w:t>
            </w:r>
            <w:r w:rsidR="00811E5F" w:rsidRPr="002231FF">
              <w:rPr>
                <w:rFonts w:ascii="Humanst521 BT" w:hAnsi="Humanst521 BT"/>
                <w:sz w:val="20"/>
                <w:szCs w:val="20"/>
              </w:rPr>
              <w:t xml:space="preserve"> </w:t>
            </w:r>
            <w:r w:rsidR="00811E5F" w:rsidRPr="002231FF">
              <w:rPr>
                <w:rFonts w:ascii="Humanst521 BT" w:eastAsia="Times New Roman" w:hAnsi="Humanst521 BT" w:cs="Times New Roman"/>
                <w:color w:val="000000"/>
                <w:sz w:val="20"/>
                <w:szCs w:val="20"/>
                <w:lang w:val="es-CO" w:eastAsia="es-CO"/>
              </w:rPr>
              <w:t>¿Es posible la intervención?</w:t>
            </w:r>
          </w:p>
        </w:tc>
        <w:tc>
          <w:tcPr>
            <w:tcW w:w="848" w:type="dxa"/>
          </w:tcPr>
          <w:p w14:paraId="7E3F5382"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1-5</w:t>
            </w:r>
          </w:p>
        </w:tc>
      </w:tr>
      <w:tr w:rsidR="00C47C20" w:rsidRPr="002231FF" w14:paraId="18EE83B3" w14:textId="77777777" w:rsidTr="002231FF">
        <w:tc>
          <w:tcPr>
            <w:tcW w:w="1555" w:type="dxa"/>
          </w:tcPr>
          <w:p w14:paraId="11E98D37"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Viabilidad</w:t>
            </w:r>
          </w:p>
        </w:tc>
        <w:tc>
          <w:tcPr>
            <w:tcW w:w="6237" w:type="dxa"/>
          </w:tcPr>
          <w:p w14:paraId="47DB36D2" w14:textId="6FA064D1" w:rsidR="00C47C20" w:rsidRPr="002231FF" w:rsidRDefault="00C47C20" w:rsidP="00D2556E">
            <w:pPr>
              <w:rPr>
                <w:rFonts w:ascii="Humanst521 BT" w:hAnsi="Humanst521 BT"/>
                <w:sz w:val="20"/>
                <w:szCs w:val="20"/>
              </w:rPr>
            </w:pPr>
            <w:r w:rsidRPr="002231FF">
              <w:rPr>
                <w:rFonts w:ascii="Humanst521 BT" w:hAnsi="Humanst521 BT"/>
                <w:sz w:val="20"/>
                <w:szCs w:val="20"/>
              </w:rPr>
              <w:t>Implementación</w:t>
            </w:r>
            <w:r w:rsidR="00811E5F" w:rsidRPr="002231FF">
              <w:rPr>
                <w:rFonts w:ascii="Humanst521 BT" w:hAnsi="Humanst521 BT"/>
                <w:sz w:val="20"/>
                <w:szCs w:val="20"/>
              </w:rPr>
              <w:t xml:space="preserve"> - </w:t>
            </w:r>
            <w:r w:rsidR="00811E5F" w:rsidRPr="002231FF">
              <w:rPr>
                <w:rFonts w:ascii="Humanst521 BT" w:eastAsia="Times New Roman" w:hAnsi="Humanst521 BT" w:cs="Times New Roman"/>
                <w:color w:val="000000"/>
                <w:sz w:val="20"/>
                <w:szCs w:val="20"/>
                <w:lang w:val="es-CO" w:eastAsia="es-CO"/>
              </w:rPr>
              <w:t>¿Las circunstancias permiten realizar la intervención?</w:t>
            </w:r>
          </w:p>
        </w:tc>
        <w:tc>
          <w:tcPr>
            <w:tcW w:w="848" w:type="dxa"/>
          </w:tcPr>
          <w:p w14:paraId="3FD2E6D6" w14:textId="77777777" w:rsidR="00C47C20" w:rsidRPr="002231FF" w:rsidRDefault="00C47C20" w:rsidP="00D2556E">
            <w:pPr>
              <w:rPr>
                <w:rFonts w:ascii="Humanst521 BT" w:hAnsi="Humanst521 BT"/>
                <w:sz w:val="20"/>
                <w:szCs w:val="20"/>
              </w:rPr>
            </w:pPr>
            <w:r w:rsidRPr="002231FF">
              <w:rPr>
                <w:rFonts w:ascii="Humanst521 BT" w:hAnsi="Humanst521 BT"/>
                <w:sz w:val="20"/>
                <w:szCs w:val="20"/>
              </w:rPr>
              <w:t>1-5</w:t>
            </w:r>
          </w:p>
        </w:tc>
      </w:tr>
    </w:tbl>
    <w:p w14:paraId="3A84417F" w14:textId="77777777" w:rsidR="002231FF" w:rsidRDefault="002231FF" w:rsidP="002231FF">
      <w:pPr>
        <w:rPr>
          <w:rFonts w:ascii="Humanst521 BT" w:hAnsi="Humanst521 BT"/>
          <w:b/>
          <w:bCs/>
        </w:rPr>
      </w:pPr>
    </w:p>
    <w:p w14:paraId="055845A2" w14:textId="52952031" w:rsidR="00F35CD3" w:rsidRPr="00F35CD3" w:rsidRDefault="00F35CD3" w:rsidP="00F35CD3">
      <w:pPr>
        <w:widowControl/>
        <w:autoSpaceDE/>
        <w:autoSpaceDN/>
        <w:spacing w:before="100" w:beforeAutospacing="1" w:after="100" w:afterAutospacing="1" w:line="300" w:lineRule="atLeast"/>
        <w:jc w:val="both"/>
        <w:rPr>
          <w:rFonts w:ascii="Humanst521 BT" w:eastAsia="Times New Roman" w:hAnsi="Humanst521 BT" w:cs="Segoe UI"/>
          <w:lang w:val="es-CO" w:eastAsia="es-CO"/>
        </w:rPr>
      </w:pPr>
      <w:r w:rsidRPr="00F35CD3">
        <w:rPr>
          <w:rFonts w:ascii="Humanst521 BT" w:eastAsia="Times New Roman" w:hAnsi="Humanst521 BT" w:cs="Segoe UI"/>
          <w:lang w:val="es-CO" w:eastAsia="es-CO"/>
        </w:rPr>
        <w:t xml:space="preserve">Con base en el análisis previo de los determinantes sociales de la salud, la situación de morbilidad y mortalidad, y el proceso de validación en comité </w:t>
      </w:r>
      <w:r w:rsidR="00416D27">
        <w:rPr>
          <w:rFonts w:ascii="Humanst521 BT" w:eastAsia="Times New Roman" w:hAnsi="Humanst521 BT" w:cs="Segoe UI"/>
          <w:lang w:val="es-CO" w:eastAsia="es-CO"/>
        </w:rPr>
        <w:t xml:space="preserve">de gestión </w:t>
      </w:r>
      <w:r w:rsidR="00E76C9C">
        <w:rPr>
          <w:rFonts w:ascii="Humanst521 BT" w:eastAsia="Times New Roman" w:hAnsi="Humanst521 BT" w:cs="Segoe UI"/>
          <w:lang w:val="es-CO" w:eastAsia="es-CO"/>
        </w:rPr>
        <w:t xml:space="preserve">integral </w:t>
      </w:r>
      <w:r w:rsidR="00416D27">
        <w:rPr>
          <w:rFonts w:ascii="Humanst521 BT" w:eastAsia="Times New Roman" w:hAnsi="Humanst521 BT" w:cs="Segoe UI"/>
          <w:lang w:val="es-CO" w:eastAsia="es-CO"/>
        </w:rPr>
        <w:t>del riesgo</w:t>
      </w:r>
      <w:r w:rsidRPr="00F35CD3">
        <w:rPr>
          <w:rFonts w:ascii="Humanst521 BT" w:eastAsia="Times New Roman" w:hAnsi="Humanst521 BT" w:cs="Segoe UI"/>
          <w:lang w:val="es-CO" w:eastAsia="es-CO"/>
        </w:rPr>
        <w:t>, se procedió a la priorización de los problemas de salud identificados.</w:t>
      </w:r>
    </w:p>
    <w:p w14:paraId="267410F3" w14:textId="77777777" w:rsidR="00F35CD3" w:rsidRPr="00F35CD3" w:rsidRDefault="00F35CD3" w:rsidP="00F35CD3">
      <w:pPr>
        <w:widowControl/>
        <w:autoSpaceDE/>
        <w:autoSpaceDN/>
        <w:spacing w:before="100" w:beforeAutospacing="1" w:after="100" w:afterAutospacing="1" w:line="300" w:lineRule="atLeast"/>
        <w:jc w:val="both"/>
        <w:rPr>
          <w:rFonts w:ascii="Humanst521 BT" w:eastAsia="Times New Roman" w:hAnsi="Humanst521 BT" w:cs="Segoe UI"/>
          <w:lang w:val="es-CO" w:eastAsia="es-CO"/>
        </w:rPr>
      </w:pPr>
      <w:r w:rsidRPr="00F35CD3">
        <w:rPr>
          <w:rFonts w:ascii="Humanst521 BT" w:eastAsia="Times New Roman" w:hAnsi="Humanst521 BT" w:cs="Segoe UI"/>
          <w:lang w:val="es-CO" w:eastAsia="es-CO"/>
        </w:rPr>
        <w:t>Este proceso se realizó mediante la aplicación de criterios técnicos definidos por el Ministerio de Salud y Protección Social, incluyendo la magnitud del problema, su trascendencia en términos de carga de enfermedad y mortalidad, la pertinencia social y sanitaria, así como la factibilidad y viabilidad de intervención desde el aseguramiento en salud.</w:t>
      </w:r>
    </w:p>
    <w:p w14:paraId="4DBAFD7D" w14:textId="77777777" w:rsidR="00F35CD3" w:rsidRPr="00F35CD3" w:rsidRDefault="00F35CD3" w:rsidP="00F35CD3">
      <w:pPr>
        <w:widowControl/>
        <w:autoSpaceDE/>
        <w:autoSpaceDN/>
        <w:spacing w:before="100" w:beforeAutospacing="1" w:after="100" w:afterAutospacing="1" w:line="300" w:lineRule="atLeast"/>
        <w:jc w:val="both"/>
        <w:rPr>
          <w:rFonts w:ascii="Humanst521 BT" w:eastAsia="Times New Roman" w:hAnsi="Humanst521 BT" w:cs="Segoe UI"/>
          <w:lang w:val="es-CO" w:eastAsia="es-CO"/>
        </w:rPr>
      </w:pPr>
      <w:r w:rsidRPr="00F35CD3">
        <w:rPr>
          <w:rFonts w:ascii="Humanst521 BT" w:eastAsia="Times New Roman" w:hAnsi="Humanst521 BT" w:cs="Segoe UI"/>
          <w:lang w:val="es-CO" w:eastAsia="es-CO"/>
        </w:rPr>
        <w:t>La priorización permite orientar de manera estratégica las acciones de gestión del riesgo, focalizando los recursos en aquellas problemáticas que generan mayor impacto en la población afiliada y en la sostenibilidad del sistema.</w:t>
      </w:r>
    </w:p>
    <w:p w14:paraId="199B7BA1" w14:textId="77777777" w:rsidR="00F35CD3" w:rsidRPr="00F35CD3" w:rsidRDefault="00F35CD3" w:rsidP="00F35CD3">
      <w:pPr>
        <w:widowControl/>
        <w:autoSpaceDE/>
        <w:autoSpaceDN/>
        <w:spacing w:before="100" w:beforeAutospacing="1" w:after="100" w:afterAutospacing="1" w:line="300" w:lineRule="atLeast"/>
        <w:jc w:val="both"/>
        <w:rPr>
          <w:rFonts w:ascii="Humanst521 BT" w:eastAsia="Times New Roman" w:hAnsi="Humanst521 BT" w:cs="Segoe UI"/>
          <w:lang w:val="es-CO" w:eastAsia="es-CO"/>
        </w:rPr>
      </w:pPr>
      <w:r w:rsidRPr="00F35CD3">
        <w:rPr>
          <w:rFonts w:ascii="Humanst521 BT" w:eastAsia="Times New Roman" w:hAnsi="Humanst521 BT" w:cs="Segoe UI"/>
          <w:lang w:val="es-CO" w:eastAsia="es-CO"/>
        </w:rPr>
        <w:t>Es importante señalar que esta priorización no busca intervenir directamente los determinantes estructurales no modificables, sino mitigar sus efectos en salud mediante intervenciones integrales, preventivas y de atención continua.</w:t>
      </w:r>
    </w:p>
    <w:p w14:paraId="113F2958" w14:textId="7ED17C46" w:rsidR="00C47C20" w:rsidRPr="00C93AFE" w:rsidRDefault="002231FF" w:rsidP="00CF2550">
      <w:pPr>
        <w:pStyle w:val="Ttulo3"/>
        <w:rPr>
          <w:rFonts w:ascii="Humanst521 BT" w:hAnsi="Humanst521 BT"/>
          <w:b/>
          <w:bCs/>
          <w:color w:val="2F5496" w:themeColor="accent1" w:themeShade="BF"/>
          <w:sz w:val="24"/>
          <w:szCs w:val="24"/>
        </w:rPr>
      </w:pPr>
      <w:bookmarkStart w:id="232" w:name="_Toc231286820"/>
      <w:r w:rsidRPr="00C93AFE">
        <w:rPr>
          <w:rFonts w:ascii="Humanst521 BT" w:hAnsi="Humanst521 BT"/>
          <w:b/>
          <w:bCs/>
          <w:color w:val="2F5496" w:themeColor="accent1" w:themeShade="BF"/>
          <w:sz w:val="24"/>
          <w:szCs w:val="24"/>
        </w:rPr>
        <w:lastRenderedPageBreak/>
        <w:t>5.</w:t>
      </w:r>
      <w:r w:rsidR="00C47C20" w:rsidRPr="00C93AFE">
        <w:rPr>
          <w:rFonts w:ascii="Humanst521 BT" w:hAnsi="Humanst521 BT"/>
          <w:b/>
          <w:bCs/>
          <w:color w:val="2F5496" w:themeColor="accent1" w:themeShade="BF"/>
          <w:sz w:val="24"/>
          <w:szCs w:val="24"/>
        </w:rPr>
        <w:t>3.3 Listado consolidado de problemas</w:t>
      </w:r>
      <w:bookmarkEnd w:id="232"/>
    </w:p>
    <w:p w14:paraId="1A1D5F54" w14:textId="77777777" w:rsidR="00006644" w:rsidRDefault="00006644" w:rsidP="00C47C20">
      <w:pPr>
        <w:pStyle w:val="Ttulo1"/>
        <w:rPr>
          <w:rFonts w:ascii="Humanst521 BT" w:hAnsi="Humanst521 BT"/>
          <w:b/>
          <w:bCs/>
          <w:sz w:val="22"/>
          <w:szCs w:val="22"/>
        </w:rPr>
      </w:pPr>
    </w:p>
    <w:p w14:paraId="46F1EC5B" w14:textId="77777777" w:rsidR="00006644" w:rsidRPr="00F76AE2" w:rsidRDefault="00006644" w:rsidP="00C47C20">
      <w:pPr>
        <w:pStyle w:val="Ttulo1"/>
        <w:rPr>
          <w:rFonts w:ascii="Humanst521 BT" w:hAnsi="Humanst521 BT"/>
          <w:b/>
          <w:bCs/>
          <w:sz w:val="24"/>
          <w:szCs w:val="24"/>
        </w:rPr>
      </w:pPr>
    </w:p>
    <w:p w14:paraId="6CA00FE2" w14:textId="6E5EC659" w:rsidR="00AD6EC0" w:rsidRPr="00C93AFE" w:rsidRDefault="00490980" w:rsidP="00CF2550">
      <w:pPr>
        <w:pStyle w:val="Descripcin"/>
        <w:spacing w:line="240" w:lineRule="auto"/>
        <w:outlineLvl w:val="3"/>
        <w:rPr>
          <w:rFonts w:ascii="Humanst521 BT" w:eastAsia="Verdana" w:hAnsi="Humanst521 BT" w:cs="Verdana"/>
          <w:sz w:val="22"/>
          <w:szCs w:val="22"/>
          <w:lang w:val="es-ES"/>
        </w:rPr>
      </w:pPr>
      <w:bookmarkStart w:id="233" w:name="_Toc231286821"/>
      <w:r w:rsidRPr="00C93AFE">
        <w:rPr>
          <w:rFonts w:ascii="Humanst521 BT" w:eastAsia="Verdana" w:hAnsi="Humanst521 BT" w:cs="Verdana"/>
          <w:sz w:val="22"/>
          <w:szCs w:val="22"/>
          <w:lang w:val="es-ES"/>
        </w:rPr>
        <w:t>5.</w:t>
      </w:r>
      <w:r w:rsidR="00AD6EC0" w:rsidRPr="00C93AFE">
        <w:rPr>
          <w:rFonts w:ascii="Humanst521 BT" w:eastAsia="Verdana" w:hAnsi="Humanst521 BT" w:cs="Verdana"/>
          <w:sz w:val="22"/>
          <w:szCs w:val="22"/>
          <w:lang w:val="es-ES"/>
        </w:rPr>
        <w:t>3.3.</w:t>
      </w:r>
      <w:r w:rsidRPr="00C93AFE">
        <w:rPr>
          <w:rFonts w:ascii="Humanst521 BT" w:eastAsia="Verdana" w:hAnsi="Humanst521 BT" w:cs="Verdana"/>
          <w:sz w:val="22"/>
          <w:szCs w:val="22"/>
          <w:lang w:val="es-ES"/>
        </w:rPr>
        <w:t>1.</w:t>
      </w:r>
      <w:r w:rsidR="00AD6EC0" w:rsidRPr="00C93AFE">
        <w:rPr>
          <w:rFonts w:ascii="Humanst521 BT" w:eastAsia="Verdana" w:hAnsi="Humanst521 BT" w:cs="Verdana"/>
          <w:sz w:val="22"/>
          <w:szCs w:val="22"/>
          <w:lang w:val="es-ES"/>
        </w:rPr>
        <w:t xml:space="preserve"> Problemas identificados desde la configuración del territorio y los determinantes sociales de la salud</w:t>
      </w:r>
      <w:bookmarkEnd w:id="233"/>
    </w:p>
    <w:p w14:paraId="538E4DB5" w14:textId="77777777" w:rsidR="00AD6EC0" w:rsidRPr="00F76AE2" w:rsidRDefault="00AD6EC0" w:rsidP="00AD6EC0">
      <w:pPr>
        <w:pStyle w:val="NormalWeb"/>
        <w:spacing w:line="300" w:lineRule="atLeast"/>
        <w:rPr>
          <w:rFonts w:ascii="Humanst521 BT" w:hAnsi="Humanst521 BT" w:cs="Segoe UI"/>
          <w:sz w:val="22"/>
          <w:szCs w:val="22"/>
        </w:rPr>
      </w:pPr>
      <w:r w:rsidRPr="00F76AE2">
        <w:rPr>
          <w:rFonts w:ascii="Humanst521 BT" w:hAnsi="Humanst521 BT" w:cs="Segoe UI"/>
          <w:sz w:val="22"/>
          <w:szCs w:val="22"/>
        </w:rPr>
        <w:t xml:space="preserve">El análisis territorial y demográfico evidencia una </w:t>
      </w:r>
      <w:r w:rsidRPr="00F76AE2">
        <w:rPr>
          <w:rStyle w:val="Textoennegrita"/>
          <w:rFonts w:ascii="Humanst521 BT" w:hAnsi="Humanst521 BT" w:cs="Segoe UI"/>
          <w:sz w:val="22"/>
          <w:szCs w:val="22"/>
        </w:rPr>
        <w:t>estructura poblacional marcadamente envejecida</w:t>
      </w:r>
      <w:r w:rsidRPr="00F76AE2">
        <w:rPr>
          <w:rFonts w:ascii="Humanst521 BT" w:hAnsi="Humanst521 BT" w:cs="Segoe UI"/>
          <w:sz w:val="22"/>
          <w:szCs w:val="22"/>
        </w:rPr>
        <w:t>, con predominio del grupo de vejez (50,18 % de los afiliados), una baja proporción de población infantil y juvenil y un índice de envejecimiento significativamente superior al del ente territorial y al promedio nacional.</w:t>
      </w:r>
    </w:p>
    <w:p w14:paraId="1547F54B" w14:textId="77777777" w:rsidR="00AD6EC0" w:rsidRPr="00F76AE2" w:rsidRDefault="00AD6EC0" w:rsidP="00AD6EC0">
      <w:pPr>
        <w:pStyle w:val="NormalWeb"/>
        <w:spacing w:line="300" w:lineRule="atLeast"/>
        <w:rPr>
          <w:rFonts w:ascii="Humanst521 BT" w:hAnsi="Humanst521 BT" w:cs="Segoe UI"/>
          <w:sz w:val="22"/>
          <w:szCs w:val="22"/>
        </w:rPr>
      </w:pPr>
      <w:r w:rsidRPr="00F76AE2">
        <w:rPr>
          <w:rFonts w:ascii="Humanst521 BT" w:hAnsi="Humanst521 BT" w:cs="Segoe UI"/>
          <w:sz w:val="22"/>
          <w:szCs w:val="22"/>
        </w:rPr>
        <w:t>Esta configuración poblacional se asocia a:</w:t>
      </w:r>
    </w:p>
    <w:p w14:paraId="0499FE3D" w14:textId="77777777" w:rsidR="00AD6EC0" w:rsidRPr="00F76AE2" w:rsidRDefault="00AD6EC0" w:rsidP="00B6007F">
      <w:pPr>
        <w:widowControl/>
        <w:numPr>
          <w:ilvl w:val="0"/>
          <w:numId w:val="18"/>
        </w:numPr>
        <w:autoSpaceDE/>
        <w:autoSpaceDN/>
        <w:spacing w:before="100" w:beforeAutospacing="1" w:after="100" w:afterAutospacing="1" w:line="300" w:lineRule="atLeast"/>
        <w:rPr>
          <w:rFonts w:ascii="Humanst521 BT" w:hAnsi="Humanst521 BT" w:cs="Segoe UI"/>
        </w:rPr>
      </w:pPr>
      <w:r w:rsidRPr="00F76AE2">
        <w:rPr>
          <w:rFonts w:ascii="Humanst521 BT" w:hAnsi="Humanst521 BT" w:cs="Segoe UI"/>
        </w:rPr>
        <w:t>Mayor demanda de servicios de salud.</w:t>
      </w:r>
    </w:p>
    <w:p w14:paraId="22BB2249" w14:textId="77777777" w:rsidR="00AD6EC0" w:rsidRPr="00F76AE2" w:rsidRDefault="00AD6EC0" w:rsidP="00B6007F">
      <w:pPr>
        <w:widowControl/>
        <w:numPr>
          <w:ilvl w:val="0"/>
          <w:numId w:val="18"/>
        </w:numPr>
        <w:autoSpaceDE/>
        <w:autoSpaceDN/>
        <w:spacing w:before="100" w:beforeAutospacing="1" w:after="100" w:afterAutospacing="1" w:line="300" w:lineRule="atLeast"/>
        <w:rPr>
          <w:rFonts w:ascii="Humanst521 BT" w:hAnsi="Humanst521 BT" w:cs="Segoe UI"/>
        </w:rPr>
      </w:pPr>
      <w:r w:rsidRPr="00F76AE2">
        <w:rPr>
          <w:rFonts w:ascii="Humanst521 BT" w:hAnsi="Humanst521 BT" w:cs="Segoe UI"/>
        </w:rPr>
        <w:t>Incremento de la carga de enfermedades crónicas y multimorbilidad.</w:t>
      </w:r>
    </w:p>
    <w:p w14:paraId="001EFFDF" w14:textId="77777777" w:rsidR="00AD6EC0" w:rsidRPr="00F76AE2" w:rsidRDefault="00AD6EC0" w:rsidP="00B6007F">
      <w:pPr>
        <w:widowControl/>
        <w:numPr>
          <w:ilvl w:val="0"/>
          <w:numId w:val="18"/>
        </w:numPr>
        <w:autoSpaceDE/>
        <w:autoSpaceDN/>
        <w:spacing w:before="100" w:beforeAutospacing="1" w:after="100" w:afterAutospacing="1" w:line="300" w:lineRule="atLeast"/>
        <w:rPr>
          <w:rFonts w:ascii="Humanst521 BT" w:hAnsi="Humanst521 BT" w:cs="Segoe UI"/>
        </w:rPr>
      </w:pPr>
      <w:r w:rsidRPr="00F76AE2">
        <w:rPr>
          <w:rFonts w:ascii="Humanst521 BT" w:hAnsi="Humanst521 BT" w:cs="Segoe UI"/>
        </w:rPr>
        <w:t>Aumento del gasto en salud y necesidad de cuidados de larga duración.</w:t>
      </w:r>
    </w:p>
    <w:p w14:paraId="404ACE13" w14:textId="77777777" w:rsidR="00AD6EC0" w:rsidRPr="00F76AE2" w:rsidRDefault="00AD6EC0" w:rsidP="00AD6EC0">
      <w:pPr>
        <w:pStyle w:val="NormalWeb"/>
        <w:spacing w:line="300" w:lineRule="atLeast"/>
        <w:rPr>
          <w:rFonts w:ascii="Humanst521 BT" w:hAnsi="Humanst521 BT" w:cs="Segoe UI"/>
          <w:sz w:val="22"/>
          <w:szCs w:val="22"/>
        </w:rPr>
      </w:pPr>
      <w:r w:rsidRPr="00F76AE2">
        <w:rPr>
          <w:rFonts w:ascii="Humanst521 BT" w:hAnsi="Humanst521 BT" w:cs="Segoe UI"/>
          <w:sz w:val="22"/>
          <w:szCs w:val="22"/>
        </w:rPr>
        <w:t>Adicionalmente, se identifican problemáticas relacionadas con:</w:t>
      </w:r>
    </w:p>
    <w:p w14:paraId="10D0945C" w14:textId="77777777" w:rsidR="00AD6EC0" w:rsidRPr="00F76AE2" w:rsidRDefault="00AD6EC0" w:rsidP="00B6007F">
      <w:pPr>
        <w:widowControl/>
        <w:numPr>
          <w:ilvl w:val="0"/>
          <w:numId w:val="19"/>
        </w:numPr>
        <w:autoSpaceDE/>
        <w:autoSpaceDN/>
        <w:spacing w:before="100" w:beforeAutospacing="1" w:after="100" w:afterAutospacing="1" w:line="300" w:lineRule="atLeast"/>
        <w:rPr>
          <w:rFonts w:ascii="Humanst521 BT" w:hAnsi="Humanst521 BT" w:cs="Segoe UI"/>
        </w:rPr>
      </w:pPr>
      <w:r w:rsidRPr="00F76AE2">
        <w:rPr>
          <w:rStyle w:val="Textoennegrita"/>
          <w:rFonts w:ascii="Humanst521 BT" w:hAnsi="Humanst521 BT" w:cs="Segoe UI"/>
        </w:rPr>
        <w:t>Condiciones de vulnerabilidad específicas</w:t>
      </w:r>
      <w:r w:rsidRPr="00F76AE2">
        <w:rPr>
          <w:rFonts w:ascii="Humanst521 BT" w:hAnsi="Humanst521 BT" w:cs="Segoe UI"/>
        </w:rPr>
        <w:t>, como personas con discapacidad y víctimas del conflicto armado.</w:t>
      </w:r>
    </w:p>
    <w:p w14:paraId="2CD84D0A" w14:textId="77777777" w:rsidR="00AD6EC0" w:rsidRPr="00F76AE2" w:rsidRDefault="00AD6EC0" w:rsidP="00B6007F">
      <w:pPr>
        <w:widowControl/>
        <w:numPr>
          <w:ilvl w:val="0"/>
          <w:numId w:val="19"/>
        </w:numPr>
        <w:autoSpaceDE/>
        <w:autoSpaceDN/>
        <w:spacing w:before="100" w:beforeAutospacing="1" w:after="100" w:afterAutospacing="1" w:line="300" w:lineRule="atLeast"/>
        <w:rPr>
          <w:rFonts w:ascii="Humanst521 BT" w:hAnsi="Humanst521 BT" w:cs="Segoe UI"/>
        </w:rPr>
      </w:pPr>
      <w:r w:rsidRPr="00F76AE2">
        <w:rPr>
          <w:rStyle w:val="Textoennegrita"/>
          <w:rFonts w:ascii="Humanst521 BT" w:hAnsi="Humanst521 BT" w:cs="Segoe UI"/>
        </w:rPr>
        <w:t>Riesgos laborales</w:t>
      </w:r>
      <w:r w:rsidRPr="00F76AE2">
        <w:rPr>
          <w:rFonts w:ascii="Humanst521 BT" w:hAnsi="Humanst521 BT" w:cs="Segoe UI"/>
        </w:rPr>
        <w:t>, principalmente de origen osteomuscular y neurológico, asociados a condiciones ergonómicas.</w:t>
      </w:r>
    </w:p>
    <w:p w14:paraId="01103448" w14:textId="77777777" w:rsidR="00AD6EC0" w:rsidRPr="00F76AE2" w:rsidRDefault="00AD6EC0" w:rsidP="00B6007F">
      <w:pPr>
        <w:widowControl/>
        <w:numPr>
          <w:ilvl w:val="0"/>
          <w:numId w:val="19"/>
        </w:numPr>
        <w:autoSpaceDE/>
        <w:autoSpaceDN/>
        <w:spacing w:before="100" w:beforeAutospacing="1" w:after="100" w:afterAutospacing="1" w:line="300" w:lineRule="atLeast"/>
        <w:rPr>
          <w:rFonts w:ascii="Humanst521 BT" w:hAnsi="Humanst521 BT" w:cs="Segoe UI"/>
        </w:rPr>
      </w:pPr>
      <w:r w:rsidRPr="00F76AE2">
        <w:rPr>
          <w:rStyle w:val="Textoennegrita"/>
          <w:rFonts w:ascii="Humanst521 BT" w:hAnsi="Humanst521 BT" w:cs="Segoe UI"/>
        </w:rPr>
        <w:t>Centralización geográfica</w:t>
      </w:r>
      <w:r w:rsidRPr="00F76AE2">
        <w:rPr>
          <w:rFonts w:ascii="Humanst521 BT" w:hAnsi="Humanst521 BT" w:cs="Segoe UI"/>
        </w:rPr>
        <w:t xml:space="preserve"> de la población en el área metropolitana de Bucaramanga, con baja dispersión territorial, lo que facilita el acceso, pero exige alta capacidad resolutiva de la red principal.</w:t>
      </w:r>
    </w:p>
    <w:p w14:paraId="65B251BF" w14:textId="44EC365F" w:rsidR="00AD6EC0" w:rsidRPr="00F76AE2" w:rsidRDefault="00AD6EC0" w:rsidP="00AD6EC0">
      <w:pPr>
        <w:spacing w:line="300" w:lineRule="atLeast"/>
        <w:rPr>
          <w:rFonts w:ascii="Humanst521 BT" w:hAnsi="Humanst521 BT" w:cs="Segoe UI"/>
        </w:rPr>
      </w:pPr>
    </w:p>
    <w:p w14:paraId="04F6F0F2" w14:textId="5DC054D1" w:rsidR="00AD6EC0" w:rsidRPr="00C93AFE" w:rsidRDefault="00490980" w:rsidP="00CF2550">
      <w:pPr>
        <w:pStyle w:val="Descripcin"/>
        <w:spacing w:line="240" w:lineRule="auto"/>
        <w:outlineLvl w:val="3"/>
        <w:rPr>
          <w:rFonts w:ascii="Humanst521 BT" w:eastAsia="Verdana" w:hAnsi="Humanst521 BT" w:cs="Verdana"/>
          <w:sz w:val="22"/>
          <w:szCs w:val="22"/>
          <w:lang w:val="es-ES"/>
        </w:rPr>
      </w:pPr>
      <w:bookmarkStart w:id="234" w:name="_Toc231286822"/>
      <w:r w:rsidRPr="00C93AFE">
        <w:rPr>
          <w:rFonts w:ascii="Humanst521 BT" w:eastAsia="Verdana" w:hAnsi="Humanst521 BT" w:cs="Verdana"/>
          <w:sz w:val="22"/>
          <w:szCs w:val="22"/>
          <w:lang w:val="es-ES"/>
        </w:rPr>
        <w:t>5.3.3.2</w:t>
      </w:r>
      <w:r w:rsidR="00AD6EC0" w:rsidRPr="00C93AFE">
        <w:rPr>
          <w:rFonts w:ascii="Humanst521 BT" w:eastAsia="Verdana" w:hAnsi="Humanst521 BT" w:cs="Verdana"/>
          <w:sz w:val="22"/>
          <w:szCs w:val="22"/>
          <w:lang w:val="es-ES"/>
        </w:rPr>
        <w:t>. Problemas identificados en el análisis de morbilidad</w:t>
      </w:r>
      <w:bookmarkEnd w:id="234"/>
    </w:p>
    <w:p w14:paraId="108629B7" w14:textId="77777777" w:rsidR="00AD6EC0" w:rsidRPr="00F76AE2" w:rsidRDefault="00AD6EC0" w:rsidP="00AD6EC0">
      <w:pPr>
        <w:pStyle w:val="NormalWeb"/>
        <w:spacing w:line="300" w:lineRule="atLeast"/>
        <w:rPr>
          <w:rFonts w:ascii="Humanst521 BT" w:hAnsi="Humanst521 BT" w:cs="Segoe UI"/>
          <w:sz w:val="22"/>
          <w:szCs w:val="22"/>
        </w:rPr>
      </w:pPr>
      <w:r w:rsidRPr="00F76AE2">
        <w:rPr>
          <w:rFonts w:ascii="Humanst521 BT" w:hAnsi="Humanst521 BT" w:cs="Segoe UI"/>
          <w:sz w:val="22"/>
          <w:szCs w:val="22"/>
        </w:rPr>
        <w:t xml:space="preserve">El análisis de la morbilidad muestra un </w:t>
      </w:r>
      <w:r w:rsidRPr="00F76AE2">
        <w:rPr>
          <w:rStyle w:val="Textoennegrita"/>
          <w:rFonts w:ascii="Humanst521 BT" w:hAnsi="Humanst521 BT" w:cs="Segoe UI"/>
          <w:sz w:val="22"/>
          <w:szCs w:val="22"/>
        </w:rPr>
        <w:t>predominio de las enfermedades crónicas no transmisibles</w:t>
      </w:r>
      <w:r w:rsidRPr="00F76AE2">
        <w:rPr>
          <w:rFonts w:ascii="Humanst521 BT" w:hAnsi="Humanst521 BT" w:cs="Segoe UI"/>
          <w:sz w:val="22"/>
          <w:szCs w:val="22"/>
        </w:rPr>
        <w:t>, especialmente:</w:t>
      </w:r>
    </w:p>
    <w:p w14:paraId="05FB14FF" w14:textId="77777777" w:rsidR="00AD6EC0" w:rsidRPr="00F76AE2" w:rsidRDefault="00AD6EC0" w:rsidP="00B6007F">
      <w:pPr>
        <w:widowControl/>
        <w:numPr>
          <w:ilvl w:val="0"/>
          <w:numId w:val="20"/>
        </w:numPr>
        <w:autoSpaceDE/>
        <w:autoSpaceDN/>
        <w:spacing w:before="100" w:beforeAutospacing="1" w:after="100" w:afterAutospacing="1" w:line="300" w:lineRule="atLeast"/>
        <w:rPr>
          <w:rFonts w:ascii="Humanst521 BT" w:hAnsi="Humanst521 BT" w:cs="Segoe UI"/>
        </w:rPr>
      </w:pPr>
      <w:r w:rsidRPr="00F76AE2">
        <w:rPr>
          <w:rFonts w:ascii="Humanst521 BT" w:hAnsi="Humanst521 BT" w:cs="Segoe UI"/>
        </w:rPr>
        <w:t>Enfermedades cardiovasculares.</w:t>
      </w:r>
    </w:p>
    <w:p w14:paraId="0C612101" w14:textId="77777777" w:rsidR="00AD6EC0" w:rsidRPr="00F76AE2" w:rsidRDefault="00AD6EC0" w:rsidP="00B6007F">
      <w:pPr>
        <w:widowControl/>
        <w:numPr>
          <w:ilvl w:val="0"/>
          <w:numId w:val="20"/>
        </w:numPr>
        <w:autoSpaceDE/>
        <w:autoSpaceDN/>
        <w:spacing w:before="100" w:beforeAutospacing="1" w:after="100" w:afterAutospacing="1" w:line="300" w:lineRule="atLeast"/>
        <w:rPr>
          <w:rFonts w:ascii="Humanst521 BT" w:hAnsi="Humanst521 BT" w:cs="Segoe UI"/>
        </w:rPr>
      </w:pPr>
      <w:r w:rsidRPr="00F76AE2">
        <w:rPr>
          <w:rFonts w:ascii="Humanst521 BT" w:hAnsi="Humanst521 BT" w:cs="Segoe UI"/>
        </w:rPr>
        <w:t>Neoplasias.</w:t>
      </w:r>
    </w:p>
    <w:p w14:paraId="053BD6D8" w14:textId="77777777" w:rsidR="00AD6EC0" w:rsidRPr="00F76AE2" w:rsidRDefault="00AD6EC0" w:rsidP="00B6007F">
      <w:pPr>
        <w:widowControl/>
        <w:numPr>
          <w:ilvl w:val="0"/>
          <w:numId w:val="20"/>
        </w:numPr>
        <w:autoSpaceDE/>
        <w:autoSpaceDN/>
        <w:spacing w:before="100" w:beforeAutospacing="1" w:after="100" w:afterAutospacing="1" w:line="300" w:lineRule="atLeast"/>
        <w:rPr>
          <w:rFonts w:ascii="Humanst521 BT" w:hAnsi="Humanst521 BT" w:cs="Segoe UI"/>
        </w:rPr>
      </w:pPr>
      <w:r w:rsidRPr="00F76AE2">
        <w:rPr>
          <w:rFonts w:ascii="Humanst521 BT" w:hAnsi="Humanst521 BT" w:cs="Segoe UI"/>
        </w:rPr>
        <w:t>Enfermedades endocrinas y metabólicas, como hipertensión arterial y diabetes mellitus.</w:t>
      </w:r>
    </w:p>
    <w:p w14:paraId="63ADC7C7" w14:textId="77777777" w:rsidR="00AD6EC0" w:rsidRPr="00C93AFE" w:rsidRDefault="00AD6EC0" w:rsidP="00B6007F">
      <w:pPr>
        <w:widowControl/>
        <w:numPr>
          <w:ilvl w:val="0"/>
          <w:numId w:val="20"/>
        </w:numPr>
        <w:autoSpaceDE/>
        <w:autoSpaceDN/>
        <w:spacing w:before="100" w:beforeAutospacing="1" w:after="100" w:afterAutospacing="1" w:line="300" w:lineRule="atLeast"/>
        <w:rPr>
          <w:rFonts w:ascii="Humanst521 BT" w:hAnsi="Humanst521 BT" w:cs="Segoe UI"/>
        </w:rPr>
      </w:pPr>
      <w:r w:rsidRPr="00F76AE2">
        <w:rPr>
          <w:rFonts w:ascii="Humanst521 BT" w:hAnsi="Humanst521 BT" w:cs="Segoe UI"/>
        </w:rPr>
        <w:t>Condiciones neuropsiquiátricas.</w:t>
      </w:r>
    </w:p>
    <w:p w14:paraId="1CD5F6AF" w14:textId="77777777" w:rsidR="00AD6EC0" w:rsidRPr="00C93AFE" w:rsidRDefault="00AD6EC0" w:rsidP="00AD6EC0">
      <w:pPr>
        <w:pStyle w:val="NormalWeb"/>
        <w:spacing w:line="300" w:lineRule="atLeast"/>
        <w:rPr>
          <w:rFonts w:ascii="Humanst521 BT" w:hAnsi="Humanst521 BT" w:cs="Segoe UI"/>
          <w:sz w:val="22"/>
          <w:szCs w:val="22"/>
        </w:rPr>
      </w:pPr>
      <w:r w:rsidRPr="00C93AFE">
        <w:rPr>
          <w:rFonts w:ascii="Humanst521 BT" w:hAnsi="Humanst521 BT" w:cs="Segoe UI"/>
          <w:sz w:val="22"/>
          <w:szCs w:val="22"/>
        </w:rPr>
        <w:t>Estas patologías concentran una alta proporción de la atención en salud, generan discapacidad, requieren seguimiento continuo y representan un</w:t>
      </w:r>
      <w:r w:rsidRPr="00C93AFE">
        <w:rPr>
          <w:rFonts w:ascii="Humanst521 BT" w:hAnsi="Humanst521 BT" w:cs="Segoe UI"/>
          <w:b/>
          <w:bCs/>
          <w:sz w:val="22"/>
          <w:szCs w:val="22"/>
        </w:rPr>
        <w:t xml:space="preserve"> </w:t>
      </w:r>
      <w:r w:rsidRPr="00C93AFE">
        <w:rPr>
          <w:rStyle w:val="Textoennegrita"/>
          <w:rFonts w:ascii="Humanst521 BT" w:hAnsi="Humanst521 BT" w:cs="Segoe UI"/>
          <w:b w:val="0"/>
          <w:bCs w:val="0"/>
          <w:sz w:val="22"/>
          <w:szCs w:val="22"/>
        </w:rPr>
        <w:t>alto impacto financiero</w:t>
      </w:r>
      <w:r w:rsidRPr="00C93AFE">
        <w:rPr>
          <w:rFonts w:ascii="Humanst521 BT" w:hAnsi="Humanst521 BT" w:cs="Segoe UI"/>
          <w:sz w:val="22"/>
          <w:szCs w:val="22"/>
        </w:rPr>
        <w:t>, dado que un pequeño porcentaje de afiliados concentra más de la mitad del gasto total en salud.</w:t>
      </w:r>
    </w:p>
    <w:p w14:paraId="576565CC" w14:textId="77777777" w:rsidR="00AD6EC0" w:rsidRPr="00F76AE2" w:rsidRDefault="00AD6EC0" w:rsidP="00AD6EC0">
      <w:pPr>
        <w:pStyle w:val="NormalWeb"/>
        <w:spacing w:line="300" w:lineRule="atLeast"/>
        <w:rPr>
          <w:rFonts w:ascii="Humanst521 BT" w:hAnsi="Humanst521 BT" w:cs="Segoe UI"/>
          <w:sz w:val="22"/>
          <w:szCs w:val="22"/>
        </w:rPr>
      </w:pPr>
      <w:r w:rsidRPr="00C93AFE">
        <w:rPr>
          <w:rFonts w:ascii="Humanst521 BT" w:hAnsi="Humanst521 BT" w:cs="Segoe UI"/>
          <w:sz w:val="22"/>
          <w:szCs w:val="22"/>
        </w:rPr>
        <w:lastRenderedPageBreak/>
        <w:t xml:space="preserve">Dentro de los eventos de interés en salud pública, el </w:t>
      </w:r>
      <w:r w:rsidRPr="00C93AFE">
        <w:rPr>
          <w:rStyle w:val="Textoennegrita"/>
          <w:rFonts w:ascii="Humanst521 BT" w:hAnsi="Humanst521 BT" w:cs="Segoe UI"/>
          <w:b w:val="0"/>
          <w:bCs w:val="0"/>
          <w:sz w:val="22"/>
          <w:szCs w:val="22"/>
        </w:rPr>
        <w:t>dengue</w:t>
      </w:r>
      <w:r w:rsidRPr="00C93AFE">
        <w:rPr>
          <w:rFonts w:ascii="Humanst521 BT" w:hAnsi="Humanst521 BT" w:cs="Segoe UI"/>
          <w:b/>
          <w:bCs/>
          <w:sz w:val="22"/>
          <w:szCs w:val="22"/>
        </w:rPr>
        <w:t xml:space="preserve"> </w:t>
      </w:r>
      <w:r w:rsidRPr="00C93AFE">
        <w:rPr>
          <w:rFonts w:ascii="Humanst521 BT" w:hAnsi="Humanst521 BT" w:cs="Segoe UI"/>
          <w:sz w:val="22"/>
          <w:szCs w:val="22"/>
        </w:rPr>
        <w:t>continúa siendo el evento más notificado, asociado a condiciones ambientales y climáticas del territorio</w:t>
      </w:r>
      <w:r w:rsidRPr="00F76AE2">
        <w:rPr>
          <w:rFonts w:ascii="Humanst521 BT" w:hAnsi="Humanst521 BT" w:cs="Segoe UI"/>
          <w:sz w:val="22"/>
          <w:szCs w:val="22"/>
        </w:rPr>
        <w:t>, lo que lo mantiene como una prioridad desde la gestión del riesgo y la vigilancia epidemiológica.</w:t>
      </w:r>
    </w:p>
    <w:p w14:paraId="67FF3539" w14:textId="59EC1BE6" w:rsidR="00AD6EC0" w:rsidRPr="00F76AE2" w:rsidRDefault="00AD6EC0" w:rsidP="00AD6EC0">
      <w:pPr>
        <w:spacing w:line="300" w:lineRule="atLeast"/>
        <w:rPr>
          <w:rFonts w:ascii="Humanst521 BT" w:hAnsi="Humanst521 BT" w:cs="Segoe UI"/>
        </w:rPr>
      </w:pPr>
    </w:p>
    <w:p w14:paraId="44A9BE0C" w14:textId="096110CC" w:rsidR="00AD6EC0" w:rsidRPr="00C93AFE" w:rsidRDefault="00490980" w:rsidP="00CF2550">
      <w:pPr>
        <w:pStyle w:val="Descripcin"/>
        <w:spacing w:line="240" w:lineRule="auto"/>
        <w:outlineLvl w:val="3"/>
        <w:rPr>
          <w:rFonts w:ascii="Humanst521 BT" w:eastAsia="Verdana" w:hAnsi="Humanst521 BT" w:cs="Verdana"/>
          <w:sz w:val="22"/>
          <w:szCs w:val="22"/>
          <w:lang w:val="es-ES"/>
        </w:rPr>
      </w:pPr>
      <w:bookmarkStart w:id="235" w:name="_Toc231286823"/>
      <w:r w:rsidRPr="00C93AFE">
        <w:rPr>
          <w:rFonts w:ascii="Humanst521 BT" w:eastAsia="Verdana" w:hAnsi="Humanst521 BT" w:cs="Verdana"/>
          <w:sz w:val="22"/>
          <w:szCs w:val="22"/>
          <w:lang w:val="es-ES"/>
        </w:rPr>
        <w:t>5.3.</w:t>
      </w:r>
      <w:r w:rsidR="00AD6EC0" w:rsidRPr="00C93AFE">
        <w:rPr>
          <w:rFonts w:ascii="Humanst521 BT" w:eastAsia="Verdana" w:hAnsi="Humanst521 BT" w:cs="Verdana"/>
          <w:sz w:val="22"/>
          <w:szCs w:val="22"/>
          <w:lang w:val="es-ES"/>
        </w:rPr>
        <w:t>3.</w:t>
      </w:r>
      <w:r w:rsidR="00F76AE2" w:rsidRPr="00C93AFE">
        <w:rPr>
          <w:rFonts w:ascii="Humanst521 BT" w:eastAsia="Verdana" w:hAnsi="Humanst521 BT" w:cs="Verdana"/>
          <w:sz w:val="22"/>
          <w:szCs w:val="22"/>
          <w:lang w:val="es-ES"/>
        </w:rPr>
        <w:t>3</w:t>
      </w:r>
      <w:r w:rsidR="00AD6EC0" w:rsidRPr="00C93AFE">
        <w:rPr>
          <w:rFonts w:ascii="Humanst521 BT" w:eastAsia="Verdana" w:hAnsi="Humanst521 BT" w:cs="Verdana"/>
          <w:sz w:val="22"/>
          <w:szCs w:val="22"/>
          <w:lang w:val="es-ES"/>
        </w:rPr>
        <w:t>. Problemas identificados en el análisis de mortalidad</w:t>
      </w:r>
      <w:bookmarkEnd w:id="235"/>
    </w:p>
    <w:p w14:paraId="3EECB33E" w14:textId="77777777" w:rsidR="00AD6EC0" w:rsidRPr="00C93AFE" w:rsidRDefault="00AD6EC0" w:rsidP="00AD6EC0">
      <w:pPr>
        <w:pStyle w:val="NormalWeb"/>
        <w:spacing w:line="300" w:lineRule="atLeast"/>
        <w:rPr>
          <w:rFonts w:ascii="Humanst521 BT" w:hAnsi="Humanst521 BT" w:cs="Segoe UI"/>
          <w:sz w:val="22"/>
          <w:szCs w:val="22"/>
        </w:rPr>
      </w:pPr>
      <w:r w:rsidRPr="00F76AE2">
        <w:rPr>
          <w:rFonts w:ascii="Humanst521 BT" w:hAnsi="Humanst521 BT" w:cs="Segoe UI"/>
          <w:sz w:val="22"/>
          <w:szCs w:val="22"/>
        </w:rPr>
        <w:t xml:space="preserve">La </w:t>
      </w:r>
      <w:r w:rsidRPr="00C93AFE">
        <w:rPr>
          <w:rFonts w:ascii="Humanst521 BT" w:hAnsi="Humanst521 BT" w:cs="Segoe UI"/>
          <w:sz w:val="22"/>
          <w:szCs w:val="22"/>
        </w:rPr>
        <w:t>mortalidad en la población afiliada a UISALUD está determinada principalmente por:</w:t>
      </w:r>
    </w:p>
    <w:p w14:paraId="19A5260C" w14:textId="77777777" w:rsidR="00AD6EC0" w:rsidRPr="00C93AFE" w:rsidRDefault="00AD6EC0" w:rsidP="00B6007F">
      <w:pPr>
        <w:widowControl/>
        <w:numPr>
          <w:ilvl w:val="0"/>
          <w:numId w:val="21"/>
        </w:numPr>
        <w:autoSpaceDE/>
        <w:autoSpaceDN/>
        <w:spacing w:before="100" w:beforeAutospacing="1" w:after="100" w:afterAutospacing="1" w:line="300" w:lineRule="atLeast"/>
        <w:rPr>
          <w:rFonts w:ascii="Humanst521 BT" w:hAnsi="Humanst521 BT" w:cs="Segoe UI"/>
        </w:rPr>
      </w:pPr>
      <w:r w:rsidRPr="00C93AFE">
        <w:rPr>
          <w:rStyle w:val="Textoennegrita"/>
          <w:rFonts w:ascii="Humanst521 BT" w:hAnsi="Humanst521 BT" w:cs="Segoe UI"/>
          <w:b w:val="0"/>
          <w:bCs w:val="0"/>
        </w:rPr>
        <w:t>Neoplasias malignas</w:t>
      </w:r>
      <w:r w:rsidRPr="00C93AFE">
        <w:rPr>
          <w:rFonts w:ascii="Humanst521 BT" w:hAnsi="Humanst521 BT" w:cs="Segoe UI"/>
        </w:rPr>
        <w:t>.</w:t>
      </w:r>
    </w:p>
    <w:p w14:paraId="6FB149A3" w14:textId="77777777" w:rsidR="00AD6EC0" w:rsidRPr="00C93AFE" w:rsidRDefault="00AD6EC0" w:rsidP="00B6007F">
      <w:pPr>
        <w:widowControl/>
        <w:numPr>
          <w:ilvl w:val="0"/>
          <w:numId w:val="21"/>
        </w:numPr>
        <w:autoSpaceDE/>
        <w:autoSpaceDN/>
        <w:spacing w:before="100" w:beforeAutospacing="1" w:after="100" w:afterAutospacing="1" w:line="300" w:lineRule="atLeast"/>
        <w:rPr>
          <w:rFonts w:ascii="Humanst521 BT" w:hAnsi="Humanst521 BT" w:cs="Segoe UI"/>
        </w:rPr>
      </w:pPr>
      <w:r w:rsidRPr="00C93AFE">
        <w:rPr>
          <w:rStyle w:val="Textoennegrita"/>
          <w:rFonts w:ascii="Humanst521 BT" w:hAnsi="Humanst521 BT" w:cs="Segoe UI"/>
          <w:b w:val="0"/>
          <w:bCs w:val="0"/>
        </w:rPr>
        <w:t>Enfermedades del sistema circulatorio</w:t>
      </w:r>
      <w:r w:rsidRPr="00C93AFE">
        <w:rPr>
          <w:rFonts w:ascii="Humanst521 BT" w:hAnsi="Humanst521 BT" w:cs="Segoe UI"/>
        </w:rPr>
        <w:t>.</w:t>
      </w:r>
    </w:p>
    <w:p w14:paraId="7F62E3A7" w14:textId="77777777" w:rsidR="00AD6EC0" w:rsidRPr="00F76AE2" w:rsidRDefault="00AD6EC0" w:rsidP="00B6007F">
      <w:pPr>
        <w:widowControl/>
        <w:numPr>
          <w:ilvl w:val="0"/>
          <w:numId w:val="21"/>
        </w:numPr>
        <w:autoSpaceDE/>
        <w:autoSpaceDN/>
        <w:spacing w:before="100" w:beforeAutospacing="1" w:after="100" w:afterAutospacing="1" w:line="300" w:lineRule="atLeast"/>
        <w:rPr>
          <w:rFonts w:ascii="Humanst521 BT" w:hAnsi="Humanst521 BT" w:cs="Segoe UI"/>
        </w:rPr>
      </w:pPr>
      <w:r w:rsidRPr="00F76AE2">
        <w:rPr>
          <w:rFonts w:ascii="Humanst521 BT" w:hAnsi="Humanst521 BT" w:cs="Segoe UI"/>
        </w:rPr>
        <w:t>Otras enfermedades crónicas no transmisibles.</w:t>
      </w:r>
    </w:p>
    <w:p w14:paraId="0FC47E2C" w14:textId="77777777" w:rsidR="00AD6EC0" w:rsidRPr="00F76AE2" w:rsidRDefault="00AD6EC0" w:rsidP="00AD6EC0">
      <w:pPr>
        <w:pStyle w:val="NormalWeb"/>
        <w:spacing w:line="300" w:lineRule="atLeast"/>
        <w:rPr>
          <w:rFonts w:ascii="Humanst521 BT" w:hAnsi="Humanst521 BT" w:cs="Segoe UI"/>
          <w:sz w:val="22"/>
          <w:szCs w:val="22"/>
        </w:rPr>
      </w:pPr>
      <w:r w:rsidRPr="00F76AE2">
        <w:rPr>
          <w:rFonts w:ascii="Humanst521 BT" w:hAnsi="Humanst521 BT" w:cs="Segoe UI"/>
          <w:sz w:val="22"/>
          <w:szCs w:val="22"/>
        </w:rPr>
        <w:t xml:space="preserve">Aunque las tasas de mortalidad son inferiores a las reportadas a nivel departamental y nacional, estas causas concentran la mayor proporción </w:t>
      </w:r>
      <w:r w:rsidRPr="00C93AFE">
        <w:rPr>
          <w:rFonts w:ascii="Humanst521 BT" w:hAnsi="Humanst521 BT" w:cs="Segoe UI"/>
          <w:sz w:val="22"/>
          <w:szCs w:val="22"/>
        </w:rPr>
        <w:t>de</w:t>
      </w:r>
      <w:r w:rsidRPr="00C93AFE">
        <w:rPr>
          <w:rFonts w:ascii="Humanst521 BT" w:hAnsi="Humanst521 BT" w:cs="Segoe UI"/>
          <w:b/>
          <w:bCs/>
          <w:sz w:val="22"/>
          <w:szCs w:val="22"/>
        </w:rPr>
        <w:t xml:space="preserve"> </w:t>
      </w:r>
      <w:r w:rsidRPr="00C93AFE">
        <w:rPr>
          <w:rStyle w:val="Textoennegrita"/>
          <w:rFonts w:ascii="Humanst521 BT" w:hAnsi="Humanst521 BT" w:cs="Segoe UI"/>
          <w:b w:val="0"/>
          <w:bCs w:val="0"/>
          <w:sz w:val="22"/>
          <w:szCs w:val="22"/>
        </w:rPr>
        <w:t>años de vida potencialmente perdidos</w:t>
      </w:r>
      <w:r w:rsidRPr="00F76AE2">
        <w:rPr>
          <w:rFonts w:ascii="Humanst521 BT" w:hAnsi="Humanst521 BT" w:cs="Segoe UI"/>
          <w:sz w:val="22"/>
          <w:szCs w:val="22"/>
        </w:rPr>
        <w:t>, especialmente en población adulta y adulta mayor.</w:t>
      </w:r>
    </w:p>
    <w:p w14:paraId="0029253F" w14:textId="77777777" w:rsidR="00AD6EC0" w:rsidRPr="00F76AE2" w:rsidRDefault="00AD6EC0" w:rsidP="00AD6EC0">
      <w:pPr>
        <w:pStyle w:val="NormalWeb"/>
        <w:spacing w:line="300" w:lineRule="atLeast"/>
        <w:rPr>
          <w:rFonts w:ascii="Humanst521 BT" w:hAnsi="Humanst521 BT" w:cs="Segoe UI"/>
          <w:sz w:val="22"/>
          <w:szCs w:val="22"/>
        </w:rPr>
      </w:pPr>
      <w:r w:rsidRPr="00F76AE2">
        <w:rPr>
          <w:rFonts w:ascii="Humanst521 BT" w:hAnsi="Humanst521 BT" w:cs="Segoe UI"/>
          <w:sz w:val="22"/>
          <w:szCs w:val="22"/>
        </w:rPr>
        <w:t>Asimismo, las condiciones neuropsiquiátricas, incluyendo los trastornos mentales y del comportamiento, representan una problemática relevante por su impacto en la calidad de vida, la discapacidad y la demanda de servicios especializados.</w:t>
      </w:r>
    </w:p>
    <w:p w14:paraId="41CA0370" w14:textId="77777777" w:rsidR="007C2A0C" w:rsidRPr="00F76AE2" w:rsidRDefault="007C2A0C" w:rsidP="00C47C20">
      <w:pPr>
        <w:pStyle w:val="Ttulo1"/>
        <w:rPr>
          <w:rFonts w:ascii="Humanst521 BT" w:hAnsi="Humanst521 BT"/>
          <w:b/>
          <w:bCs/>
          <w:sz w:val="20"/>
          <w:szCs w:val="20"/>
        </w:rPr>
      </w:pPr>
    </w:p>
    <w:p w14:paraId="45D3A6AA" w14:textId="5551D22E" w:rsidR="00C47C20" w:rsidRPr="00C93AFE" w:rsidRDefault="00D9342F" w:rsidP="00CF2550">
      <w:pPr>
        <w:pStyle w:val="Ttulo3"/>
        <w:rPr>
          <w:rFonts w:ascii="Humanst521 BT" w:hAnsi="Humanst521 BT"/>
          <w:b/>
          <w:bCs/>
          <w:color w:val="2F5496" w:themeColor="accent1" w:themeShade="BF"/>
          <w:sz w:val="24"/>
          <w:szCs w:val="24"/>
        </w:rPr>
      </w:pPr>
      <w:bookmarkStart w:id="236" w:name="_Toc231286824"/>
      <w:r w:rsidRPr="00C93AFE">
        <w:rPr>
          <w:rFonts w:ascii="Humanst521 BT" w:hAnsi="Humanst521 BT"/>
          <w:b/>
          <w:bCs/>
          <w:color w:val="2F5496" w:themeColor="accent1" w:themeShade="BF"/>
          <w:sz w:val="24"/>
          <w:szCs w:val="24"/>
        </w:rPr>
        <w:t>5.</w:t>
      </w:r>
      <w:r w:rsidR="00C47C20" w:rsidRPr="00C93AFE">
        <w:rPr>
          <w:rFonts w:ascii="Humanst521 BT" w:hAnsi="Humanst521 BT"/>
          <w:b/>
          <w:bCs/>
          <w:color w:val="2F5496" w:themeColor="accent1" w:themeShade="BF"/>
          <w:sz w:val="24"/>
          <w:szCs w:val="24"/>
        </w:rPr>
        <w:t>3.4 Priorización de problemas</w:t>
      </w:r>
      <w:bookmarkEnd w:id="236"/>
    </w:p>
    <w:p w14:paraId="6AA95152" w14:textId="77777777" w:rsidR="00143AC5" w:rsidRPr="00E20FAA" w:rsidRDefault="00143AC5" w:rsidP="00143AC5">
      <w:pPr>
        <w:widowControl/>
        <w:autoSpaceDE/>
        <w:autoSpaceDN/>
        <w:spacing w:line="300" w:lineRule="atLeast"/>
        <w:rPr>
          <w:rFonts w:ascii="Humanst521 BT" w:eastAsia="Times New Roman" w:hAnsi="Humanst521 BT" w:cs="Segoe UI"/>
          <w:lang w:val="es-CO" w:eastAsia="es-CO"/>
        </w:rPr>
      </w:pPr>
      <w:r w:rsidRPr="00E20FAA">
        <w:rPr>
          <w:rFonts w:ascii="Humanst521 BT" w:eastAsia="Times New Roman" w:hAnsi="Humanst521 BT" w:cs="Segoe UI"/>
          <w:lang w:val="es-CO" w:eastAsia="es-CO"/>
        </w:rPr>
        <w:t>La siguiente tabla presenta la priorización de los problemas de salud en la población afiliada a UISALUD, resultado de la aplicación de los criterios de evaluación definidos por el Ministerio de Salud y Protección Social, considerando su magnitud, impacto en la salud de la población, pertinencia social y capacidad de intervención desde la gestión del aseguramiento.</w:t>
      </w:r>
    </w:p>
    <w:p w14:paraId="41CC5411" w14:textId="77777777" w:rsidR="00143AC5" w:rsidRDefault="00143AC5" w:rsidP="00C47C20">
      <w:pPr>
        <w:pStyle w:val="Ttulo1"/>
        <w:rPr>
          <w:rFonts w:ascii="Humanst521 BT" w:hAnsi="Humanst521 BT"/>
          <w:b/>
          <w:bCs/>
          <w:sz w:val="22"/>
          <w:szCs w:val="22"/>
        </w:rPr>
      </w:pPr>
    </w:p>
    <w:p w14:paraId="66B1A288" w14:textId="77777777" w:rsidR="002B2F56" w:rsidRDefault="002B2F56" w:rsidP="009F1E97">
      <w:pPr>
        <w:rPr>
          <w:rFonts w:ascii="Humanst521 BT" w:hAnsi="Humanst521 BT"/>
          <w:b/>
          <w:bCs/>
        </w:rPr>
      </w:pPr>
    </w:p>
    <w:p w14:paraId="75312744" w14:textId="588AFA50" w:rsidR="009F1E97" w:rsidRPr="00E20FAA" w:rsidRDefault="009F1E97" w:rsidP="009F1E97">
      <w:pPr>
        <w:rPr>
          <w:rFonts w:ascii="Humanst521 BT" w:hAnsi="Humanst521 BT"/>
        </w:rPr>
      </w:pPr>
      <w:bookmarkStart w:id="237" w:name="_Toc231286292"/>
      <w:r w:rsidRPr="00E20FAA">
        <w:rPr>
          <w:rFonts w:ascii="Humanst521 BT" w:hAnsi="Humanst521 BT"/>
        </w:rPr>
        <w:t xml:space="preserve">Tabla </w:t>
      </w:r>
      <w:r w:rsidRPr="00E20FAA">
        <w:rPr>
          <w:rFonts w:ascii="Humanst521 BT" w:hAnsi="Humanst521 BT"/>
        </w:rPr>
        <w:fldChar w:fldCharType="begin"/>
      </w:r>
      <w:r w:rsidRPr="00E20FAA">
        <w:rPr>
          <w:rFonts w:ascii="Humanst521 BT" w:hAnsi="Humanst521 BT"/>
        </w:rPr>
        <w:instrText xml:space="preserve"> SEQ Tabla \* ARABIC </w:instrText>
      </w:r>
      <w:r w:rsidRPr="00E20FAA">
        <w:rPr>
          <w:rFonts w:ascii="Humanst521 BT" w:hAnsi="Humanst521 BT"/>
        </w:rPr>
        <w:fldChar w:fldCharType="separate"/>
      </w:r>
      <w:r w:rsidRPr="00E20FAA">
        <w:rPr>
          <w:rFonts w:ascii="Humanst521 BT" w:hAnsi="Humanst521 BT"/>
          <w:noProof/>
        </w:rPr>
        <w:t>47</w:t>
      </w:r>
      <w:r w:rsidRPr="00E20FAA">
        <w:rPr>
          <w:rFonts w:ascii="Humanst521 BT" w:hAnsi="Humanst521 BT"/>
        </w:rPr>
        <w:fldChar w:fldCharType="end"/>
      </w:r>
      <w:r w:rsidRPr="00E20FAA">
        <w:rPr>
          <w:rFonts w:ascii="Humanst521 BT" w:hAnsi="Humanst521 BT"/>
        </w:rPr>
        <w:t>. Problemas identificados Configuración del territorio desde la perspectiva de los determinantes sociales de la salud y el enfoque diferencial</w:t>
      </w:r>
      <w:bookmarkEnd w:id="237"/>
    </w:p>
    <w:p w14:paraId="449C1C8B" w14:textId="77777777" w:rsidR="0033344C" w:rsidRDefault="0033344C" w:rsidP="009F1E97">
      <w:pPr>
        <w:rPr>
          <w:rFonts w:ascii="Humanst521 BT" w:hAnsi="Humanst521 BT"/>
        </w:rPr>
      </w:pPr>
    </w:p>
    <w:tbl>
      <w:tblPr>
        <w:tblStyle w:val="Tablaconcuadrcula"/>
        <w:tblW w:w="0" w:type="auto"/>
        <w:tblLook w:val="04A0" w:firstRow="1" w:lastRow="0" w:firstColumn="1" w:lastColumn="0" w:noHBand="0" w:noVBand="1"/>
      </w:tblPr>
      <w:tblGrid>
        <w:gridCol w:w="3008"/>
        <w:gridCol w:w="964"/>
        <w:gridCol w:w="1380"/>
        <w:gridCol w:w="1447"/>
        <w:gridCol w:w="1123"/>
        <w:gridCol w:w="988"/>
        <w:gridCol w:w="640"/>
      </w:tblGrid>
      <w:tr w:rsidR="0033344C" w:rsidRPr="0033344C" w14:paraId="3675DE27" w14:textId="77777777" w:rsidTr="0033344C">
        <w:tc>
          <w:tcPr>
            <w:tcW w:w="0" w:type="auto"/>
            <w:shd w:val="clear" w:color="auto" w:fill="C5E0B3" w:themeFill="accent6" w:themeFillTint="66"/>
            <w:hideMark/>
          </w:tcPr>
          <w:p w14:paraId="54AEBBD7" w14:textId="77777777" w:rsidR="0033344C" w:rsidRPr="0033344C" w:rsidRDefault="0033344C">
            <w:pPr>
              <w:jc w:val="center"/>
              <w:rPr>
                <w:rFonts w:ascii="Humanst521 BT" w:eastAsia="Times New Roman" w:hAnsi="Humanst521 BT" w:cs="Times New Roman"/>
                <w:b/>
                <w:bCs/>
                <w:sz w:val="20"/>
                <w:szCs w:val="20"/>
                <w:lang w:val="es-CO"/>
              </w:rPr>
            </w:pPr>
            <w:r w:rsidRPr="0033344C">
              <w:rPr>
                <w:rFonts w:ascii="Humanst521 BT" w:hAnsi="Humanst521 BT"/>
                <w:b/>
                <w:bCs/>
                <w:sz w:val="20"/>
                <w:szCs w:val="20"/>
              </w:rPr>
              <w:t>Problema de salud</w:t>
            </w:r>
          </w:p>
        </w:tc>
        <w:tc>
          <w:tcPr>
            <w:tcW w:w="0" w:type="auto"/>
            <w:shd w:val="clear" w:color="auto" w:fill="C5E0B3" w:themeFill="accent6" w:themeFillTint="66"/>
            <w:hideMark/>
          </w:tcPr>
          <w:p w14:paraId="4E690FA1" w14:textId="77777777" w:rsidR="0033344C" w:rsidRPr="0033344C" w:rsidRDefault="0033344C" w:rsidP="0033344C">
            <w:pPr>
              <w:jc w:val="center"/>
              <w:rPr>
                <w:rFonts w:ascii="Humanst521 BT" w:hAnsi="Humanst521 BT"/>
                <w:b/>
                <w:bCs/>
                <w:sz w:val="20"/>
                <w:szCs w:val="20"/>
              </w:rPr>
            </w:pPr>
            <w:r w:rsidRPr="0033344C">
              <w:rPr>
                <w:rFonts w:ascii="Humanst521 BT" w:hAnsi="Humanst521 BT"/>
                <w:b/>
                <w:bCs/>
                <w:sz w:val="20"/>
                <w:szCs w:val="20"/>
              </w:rPr>
              <w:t>Magnitud</w:t>
            </w:r>
          </w:p>
        </w:tc>
        <w:tc>
          <w:tcPr>
            <w:tcW w:w="0" w:type="auto"/>
            <w:shd w:val="clear" w:color="auto" w:fill="C5E0B3" w:themeFill="accent6" w:themeFillTint="66"/>
            <w:hideMark/>
          </w:tcPr>
          <w:p w14:paraId="2F897C3D" w14:textId="77777777" w:rsidR="0033344C" w:rsidRPr="0033344C" w:rsidRDefault="0033344C" w:rsidP="0033344C">
            <w:pPr>
              <w:jc w:val="center"/>
              <w:rPr>
                <w:rFonts w:ascii="Humanst521 BT" w:hAnsi="Humanst521 BT"/>
                <w:b/>
                <w:bCs/>
                <w:sz w:val="20"/>
                <w:szCs w:val="20"/>
              </w:rPr>
            </w:pPr>
            <w:r w:rsidRPr="0033344C">
              <w:rPr>
                <w:rFonts w:ascii="Humanst521 BT" w:hAnsi="Humanst521 BT"/>
                <w:b/>
                <w:bCs/>
                <w:sz w:val="20"/>
                <w:szCs w:val="20"/>
              </w:rPr>
              <w:t>Trascendencia</w:t>
            </w:r>
          </w:p>
        </w:tc>
        <w:tc>
          <w:tcPr>
            <w:tcW w:w="0" w:type="auto"/>
            <w:shd w:val="clear" w:color="auto" w:fill="C5E0B3" w:themeFill="accent6" w:themeFillTint="66"/>
            <w:hideMark/>
          </w:tcPr>
          <w:p w14:paraId="48700774" w14:textId="77777777" w:rsidR="0033344C" w:rsidRPr="0033344C" w:rsidRDefault="0033344C" w:rsidP="0033344C">
            <w:pPr>
              <w:jc w:val="center"/>
              <w:rPr>
                <w:rFonts w:ascii="Humanst521 BT" w:hAnsi="Humanst521 BT"/>
                <w:b/>
                <w:bCs/>
                <w:sz w:val="20"/>
                <w:szCs w:val="20"/>
              </w:rPr>
            </w:pPr>
            <w:r w:rsidRPr="0033344C">
              <w:rPr>
                <w:rFonts w:ascii="Humanst521 BT" w:hAnsi="Humanst521 BT"/>
                <w:b/>
                <w:bCs/>
                <w:sz w:val="20"/>
                <w:szCs w:val="20"/>
              </w:rPr>
              <w:t>Pertinencia social y sanitaria</w:t>
            </w:r>
          </w:p>
        </w:tc>
        <w:tc>
          <w:tcPr>
            <w:tcW w:w="0" w:type="auto"/>
            <w:shd w:val="clear" w:color="auto" w:fill="C5E0B3" w:themeFill="accent6" w:themeFillTint="66"/>
            <w:hideMark/>
          </w:tcPr>
          <w:p w14:paraId="0CDAB813" w14:textId="77777777" w:rsidR="0033344C" w:rsidRPr="0033344C" w:rsidRDefault="0033344C" w:rsidP="0033344C">
            <w:pPr>
              <w:jc w:val="center"/>
              <w:rPr>
                <w:rFonts w:ascii="Humanst521 BT" w:hAnsi="Humanst521 BT"/>
                <w:b/>
                <w:bCs/>
                <w:sz w:val="20"/>
                <w:szCs w:val="20"/>
              </w:rPr>
            </w:pPr>
            <w:r w:rsidRPr="0033344C">
              <w:rPr>
                <w:rFonts w:ascii="Humanst521 BT" w:hAnsi="Humanst521 BT"/>
                <w:b/>
                <w:bCs/>
                <w:sz w:val="20"/>
                <w:szCs w:val="20"/>
              </w:rPr>
              <w:t>Factibilidad</w:t>
            </w:r>
          </w:p>
        </w:tc>
        <w:tc>
          <w:tcPr>
            <w:tcW w:w="0" w:type="auto"/>
            <w:shd w:val="clear" w:color="auto" w:fill="C5E0B3" w:themeFill="accent6" w:themeFillTint="66"/>
            <w:hideMark/>
          </w:tcPr>
          <w:p w14:paraId="3DD45697" w14:textId="77777777" w:rsidR="0033344C" w:rsidRPr="0033344C" w:rsidRDefault="0033344C" w:rsidP="0033344C">
            <w:pPr>
              <w:jc w:val="center"/>
              <w:rPr>
                <w:rFonts w:ascii="Humanst521 BT" w:hAnsi="Humanst521 BT"/>
                <w:b/>
                <w:bCs/>
                <w:sz w:val="20"/>
                <w:szCs w:val="20"/>
              </w:rPr>
            </w:pPr>
            <w:r w:rsidRPr="0033344C">
              <w:rPr>
                <w:rFonts w:ascii="Humanst521 BT" w:hAnsi="Humanst521 BT"/>
                <w:b/>
                <w:bCs/>
                <w:sz w:val="20"/>
                <w:szCs w:val="20"/>
              </w:rPr>
              <w:t>Viabilidad</w:t>
            </w:r>
          </w:p>
        </w:tc>
        <w:tc>
          <w:tcPr>
            <w:tcW w:w="0" w:type="auto"/>
            <w:shd w:val="clear" w:color="auto" w:fill="C5E0B3" w:themeFill="accent6" w:themeFillTint="66"/>
            <w:hideMark/>
          </w:tcPr>
          <w:p w14:paraId="160AC6B5" w14:textId="77777777" w:rsidR="0033344C" w:rsidRPr="0033344C" w:rsidRDefault="0033344C" w:rsidP="0033344C">
            <w:pPr>
              <w:jc w:val="center"/>
              <w:rPr>
                <w:rFonts w:ascii="Humanst521 BT" w:hAnsi="Humanst521 BT"/>
                <w:b/>
                <w:bCs/>
                <w:sz w:val="20"/>
                <w:szCs w:val="20"/>
              </w:rPr>
            </w:pPr>
            <w:r w:rsidRPr="0033344C">
              <w:rPr>
                <w:rStyle w:val="Textoennegrita"/>
                <w:rFonts w:ascii="Humanst521 BT" w:hAnsi="Humanst521 BT"/>
                <w:sz w:val="20"/>
                <w:szCs w:val="20"/>
              </w:rPr>
              <w:t>Total</w:t>
            </w:r>
          </w:p>
        </w:tc>
      </w:tr>
      <w:tr w:rsidR="0033344C" w:rsidRPr="0033344C" w14:paraId="17B8907F" w14:textId="77777777" w:rsidTr="0033344C">
        <w:tc>
          <w:tcPr>
            <w:tcW w:w="0" w:type="auto"/>
            <w:hideMark/>
          </w:tcPr>
          <w:p w14:paraId="62D8542F" w14:textId="3EE4DC42" w:rsidR="0033344C" w:rsidRPr="0033344C" w:rsidRDefault="0033344C">
            <w:pPr>
              <w:jc w:val="center"/>
              <w:rPr>
                <w:rFonts w:ascii="Humanst521 BT" w:hAnsi="Humanst521 BT"/>
                <w:b/>
                <w:bCs/>
                <w:sz w:val="20"/>
                <w:szCs w:val="20"/>
              </w:rPr>
            </w:pPr>
            <w:r w:rsidRPr="0033344C">
              <w:rPr>
                <w:rStyle w:val="Textoennegrita"/>
                <w:rFonts w:ascii="Humanst521 BT" w:hAnsi="Humanst521 BT"/>
                <w:b w:val="0"/>
                <w:bCs w:val="0"/>
                <w:sz w:val="20"/>
                <w:szCs w:val="20"/>
              </w:rPr>
              <w:t>Alta carga de enfermedades crónicas no transmisibles (neoplasias)</w:t>
            </w:r>
          </w:p>
        </w:tc>
        <w:tc>
          <w:tcPr>
            <w:tcW w:w="0" w:type="auto"/>
            <w:hideMark/>
          </w:tcPr>
          <w:p w14:paraId="20227CFF"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66220805"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429A894C"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3D920E83"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274392A1"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665CF890" w14:textId="77777777" w:rsidR="0033344C" w:rsidRPr="0033344C" w:rsidRDefault="0033344C" w:rsidP="0033344C">
            <w:pPr>
              <w:jc w:val="center"/>
              <w:rPr>
                <w:rFonts w:ascii="Humanst521 BT" w:hAnsi="Humanst521 BT"/>
                <w:sz w:val="20"/>
                <w:szCs w:val="20"/>
              </w:rPr>
            </w:pPr>
            <w:r w:rsidRPr="0033344C">
              <w:rPr>
                <w:rStyle w:val="Textoennegrita"/>
                <w:rFonts w:ascii="Humanst521 BT" w:hAnsi="Humanst521 BT"/>
                <w:sz w:val="20"/>
                <w:szCs w:val="20"/>
              </w:rPr>
              <w:t>23</w:t>
            </w:r>
          </w:p>
        </w:tc>
      </w:tr>
      <w:tr w:rsidR="0033344C" w:rsidRPr="0033344C" w14:paraId="162F79AA" w14:textId="77777777" w:rsidTr="0033344C">
        <w:tc>
          <w:tcPr>
            <w:tcW w:w="0" w:type="auto"/>
            <w:hideMark/>
          </w:tcPr>
          <w:p w14:paraId="1E8C05FF" w14:textId="77777777" w:rsidR="0033344C" w:rsidRPr="0033344C" w:rsidRDefault="0033344C">
            <w:pPr>
              <w:jc w:val="center"/>
              <w:rPr>
                <w:rFonts w:ascii="Humanst521 BT" w:hAnsi="Humanst521 BT"/>
                <w:b/>
                <w:bCs/>
                <w:sz w:val="20"/>
                <w:szCs w:val="20"/>
              </w:rPr>
            </w:pPr>
            <w:r w:rsidRPr="0033344C">
              <w:rPr>
                <w:rStyle w:val="Textoennegrita"/>
                <w:rFonts w:ascii="Humanst521 BT" w:hAnsi="Humanst521 BT"/>
                <w:b w:val="0"/>
                <w:bCs w:val="0"/>
                <w:sz w:val="20"/>
                <w:szCs w:val="20"/>
              </w:rPr>
              <w:t>Alta prevalencia de hipertensión arterial y diabetes mellitus</w:t>
            </w:r>
          </w:p>
        </w:tc>
        <w:tc>
          <w:tcPr>
            <w:tcW w:w="0" w:type="auto"/>
            <w:hideMark/>
          </w:tcPr>
          <w:p w14:paraId="7CCEC167"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22DE8E59"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4F079E9C"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725C9BF0"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65D73B26"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0D050F7A" w14:textId="77777777" w:rsidR="0033344C" w:rsidRPr="0033344C" w:rsidRDefault="0033344C" w:rsidP="0033344C">
            <w:pPr>
              <w:jc w:val="center"/>
              <w:rPr>
                <w:rFonts w:ascii="Humanst521 BT" w:hAnsi="Humanst521 BT"/>
                <w:sz w:val="20"/>
                <w:szCs w:val="20"/>
              </w:rPr>
            </w:pPr>
            <w:r w:rsidRPr="0033344C">
              <w:rPr>
                <w:rStyle w:val="Textoennegrita"/>
                <w:rFonts w:ascii="Humanst521 BT" w:hAnsi="Humanst521 BT"/>
                <w:sz w:val="20"/>
                <w:szCs w:val="20"/>
              </w:rPr>
              <w:t>22</w:t>
            </w:r>
          </w:p>
        </w:tc>
      </w:tr>
      <w:tr w:rsidR="0033344C" w:rsidRPr="0033344C" w14:paraId="5B2C254C" w14:textId="77777777" w:rsidTr="0033344C">
        <w:tc>
          <w:tcPr>
            <w:tcW w:w="0" w:type="auto"/>
            <w:hideMark/>
          </w:tcPr>
          <w:p w14:paraId="365B2708" w14:textId="77777777" w:rsidR="0033344C" w:rsidRPr="0033344C" w:rsidRDefault="0033344C">
            <w:pPr>
              <w:jc w:val="center"/>
              <w:rPr>
                <w:rFonts w:ascii="Humanst521 BT" w:hAnsi="Humanst521 BT"/>
                <w:b/>
                <w:bCs/>
                <w:sz w:val="20"/>
                <w:szCs w:val="20"/>
              </w:rPr>
            </w:pPr>
            <w:r w:rsidRPr="0033344C">
              <w:rPr>
                <w:rStyle w:val="Textoennegrita"/>
                <w:rFonts w:ascii="Humanst521 BT" w:hAnsi="Humanst521 BT"/>
                <w:b w:val="0"/>
                <w:bCs w:val="0"/>
                <w:sz w:val="20"/>
                <w:szCs w:val="20"/>
              </w:rPr>
              <w:t xml:space="preserve">Condiciones neuropsiquiátricas y </w:t>
            </w:r>
            <w:r w:rsidRPr="0033344C">
              <w:rPr>
                <w:rStyle w:val="Textoennegrita"/>
                <w:rFonts w:ascii="Humanst521 BT" w:hAnsi="Humanst521 BT"/>
                <w:b w:val="0"/>
                <w:bCs w:val="0"/>
                <w:sz w:val="20"/>
                <w:szCs w:val="20"/>
              </w:rPr>
              <w:lastRenderedPageBreak/>
              <w:t>problemas de salud mental</w:t>
            </w:r>
          </w:p>
        </w:tc>
        <w:tc>
          <w:tcPr>
            <w:tcW w:w="0" w:type="auto"/>
            <w:hideMark/>
          </w:tcPr>
          <w:p w14:paraId="61F52131"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lastRenderedPageBreak/>
              <w:t>4</w:t>
            </w:r>
          </w:p>
        </w:tc>
        <w:tc>
          <w:tcPr>
            <w:tcW w:w="0" w:type="auto"/>
            <w:hideMark/>
          </w:tcPr>
          <w:p w14:paraId="140732FD"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733BD3BF"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59373D4C"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373770A4"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64E909DC" w14:textId="77777777" w:rsidR="0033344C" w:rsidRPr="0033344C" w:rsidRDefault="0033344C" w:rsidP="0033344C">
            <w:pPr>
              <w:jc w:val="center"/>
              <w:rPr>
                <w:rFonts w:ascii="Humanst521 BT" w:hAnsi="Humanst521 BT"/>
                <w:sz w:val="20"/>
                <w:szCs w:val="20"/>
              </w:rPr>
            </w:pPr>
            <w:r w:rsidRPr="0033344C">
              <w:rPr>
                <w:rStyle w:val="Textoennegrita"/>
                <w:rFonts w:ascii="Humanst521 BT" w:hAnsi="Humanst521 BT"/>
                <w:sz w:val="20"/>
                <w:szCs w:val="20"/>
              </w:rPr>
              <w:t>22</w:t>
            </w:r>
          </w:p>
        </w:tc>
      </w:tr>
      <w:tr w:rsidR="0033344C" w:rsidRPr="0033344C" w14:paraId="7877120A" w14:textId="77777777" w:rsidTr="00115FE4">
        <w:trPr>
          <w:trHeight w:val="527"/>
        </w:trPr>
        <w:tc>
          <w:tcPr>
            <w:tcW w:w="0" w:type="auto"/>
            <w:hideMark/>
          </w:tcPr>
          <w:p w14:paraId="479FAF6C" w14:textId="77777777" w:rsidR="0033344C" w:rsidRPr="0033344C" w:rsidRDefault="0033344C">
            <w:pPr>
              <w:jc w:val="center"/>
              <w:rPr>
                <w:rFonts w:ascii="Humanst521 BT" w:hAnsi="Humanst521 BT"/>
                <w:b/>
                <w:bCs/>
                <w:sz w:val="20"/>
                <w:szCs w:val="20"/>
              </w:rPr>
            </w:pPr>
            <w:r w:rsidRPr="0033344C">
              <w:rPr>
                <w:rStyle w:val="Textoennegrita"/>
                <w:rFonts w:ascii="Humanst521 BT" w:hAnsi="Humanst521 BT"/>
                <w:b w:val="0"/>
                <w:bCs w:val="0"/>
                <w:sz w:val="20"/>
                <w:szCs w:val="20"/>
              </w:rPr>
              <w:t>Alta carga de multimorbilidad asociada a enfermedades crónicas</w:t>
            </w:r>
          </w:p>
        </w:tc>
        <w:tc>
          <w:tcPr>
            <w:tcW w:w="0" w:type="auto"/>
            <w:hideMark/>
          </w:tcPr>
          <w:p w14:paraId="5419A1C4"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765FCCBE"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543E8E7B"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7EECEF74"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3</w:t>
            </w:r>
          </w:p>
        </w:tc>
        <w:tc>
          <w:tcPr>
            <w:tcW w:w="0" w:type="auto"/>
            <w:hideMark/>
          </w:tcPr>
          <w:p w14:paraId="62AB2F1F"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3</w:t>
            </w:r>
          </w:p>
        </w:tc>
        <w:tc>
          <w:tcPr>
            <w:tcW w:w="0" w:type="auto"/>
            <w:hideMark/>
          </w:tcPr>
          <w:p w14:paraId="5C3BAD60" w14:textId="77777777" w:rsidR="0033344C" w:rsidRPr="0033344C" w:rsidRDefault="0033344C" w:rsidP="0033344C">
            <w:pPr>
              <w:jc w:val="center"/>
              <w:rPr>
                <w:rFonts w:ascii="Humanst521 BT" w:hAnsi="Humanst521 BT"/>
                <w:sz w:val="20"/>
                <w:szCs w:val="20"/>
              </w:rPr>
            </w:pPr>
            <w:r w:rsidRPr="0033344C">
              <w:rPr>
                <w:rStyle w:val="Textoennegrita"/>
                <w:rFonts w:ascii="Humanst521 BT" w:hAnsi="Humanst521 BT"/>
                <w:sz w:val="20"/>
                <w:szCs w:val="20"/>
              </w:rPr>
              <w:t>20</w:t>
            </w:r>
          </w:p>
        </w:tc>
      </w:tr>
      <w:tr w:rsidR="0033344C" w:rsidRPr="0033344C" w14:paraId="354C7AC1" w14:textId="77777777" w:rsidTr="00115FE4">
        <w:trPr>
          <w:trHeight w:val="562"/>
        </w:trPr>
        <w:tc>
          <w:tcPr>
            <w:tcW w:w="0" w:type="auto"/>
            <w:hideMark/>
          </w:tcPr>
          <w:p w14:paraId="0AFC057E" w14:textId="77777777" w:rsidR="0033344C" w:rsidRPr="0033344C" w:rsidRDefault="0033344C">
            <w:pPr>
              <w:jc w:val="center"/>
              <w:rPr>
                <w:rFonts w:ascii="Humanst521 BT" w:hAnsi="Humanst521 BT"/>
                <w:b/>
                <w:bCs/>
                <w:sz w:val="20"/>
                <w:szCs w:val="20"/>
              </w:rPr>
            </w:pPr>
            <w:r w:rsidRPr="0033344C">
              <w:rPr>
                <w:rStyle w:val="Textoennegrita"/>
                <w:rFonts w:ascii="Humanst521 BT" w:hAnsi="Humanst521 BT"/>
                <w:b w:val="0"/>
                <w:bCs w:val="0"/>
                <w:sz w:val="20"/>
                <w:szCs w:val="20"/>
              </w:rPr>
              <w:t>Riesgos en salud derivados del envejecimiento poblacional</w:t>
            </w:r>
          </w:p>
        </w:tc>
        <w:tc>
          <w:tcPr>
            <w:tcW w:w="0" w:type="auto"/>
            <w:hideMark/>
          </w:tcPr>
          <w:p w14:paraId="016B6FFE"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11B4261D"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4726DAE9"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5</w:t>
            </w:r>
          </w:p>
        </w:tc>
        <w:tc>
          <w:tcPr>
            <w:tcW w:w="0" w:type="auto"/>
            <w:hideMark/>
          </w:tcPr>
          <w:p w14:paraId="38A900B6"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3</w:t>
            </w:r>
          </w:p>
        </w:tc>
        <w:tc>
          <w:tcPr>
            <w:tcW w:w="0" w:type="auto"/>
            <w:hideMark/>
          </w:tcPr>
          <w:p w14:paraId="468D2307"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3</w:t>
            </w:r>
          </w:p>
        </w:tc>
        <w:tc>
          <w:tcPr>
            <w:tcW w:w="0" w:type="auto"/>
            <w:hideMark/>
          </w:tcPr>
          <w:p w14:paraId="2F85A660" w14:textId="77777777" w:rsidR="0033344C" w:rsidRPr="0033344C" w:rsidRDefault="0033344C" w:rsidP="0033344C">
            <w:pPr>
              <w:jc w:val="center"/>
              <w:rPr>
                <w:rFonts w:ascii="Humanst521 BT" w:hAnsi="Humanst521 BT"/>
                <w:sz w:val="20"/>
                <w:szCs w:val="20"/>
              </w:rPr>
            </w:pPr>
            <w:r w:rsidRPr="0033344C">
              <w:rPr>
                <w:rStyle w:val="Textoennegrita"/>
                <w:rFonts w:ascii="Humanst521 BT" w:hAnsi="Humanst521 BT"/>
                <w:sz w:val="20"/>
                <w:szCs w:val="20"/>
              </w:rPr>
              <w:t>21</w:t>
            </w:r>
          </w:p>
        </w:tc>
      </w:tr>
      <w:tr w:rsidR="0033344C" w:rsidRPr="0033344C" w14:paraId="1A1344B3" w14:textId="77777777" w:rsidTr="0033344C">
        <w:tc>
          <w:tcPr>
            <w:tcW w:w="0" w:type="auto"/>
            <w:hideMark/>
          </w:tcPr>
          <w:p w14:paraId="520E1BB3" w14:textId="77777777" w:rsidR="0033344C" w:rsidRPr="0033344C" w:rsidRDefault="0033344C">
            <w:pPr>
              <w:jc w:val="center"/>
              <w:rPr>
                <w:rFonts w:ascii="Humanst521 BT" w:hAnsi="Humanst521 BT"/>
                <w:b/>
                <w:bCs/>
                <w:sz w:val="20"/>
                <w:szCs w:val="20"/>
              </w:rPr>
            </w:pPr>
            <w:r w:rsidRPr="0033344C">
              <w:rPr>
                <w:rStyle w:val="Textoennegrita"/>
                <w:rFonts w:ascii="Humanst521 BT" w:hAnsi="Humanst521 BT"/>
                <w:b w:val="0"/>
                <w:bCs w:val="0"/>
                <w:sz w:val="20"/>
                <w:szCs w:val="20"/>
              </w:rPr>
              <w:t>Eventos transmisibles prioritarios (dengue)</w:t>
            </w:r>
          </w:p>
        </w:tc>
        <w:tc>
          <w:tcPr>
            <w:tcW w:w="0" w:type="auto"/>
            <w:hideMark/>
          </w:tcPr>
          <w:p w14:paraId="024976DA"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57612DFC"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462DFD82"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6D63305A"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1142DB84"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4CEC234E" w14:textId="77777777" w:rsidR="0033344C" w:rsidRPr="0033344C" w:rsidRDefault="0033344C" w:rsidP="0033344C">
            <w:pPr>
              <w:jc w:val="center"/>
              <w:rPr>
                <w:rFonts w:ascii="Humanst521 BT" w:hAnsi="Humanst521 BT"/>
                <w:sz w:val="20"/>
                <w:szCs w:val="20"/>
              </w:rPr>
            </w:pPr>
            <w:r w:rsidRPr="0033344C">
              <w:rPr>
                <w:rStyle w:val="Textoennegrita"/>
                <w:rFonts w:ascii="Humanst521 BT" w:hAnsi="Humanst521 BT"/>
                <w:sz w:val="20"/>
                <w:szCs w:val="20"/>
              </w:rPr>
              <w:t>20</w:t>
            </w:r>
          </w:p>
        </w:tc>
      </w:tr>
      <w:tr w:rsidR="0033344C" w:rsidRPr="0033344C" w14:paraId="27D7EA3A" w14:textId="77777777" w:rsidTr="0033344C">
        <w:tc>
          <w:tcPr>
            <w:tcW w:w="0" w:type="auto"/>
            <w:hideMark/>
          </w:tcPr>
          <w:p w14:paraId="703F46F0" w14:textId="77777777" w:rsidR="0033344C" w:rsidRPr="0033344C" w:rsidRDefault="0033344C">
            <w:pPr>
              <w:jc w:val="center"/>
              <w:rPr>
                <w:rFonts w:ascii="Humanst521 BT" w:hAnsi="Humanst521 BT"/>
                <w:b/>
                <w:bCs/>
                <w:sz w:val="20"/>
                <w:szCs w:val="20"/>
              </w:rPr>
            </w:pPr>
            <w:r w:rsidRPr="0033344C">
              <w:rPr>
                <w:rStyle w:val="Textoennegrita"/>
                <w:rFonts w:ascii="Humanst521 BT" w:hAnsi="Humanst521 BT"/>
                <w:b w:val="0"/>
                <w:bCs w:val="0"/>
                <w:sz w:val="20"/>
                <w:szCs w:val="20"/>
              </w:rPr>
              <w:t>Enfermedades osteomusculares de origen laboral</w:t>
            </w:r>
          </w:p>
        </w:tc>
        <w:tc>
          <w:tcPr>
            <w:tcW w:w="0" w:type="auto"/>
            <w:hideMark/>
          </w:tcPr>
          <w:p w14:paraId="46916311" w14:textId="0A5D42C9" w:rsidR="0033344C" w:rsidRPr="0033344C" w:rsidRDefault="001338FB" w:rsidP="0033344C">
            <w:pPr>
              <w:jc w:val="center"/>
              <w:rPr>
                <w:rFonts w:ascii="Humanst521 BT" w:hAnsi="Humanst521 BT"/>
                <w:sz w:val="20"/>
                <w:szCs w:val="20"/>
              </w:rPr>
            </w:pPr>
            <w:r>
              <w:rPr>
                <w:rFonts w:ascii="Humanst521 BT" w:hAnsi="Humanst521 BT"/>
                <w:sz w:val="20"/>
                <w:szCs w:val="20"/>
              </w:rPr>
              <w:t>2</w:t>
            </w:r>
          </w:p>
        </w:tc>
        <w:tc>
          <w:tcPr>
            <w:tcW w:w="0" w:type="auto"/>
            <w:hideMark/>
          </w:tcPr>
          <w:p w14:paraId="52926302" w14:textId="0F657A78" w:rsidR="0033344C" w:rsidRPr="0033344C" w:rsidRDefault="001338FB" w:rsidP="0033344C">
            <w:pPr>
              <w:jc w:val="center"/>
              <w:rPr>
                <w:rFonts w:ascii="Humanst521 BT" w:hAnsi="Humanst521 BT"/>
                <w:sz w:val="20"/>
                <w:szCs w:val="20"/>
              </w:rPr>
            </w:pPr>
            <w:r>
              <w:rPr>
                <w:rFonts w:ascii="Humanst521 BT" w:hAnsi="Humanst521 BT"/>
                <w:sz w:val="20"/>
                <w:szCs w:val="20"/>
              </w:rPr>
              <w:t>2</w:t>
            </w:r>
          </w:p>
        </w:tc>
        <w:tc>
          <w:tcPr>
            <w:tcW w:w="0" w:type="auto"/>
            <w:hideMark/>
          </w:tcPr>
          <w:p w14:paraId="54ED29C7" w14:textId="0A192AC9" w:rsidR="0033344C" w:rsidRPr="0033344C" w:rsidRDefault="001338FB" w:rsidP="0033344C">
            <w:pPr>
              <w:jc w:val="center"/>
              <w:rPr>
                <w:rFonts w:ascii="Humanst521 BT" w:hAnsi="Humanst521 BT"/>
                <w:sz w:val="20"/>
                <w:szCs w:val="20"/>
              </w:rPr>
            </w:pPr>
            <w:r>
              <w:rPr>
                <w:rFonts w:ascii="Humanst521 BT" w:hAnsi="Humanst521 BT"/>
                <w:sz w:val="20"/>
                <w:szCs w:val="20"/>
              </w:rPr>
              <w:t>3</w:t>
            </w:r>
          </w:p>
        </w:tc>
        <w:tc>
          <w:tcPr>
            <w:tcW w:w="0" w:type="auto"/>
            <w:hideMark/>
          </w:tcPr>
          <w:p w14:paraId="2968A045" w14:textId="3C56424D" w:rsidR="0033344C" w:rsidRPr="0033344C" w:rsidRDefault="00E67EAF" w:rsidP="0033344C">
            <w:pPr>
              <w:jc w:val="center"/>
              <w:rPr>
                <w:rFonts w:ascii="Humanst521 BT" w:hAnsi="Humanst521 BT"/>
                <w:sz w:val="20"/>
                <w:szCs w:val="20"/>
              </w:rPr>
            </w:pPr>
            <w:r>
              <w:rPr>
                <w:rFonts w:ascii="Humanst521 BT" w:hAnsi="Humanst521 BT"/>
                <w:sz w:val="20"/>
                <w:szCs w:val="20"/>
              </w:rPr>
              <w:t>2</w:t>
            </w:r>
          </w:p>
        </w:tc>
        <w:tc>
          <w:tcPr>
            <w:tcW w:w="0" w:type="auto"/>
            <w:hideMark/>
          </w:tcPr>
          <w:p w14:paraId="2DD93CE7" w14:textId="77777777" w:rsidR="0033344C" w:rsidRPr="0033344C" w:rsidRDefault="0033344C" w:rsidP="0033344C">
            <w:pPr>
              <w:jc w:val="center"/>
              <w:rPr>
                <w:rFonts w:ascii="Humanst521 BT" w:hAnsi="Humanst521 BT"/>
                <w:sz w:val="20"/>
                <w:szCs w:val="20"/>
              </w:rPr>
            </w:pPr>
            <w:r w:rsidRPr="0033344C">
              <w:rPr>
                <w:rFonts w:ascii="Humanst521 BT" w:hAnsi="Humanst521 BT"/>
                <w:sz w:val="20"/>
                <w:szCs w:val="20"/>
              </w:rPr>
              <w:t>4</w:t>
            </w:r>
          </w:p>
        </w:tc>
        <w:tc>
          <w:tcPr>
            <w:tcW w:w="0" w:type="auto"/>
            <w:hideMark/>
          </w:tcPr>
          <w:p w14:paraId="0202287D" w14:textId="5B9B83D9" w:rsidR="0033344C" w:rsidRPr="0033344C" w:rsidRDefault="001338FB" w:rsidP="0033344C">
            <w:pPr>
              <w:jc w:val="center"/>
              <w:rPr>
                <w:rFonts w:ascii="Humanst521 BT" w:hAnsi="Humanst521 BT"/>
                <w:sz w:val="20"/>
                <w:szCs w:val="20"/>
              </w:rPr>
            </w:pPr>
            <w:r>
              <w:rPr>
                <w:rStyle w:val="Textoennegrita"/>
              </w:rPr>
              <w:t>1</w:t>
            </w:r>
            <w:r w:rsidR="00E67EAF">
              <w:rPr>
                <w:rStyle w:val="Textoennegrita"/>
              </w:rPr>
              <w:t>3</w:t>
            </w:r>
          </w:p>
        </w:tc>
      </w:tr>
      <w:tr w:rsidR="0033344C" w:rsidRPr="0033344C" w14:paraId="0DD113D1" w14:textId="77777777" w:rsidTr="0033344C">
        <w:tc>
          <w:tcPr>
            <w:tcW w:w="0" w:type="auto"/>
            <w:hideMark/>
          </w:tcPr>
          <w:p w14:paraId="214169FF" w14:textId="77777777" w:rsidR="0033344C" w:rsidRPr="0033344C" w:rsidRDefault="0033344C">
            <w:pPr>
              <w:jc w:val="center"/>
              <w:rPr>
                <w:rFonts w:ascii="Humanst521 BT" w:hAnsi="Humanst521 BT"/>
                <w:b/>
                <w:bCs/>
                <w:sz w:val="20"/>
                <w:szCs w:val="20"/>
              </w:rPr>
            </w:pPr>
            <w:r w:rsidRPr="0033344C">
              <w:rPr>
                <w:rStyle w:val="Textoennegrita"/>
                <w:rFonts w:ascii="Humanst521 BT" w:hAnsi="Humanst521 BT"/>
                <w:b w:val="0"/>
                <w:bCs w:val="0"/>
                <w:sz w:val="20"/>
                <w:szCs w:val="20"/>
              </w:rPr>
              <w:t>Condiciones de vulnerabilidad (discapacidad y población víctima del conflicto armado)</w:t>
            </w:r>
          </w:p>
        </w:tc>
        <w:tc>
          <w:tcPr>
            <w:tcW w:w="0" w:type="auto"/>
            <w:hideMark/>
          </w:tcPr>
          <w:p w14:paraId="658C2B95" w14:textId="5BD95AA8" w:rsidR="0033344C" w:rsidRPr="0033344C" w:rsidRDefault="001C76AC" w:rsidP="0033344C">
            <w:pPr>
              <w:jc w:val="center"/>
              <w:rPr>
                <w:rFonts w:ascii="Humanst521 BT" w:hAnsi="Humanst521 BT"/>
                <w:sz w:val="20"/>
                <w:szCs w:val="20"/>
              </w:rPr>
            </w:pPr>
            <w:r>
              <w:rPr>
                <w:rFonts w:ascii="Humanst521 BT" w:hAnsi="Humanst521 BT"/>
                <w:sz w:val="20"/>
                <w:szCs w:val="20"/>
              </w:rPr>
              <w:t>2</w:t>
            </w:r>
          </w:p>
        </w:tc>
        <w:tc>
          <w:tcPr>
            <w:tcW w:w="0" w:type="auto"/>
            <w:hideMark/>
          </w:tcPr>
          <w:p w14:paraId="4D70EC10" w14:textId="58B9CC26" w:rsidR="0033344C" w:rsidRPr="0033344C" w:rsidRDefault="001C76AC" w:rsidP="0033344C">
            <w:pPr>
              <w:jc w:val="center"/>
              <w:rPr>
                <w:rFonts w:ascii="Humanst521 BT" w:hAnsi="Humanst521 BT"/>
                <w:sz w:val="20"/>
                <w:szCs w:val="20"/>
              </w:rPr>
            </w:pPr>
            <w:r>
              <w:rPr>
                <w:rFonts w:ascii="Humanst521 BT" w:hAnsi="Humanst521 BT"/>
                <w:sz w:val="20"/>
                <w:szCs w:val="20"/>
              </w:rPr>
              <w:t>3</w:t>
            </w:r>
          </w:p>
        </w:tc>
        <w:tc>
          <w:tcPr>
            <w:tcW w:w="0" w:type="auto"/>
            <w:hideMark/>
          </w:tcPr>
          <w:p w14:paraId="001D0219" w14:textId="3A6BBD57" w:rsidR="0033344C" w:rsidRPr="0033344C" w:rsidRDefault="001C76AC" w:rsidP="0033344C">
            <w:pPr>
              <w:jc w:val="center"/>
              <w:rPr>
                <w:rFonts w:ascii="Humanst521 BT" w:hAnsi="Humanst521 BT"/>
                <w:sz w:val="20"/>
                <w:szCs w:val="20"/>
              </w:rPr>
            </w:pPr>
            <w:r>
              <w:rPr>
                <w:rFonts w:ascii="Humanst521 BT" w:hAnsi="Humanst521 BT"/>
                <w:sz w:val="20"/>
                <w:szCs w:val="20"/>
              </w:rPr>
              <w:t>3</w:t>
            </w:r>
          </w:p>
        </w:tc>
        <w:tc>
          <w:tcPr>
            <w:tcW w:w="0" w:type="auto"/>
            <w:hideMark/>
          </w:tcPr>
          <w:p w14:paraId="73E63C37" w14:textId="34EADF05" w:rsidR="0033344C" w:rsidRPr="0033344C" w:rsidRDefault="001C76AC" w:rsidP="0033344C">
            <w:pPr>
              <w:jc w:val="center"/>
              <w:rPr>
                <w:rFonts w:ascii="Humanst521 BT" w:hAnsi="Humanst521 BT"/>
                <w:sz w:val="20"/>
                <w:szCs w:val="20"/>
              </w:rPr>
            </w:pPr>
            <w:r>
              <w:rPr>
                <w:rFonts w:ascii="Humanst521 BT" w:hAnsi="Humanst521 BT"/>
                <w:sz w:val="20"/>
                <w:szCs w:val="20"/>
              </w:rPr>
              <w:t>3</w:t>
            </w:r>
          </w:p>
        </w:tc>
        <w:tc>
          <w:tcPr>
            <w:tcW w:w="0" w:type="auto"/>
            <w:hideMark/>
          </w:tcPr>
          <w:p w14:paraId="62A10097" w14:textId="48F25E07" w:rsidR="0033344C" w:rsidRPr="0033344C" w:rsidRDefault="001C76AC" w:rsidP="0033344C">
            <w:pPr>
              <w:jc w:val="center"/>
              <w:rPr>
                <w:rFonts w:ascii="Humanst521 BT" w:hAnsi="Humanst521 BT"/>
                <w:sz w:val="20"/>
                <w:szCs w:val="20"/>
              </w:rPr>
            </w:pPr>
            <w:r>
              <w:rPr>
                <w:rFonts w:ascii="Humanst521 BT" w:hAnsi="Humanst521 BT"/>
                <w:sz w:val="20"/>
                <w:szCs w:val="20"/>
              </w:rPr>
              <w:t>3</w:t>
            </w:r>
          </w:p>
        </w:tc>
        <w:tc>
          <w:tcPr>
            <w:tcW w:w="0" w:type="auto"/>
            <w:hideMark/>
          </w:tcPr>
          <w:p w14:paraId="55A09DC3" w14:textId="0D083E05" w:rsidR="0033344C" w:rsidRPr="0033344C" w:rsidRDefault="001C76AC" w:rsidP="0033344C">
            <w:pPr>
              <w:jc w:val="center"/>
              <w:rPr>
                <w:rFonts w:ascii="Humanst521 BT" w:hAnsi="Humanst521 BT"/>
                <w:sz w:val="20"/>
                <w:szCs w:val="20"/>
              </w:rPr>
            </w:pPr>
            <w:r>
              <w:rPr>
                <w:rStyle w:val="Textoennegrita"/>
              </w:rPr>
              <w:t>14</w:t>
            </w:r>
          </w:p>
        </w:tc>
      </w:tr>
    </w:tbl>
    <w:p w14:paraId="2AA8A357" w14:textId="77777777" w:rsidR="009F1E97" w:rsidRPr="007F0FA7" w:rsidRDefault="009F1E97" w:rsidP="009F1E97">
      <w:pPr>
        <w:rPr>
          <w:rFonts w:ascii="Humanst521 BT" w:hAnsi="Humanst521 BT"/>
        </w:rPr>
      </w:pPr>
    </w:p>
    <w:p w14:paraId="6E01A4C2" w14:textId="77777777" w:rsidR="00F354C8" w:rsidRDefault="00F354C8" w:rsidP="00C47C20">
      <w:pPr>
        <w:pStyle w:val="Ttulo1"/>
        <w:rPr>
          <w:rFonts w:ascii="Humanst521 BT" w:hAnsi="Humanst521 BT"/>
          <w:b/>
          <w:bCs/>
          <w:sz w:val="22"/>
          <w:szCs w:val="22"/>
        </w:rPr>
      </w:pPr>
    </w:p>
    <w:p w14:paraId="7C4ADBFC" w14:textId="5E1A20C1" w:rsidR="00C47C20" w:rsidRPr="00172F6F" w:rsidRDefault="00C0041C" w:rsidP="00C0041C">
      <w:pPr>
        <w:pStyle w:val="Ttulo3"/>
        <w:rPr>
          <w:rFonts w:ascii="Humanst521 BT" w:hAnsi="Humanst521 BT"/>
          <w:b/>
          <w:bCs/>
          <w:color w:val="2F5496" w:themeColor="accent1" w:themeShade="BF"/>
          <w:sz w:val="24"/>
          <w:szCs w:val="24"/>
        </w:rPr>
      </w:pPr>
      <w:bookmarkStart w:id="238" w:name="_Toc231286825"/>
      <w:r w:rsidRPr="00172F6F">
        <w:rPr>
          <w:rFonts w:ascii="Humanst521 BT" w:hAnsi="Humanst521 BT"/>
          <w:b/>
          <w:bCs/>
          <w:color w:val="2F5496" w:themeColor="accent1" w:themeShade="BF"/>
          <w:sz w:val="24"/>
          <w:szCs w:val="24"/>
        </w:rPr>
        <w:t>5.3</w:t>
      </w:r>
      <w:r w:rsidR="00C47C20" w:rsidRPr="00172F6F">
        <w:rPr>
          <w:rFonts w:ascii="Humanst521 BT" w:hAnsi="Humanst521 BT"/>
          <w:b/>
          <w:bCs/>
          <w:color w:val="2F5496" w:themeColor="accent1" w:themeShade="BF"/>
          <w:sz w:val="24"/>
          <w:szCs w:val="24"/>
        </w:rPr>
        <w:t>.5 Problemas priorizados finales</w:t>
      </w:r>
      <w:bookmarkEnd w:id="238"/>
    </w:p>
    <w:p w14:paraId="126879E5" w14:textId="77777777" w:rsidR="00EA6E35" w:rsidRDefault="00EA6E35" w:rsidP="00C47C20">
      <w:pPr>
        <w:pStyle w:val="Ttulo1"/>
        <w:rPr>
          <w:rFonts w:ascii="Humanst521 BT" w:hAnsi="Humanst521 BT"/>
          <w:sz w:val="22"/>
          <w:szCs w:val="22"/>
        </w:rPr>
      </w:pPr>
    </w:p>
    <w:p w14:paraId="332EB13E" w14:textId="77777777" w:rsidR="00EA6E35" w:rsidRPr="0024731A" w:rsidRDefault="00EA6E35" w:rsidP="00EA6E35">
      <w:pPr>
        <w:widowControl/>
        <w:autoSpaceDE/>
        <w:autoSpaceDN/>
        <w:spacing w:before="100" w:beforeAutospacing="1" w:after="100" w:afterAutospacing="1" w:line="300" w:lineRule="atLeast"/>
        <w:rPr>
          <w:rFonts w:ascii="Segoe UI" w:eastAsia="Times New Roman" w:hAnsi="Segoe UI" w:cs="Segoe UI"/>
          <w:sz w:val="21"/>
          <w:szCs w:val="21"/>
          <w:lang w:val="es-CO" w:eastAsia="es-CO"/>
        </w:rPr>
      </w:pPr>
      <w:r w:rsidRPr="0024731A">
        <w:rPr>
          <w:rFonts w:ascii="Segoe UI" w:eastAsia="Times New Roman" w:hAnsi="Segoe UI" w:cs="Segoe UI"/>
          <w:sz w:val="21"/>
          <w:szCs w:val="21"/>
          <w:lang w:val="es-CO" w:eastAsia="es-CO"/>
        </w:rPr>
        <w:t xml:space="preserve">De acuerdo con la matriz de priorización, se establecen como </w:t>
      </w:r>
      <w:r w:rsidRPr="0024731A">
        <w:rPr>
          <w:rFonts w:ascii="Segoe UI" w:eastAsia="Times New Roman" w:hAnsi="Segoe UI" w:cs="Segoe UI"/>
          <w:b/>
          <w:bCs/>
          <w:sz w:val="21"/>
          <w:szCs w:val="21"/>
          <w:lang w:val="es-CO" w:eastAsia="es-CO"/>
        </w:rPr>
        <w:t>problemas prioritarios en salud</w:t>
      </w:r>
      <w:r w:rsidRPr="0024731A">
        <w:rPr>
          <w:rFonts w:ascii="Segoe UI" w:eastAsia="Times New Roman" w:hAnsi="Segoe UI" w:cs="Segoe UI"/>
          <w:sz w:val="21"/>
          <w:szCs w:val="21"/>
          <w:lang w:val="es-CO" w:eastAsia="es-CO"/>
        </w:rPr>
        <w:t xml:space="preserve"> los siguientes:</w:t>
      </w:r>
    </w:p>
    <w:p w14:paraId="215253D8" w14:textId="1DE39601" w:rsidR="00EA6E35" w:rsidRPr="0024731A" w:rsidRDefault="007C0226" w:rsidP="00B6007F">
      <w:pPr>
        <w:widowControl/>
        <w:numPr>
          <w:ilvl w:val="0"/>
          <w:numId w:val="22"/>
        </w:numPr>
        <w:autoSpaceDE/>
        <w:autoSpaceDN/>
        <w:spacing w:before="100" w:beforeAutospacing="1" w:after="100" w:afterAutospacing="1" w:line="300" w:lineRule="atLeast"/>
        <w:rPr>
          <w:rFonts w:ascii="Segoe UI" w:eastAsia="Times New Roman" w:hAnsi="Segoe UI" w:cs="Segoe UI"/>
          <w:sz w:val="21"/>
          <w:szCs w:val="21"/>
          <w:lang w:val="es-CO" w:eastAsia="es-CO"/>
        </w:rPr>
      </w:pPr>
      <w:bookmarkStart w:id="239" w:name="_Hlk233275214"/>
      <w:bookmarkStart w:id="240" w:name="_Hlk233274240"/>
      <w:r>
        <w:rPr>
          <w:rFonts w:ascii="Segoe UI" w:eastAsia="Times New Roman" w:hAnsi="Segoe UI" w:cs="Segoe UI"/>
          <w:b/>
          <w:bCs/>
          <w:sz w:val="21"/>
          <w:szCs w:val="21"/>
          <w:lang w:val="es-CO" w:eastAsia="es-CO"/>
        </w:rPr>
        <w:t xml:space="preserve">Alta carga de </w:t>
      </w:r>
      <w:r w:rsidR="00EA6E35" w:rsidRPr="0024731A">
        <w:rPr>
          <w:rFonts w:ascii="Segoe UI" w:eastAsia="Times New Roman" w:hAnsi="Segoe UI" w:cs="Segoe UI"/>
          <w:b/>
          <w:bCs/>
          <w:sz w:val="21"/>
          <w:szCs w:val="21"/>
          <w:lang w:val="es-CO" w:eastAsia="es-CO"/>
        </w:rPr>
        <w:t>Enfermedades crónicas no transmisibles (ECNT)</w:t>
      </w:r>
      <w:r w:rsidR="00EA6E35" w:rsidRPr="0024731A">
        <w:rPr>
          <w:rFonts w:ascii="Segoe UI" w:eastAsia="Times New Roman" w:hAnsi="Segoe UI" w:cs="Segoe UI"/>
          <w:sz w:val="21"/>
          <w:szCs w:val="21"/>
          <w:lang w:val="es-CO" w:eastAsia="es-CO"/>
        </w:rPr>
        <w:t>, especialmente neoplasias</w:t>
      </w:r>
      <w:r w:rsidR="00BD57D1">
        <w:rPr>
          <w:rFonts w:ascii="Segoe UI" w:eastAsia="Times New Roman" w:hAnsi="Segoe UI" w:cs="Segoe UI"/>
          <w:sz w:val="21"/>
          <w:szCs w:val="21"/>
          <w:lang w:val="es-CO" w:eastAsia="es-CO"/>
        </w:rPr>
        <w:t>.</w:t>
      </w:r>
    </w:p>
    <w:bookmarkEnd w:id="239"/>
    <w:p w14:paraId="6E674169" w14:textId="7374B3D4" w:rsidR="00EA6E35" w:rsidRPr="007C0226" w:rsidRDefault="007C0226" w:rsidP="00BA19AF">
      <w:pPr>
        <w:widowControl/>
        <w:numPr>
          <w:ilvl w:val="0"/>
          <w:numId w:val="22"/>
        </w:numPr>
        <w:autoSpaceDE/>
        <w:autoSpaceDN/>
        <w:spacing w:before="100" w:beforeAutospacing="1" w:after="100" w:afterAutospacing="1" w:line="300" w:lineRule="atLeast"/>
        <w:rPr>
          <w:rFonts w:ascii="Segoe UI" w:eastAsia="Times New Roman" w:hAnsi="Segoe UI" w:cs="Segoe UI"/>
          <w:sz w:val="21"/>
          <w:szCs w:val="21"/>
          <w:lang w:val="es-CO" w:eastAsia="es-CO"/>
        </w:rPr>
      </w:pPr>
      <w:r>
        <w:rPr>
          <w:rFonts w:ascii="Segoe UI" w:eastAsia="Times New Roman" w:hAnsi="Segoe UI" w:cs="Segoe UI"/>
          <w:b/>
          <w:bCs/>
          <w:sz w:val="21"/>
          <w:szCs w:val="21"/>
          <w:lang w:val="es-CO" w:eastAsia="es-CO"/>
        </w:rPr>
        <w:t xml:space="preserve">Alta </w:t>
      </w:r>
      <w:r w:rsidRPr="007C0226">
        <w:rPr>
          <w:rFonts w:ascii="Segoe UI" w:eastAsia="Times New Roman" w:hAnsi="Segoe UI" w:cs="Segoe UI"/>
          <w:b/>
          <w:bCs/>
          <w:sz w:val="21"/>
          <w:szCs w:val="21"/>
          <w:lang w:val="es-CO" w:eastAsia="es-CO"/>
        </w:rPr>
        <w:t xml:space="preserve">Prevalencia de Hipertensión arterial </w:t>
      </w:r>
      <w:r w:rsidR="00EA6E35" w:rsidRPr="007C0226">
        <w:rPr>
          <w:rFonts w:ascii="Segoe UI" w:eastAsia="Times New Roman" w:hAnsi="Segoe UI" w:cs="Segoe UI"/>
          <w:sz w:val="21"/>
          <w:szCs w:val="21"/>
          <w:lang w:val="es-CO" w:eastAsia="es-CO"/>
        </w:rPr>
        <w:t>y diabetes mellitus).</w:t>
      </w:r>
    </w:p>
    <w:p w14:paraId="0A453EFA" w14:textId="695592F6" w:rsidR="00EA6E35" w:rsidRPr="0024731A" w:rsidRDefault="00EA6E35" w:rsidP="00B6007F">
      <w:pPr>
        <w:widowControl/>
        <w:numPr>
          <w:ilvl w:val="0"/>
          <w:numId w:val="22"/>
        </w:numPr>
        <w:autoSpaceDE/>
        <w:autoSpaceDN/>
        <w:spacing w:before="100" w:beforeAutospacing="1" w:after="100" w:afterAutospacing="1" w:line="300" w:lineRule="atLeast"/>
        <w:rPr>
          <w:rFonts w:ascii="Segoe UI" w:eastAsia="Times New Roman" w:hAnsi="Segoe UI" w:cs="Segoe UI"/>
          <w:sz w:val="21"/>
          <w:szCs w:val="21"/>
          <w:lang w:val="es-CO" w:eastAsia="es-CO"/>
        </w:rPr>
      </w:pPr>
      <w:r w:rsidRPr="0024731A">
        <w:rPr>
          <w:rFonts w:ascii="Segoe UI" w:eastAsia="Times New Roman" w:hAnsi="Segoe UI" w:cs="Segoe UI"/>
          <w:b/>
          <w:bCs/>
          <w:sz w:val="21"/>
          <w:szCs w:val="21"/>
          <w:lang w:val="es-CO" w:eastAsia="es-CO"/>
        </w:rPr>
        <w:t>Condiciones neuropsiquiátricas y salud mental</w:t>
      </w:r>
      <w:r w:rsidRPr="0024731A">
        <w:rPr>
          <w:rFonts w:ascii="Segoe UI" w:eastAsia="Times New Roman" w:hAnsi="Segoe UI" w:cs="Segoe UI"/>
          <w:sz w:val="21"/>
          <w:szCs w:val="21"/>
          <w:lang w:val="es-CO" w:eastAsia="es-CO"/>
        </w:rPr>
        <w:t>.</w:t>
      </w:r>
    </w:p>
    <w:p w14:paraId="1D8DAA9B" w14:textId="1FC52B1A" w:rsidR="00EA6E35" w:rsidRPr="0024731A" w:rsidRDefault="007C0226" w:rsidP="00B6007F">
      <w:pPr>
        <w:widowControl/>
        <w:numPr>
          <w:ilvl w:val="0"/>
          <w:numId w:val="22"/>
        </w:numPr>
        <w:autoSpaceDE/>
        <w:autoSpaceDN/>
        <w:spacing w:before="100" w:beforeAutospacing="1" w:after="100" w:afterAutospacing="1" w:line="300" w:lineRule="atLeast"/>
        <w:rPr>
          <w:rFonts w:ascii="Segoe UI" w:eastAsia="Times New Roman" w:hAnsi="Segoe UI" w:cs="Segoe UI"/>
          <w:sz w:val="21"/>
          <w:szCs w:val="21"/>
          <w:lang w:val="es-CO" w:eastAsia="es-CO"/>
        </w:rPr>
      </w:pPr>
      <w:r>
        <w:rPr>
          <w:rFonts w:ascii="Segoe UI" w:eastAsia="Times New Roman" w:hAnsi="Segoe UI" w:cs="Segoe UI"/>
          <w:b/>
          <w:bCs/>
          <w:sz w:val="21"/>
          <w:szCs w:val="21"/>
          <w:lang w:val="es-CO" w:eastAsia="es-CO"/>
        </w:rPr>
        <w:t>Riesgos en salud derivados del e</w:t>
      </w:r>
      <w:r w:rsidR="00EA6E35" w:rsidRPr="0024731A">
        <w:rPr>
          <w:rFonts w:ascii="Segoe UI" w:eastAsia="Times New Roman" w:hAnsi="Segoe UI" w:cs="Segoe UI"/>
          <w:b/>
          <w:bCs/>
          <w:sz w:val="21"/>
          <w:szCs w:val="21"/>
          <w:lang w:val="es-CO" w:eastAsia="es-CO"/>
        </w:rPr>
        <w:t>nvejecimiento poblacional</w:t>
      </w:r>
      <w:r w:rsidR="00EA6E35" w:rsidRPr="0024731A">
        <w:rPr>
          <w:rFonts w:ascii="Segoe UI" w:eastAsia="Times New Roman" w:hAnsi="Segoe UI" w:cs="Segoe UI"/>
          <w:sz w:val="21"/>
          <w:szCs w:val="21"/>
          <w:lang w:val="es-CO" w:eastAsia="es-CO"/>
        </w:rPr>
        <w:t>.</w:t>
      </w:r>
    </w:p>
    <w:p w14:paraId="5ED6AF1C" w14:textId="77777777" w:rsidR="00EA6E35" w:rsidRPr="0024731A" w:rsidRDefault="00EA6E35" w:rsidP="00B6007F">
      <w:pPr>
        <w:widowControl/>
        <w:numPr>
          <w:ilvl w:val="0"/>
          <w:numId w:val="22"/>
        </w:numPr>
        <w:autoSpaceDE/>
        <w:autoSpaceDN/>
        <w:spacing w:before="100" w:beforeAutospacing="1" w:after="100" w:afterAutospacing="1" w:line="300" w:lineRule="atLeast"/>
        <w:rPr>
          <w:rFonts w:ascii="Segoe UI" w:eastAsia="Times New Roman" w:hAnsi="Segoe UI" w:cs="Segoe UI"/>
          <w:sz w:val="21"/>
          <w:szCs w:val="21"/>
          <w:lang w:val="es-CO" w:eastAsia="es-CO"/>
        </w:rPr>
      </w:pPr>
      <w:r w:rsidRPr="0024731A">
        <w:rPr>
          <w:rFonts w:ascii="Segoe UI" w:eastAsia="Times New Roman" w:hAnsi="Segoe UI" w:cs="Segoe UI"/>
          <w:b/>
          <w:bCs/>
          <w:sz w:val="21"/>
          <w:szCs w:val="21"/>
          <w:lang w:val="es-CO" w:eastAsia="es-CO"/>
        </w:rPr>
        <w:t>Eventos transmisibles</w:t>
      </w:r>
      <w:r w:rsidRPr="0024731A">
        <w:rPr>
          <w:rFonts w:ascii="Segoe UI" w:eastAsia="Times New Roman" w:hAnsi="Segoe UI" w:cs="Segoe UI"/>
          <w:sz w:val="21"/>
          <w:szCs w:val="21"/>
          <w:lang w:val="es-CO" w:eastAsia="es-CO"/>
        </w:rPr>
        <w:t>, particularmente dengue</w:t>
      </w:r>
      <w:bookmarkEnd w:id="240"/>
      <w:r w:rsidRPr="0024731A">
        <w:rPr>
          <w:rFonts w:ascii="Segoe UI" w:eastAsia="Times New Roman" w:hAnsi="Segoe UI" w:cs="Segoe UI"/>
          <w:sz w:val="21"/>
          <w:szCs w:val="21"/>
          <w:lang w:val="es-CO" w:eastAsia="es-CO"/>
        </w:rPr>
        <w:t>.</w:t>
      </w:r>
    </w:p>
    <w:p w14:paraId="7904EFA4" w14:textId="77777777" w:rsidR="004C476D" w:rsidRDefault="004C476D" w:rsidP="004C476D">
      <w:pPr>
        <w:widowControl/>
        <w:autoSpaceDE/>
        <w:autoSpaceDN/>
        <w:spacing w:line="300" w:lineRule="atLeast"/>
        <w:ind w:left="360"/>
        <w:rPr>
          <w:rFonts w:ascii="Segoe UI" w:eastAsia="Times New Roman" w:hAnsi="Segoe UI" w:cs="Segoe UI"/>
          <w:sz w:val="21"/>
          <w:szCs w:val="21"/>
          <w:lang w:val="es-CO" w:eastAsia="es-CO"/>
        </w:rPr>
      </w:pPr>
      <w:r w:rsidRPr="004C476D">
        <w:rPr>
          <w:rFonts w:ascii="Segoe UI" w:eastAsia="Times New Roman" w:hAnsi="Segoe UI" w:cs="Segoe UI"/>
          <w:sz w:val="21"/>
          <w:szCs w:val="21"/>
          <w:lang w:val="es-CO" w:eastAsia="es-CO"/>
        </w:rPr>
        <w:t>La priorización de problemas y su articulación con la gestión del riesgo en salud permiten a UISALUD orientar sus intervenciones de manera eficiente, focalizando recursos en los eventos de mayor impacto, garantizando la atención integral de la población afiliada y contribuyendo a la sostenibilidad del sistema de salud institucional.</w:t>
      </w:r>
    </w:p>
    <w:p w14:paraId="79BBB694" w14:textId="77777777" w:rsidR="00FF396E" w:rsidRDefault="00FF396E" w:rsidP="004C476D">
      <w:pPr>
        <w:widowControl/>
        <w:autoSpaceDE/>
        <w:autoSpaceDN/>
        <w:spacing w:line="300" w:lineRule="atLeast"/>
        <w:ind w:left="360"/>
        <w:rPr>
          <w:rFonts w:ascii="Segoe UI" w:eastAsia="Times New Roman" w:hAnsi="Segoe UI" w:cs="Segoe UI"/>
          <w:sz w:val="21"/>
          <w:szCs w:val="21"/>
          <w:lang w:val="es-CO" w:eastAsia="es-CO"/>
        </w:rPr>
      </w:pPr>
    </w:p>
    <w:p w14:paraId="5FF55CBC" w14:textId="77777777" w:rsidR="00FF396E" w:rsidRDefault="00FF396E" w:rsidP="004C476D">
      <w:pPr>
        <w:widowControl/>
        <w:autoSpaceDE/>
        <w:autoSpaceDN/>
        <w:spacing w:line="300" w:lineRule="atLeast"/>
        <w:ind w:left="360"/>
        <w:rPr>
          <w:rFonts w:ascii="Segoe UI" w:eastAsia="Times New Roman" w:hAnsi="Segoe UI" w:cs="Segoe UI"/>
          <w:sz w:val="21"/>
          <w:szCs w:val="21"/>
          <w:lang w:val="es-CO" w:eastAsia="es-CO"/>
        </w:rPr>
      </w:pPr>
    </w:p>
    <w:p w14:paraId="3065DAC7" w14:textId="77777777" w:rsidR="00FF396E" w:rsidRDefault="00FF396E" w:rsidP="004C476D">
      <w:pPr>
        <w:widowControl/>
        <w:autoSpaceDE/>
        <w:autoSpaceDN/>
        <w:spacing w:line="300" w:lineRule="atLeast"/>
        <w:ind w:left="360"/>
        <w:rPr>
          <w:rFonts w:ascii="Segoe UI" w:eastAsia="Times New Roman" w:hAnsi="Segoe UI" w:cs="Segoe UI"/>
          <w:sz w:val="21"/>
          <w:szCs w:val="21"/>
          <w:lang w:val="es-CO" w:eastAsia="es-CO"/>
        </w:rPr>
      </w:pPr>
    </w:p>
    <w:p w14:paraId="230DDDAD" w14:textId="77777777" w:rsidR="00FF396E" w:rsidRDefault="00FF396E" w:rsidP="004C476D">
      <w:pPr>
        <w:widowControl/>
        <w:autoSpaceDE/>
        <w:autoSpaceDN/>
        <w:spacing w:line="300" w:lineRule="atLeast"/>
        <w:ind w:left="360"/>
        <w:rPr>
          <w:rFonts w:ascii="Segoe UI" w:eastAsia="Times New Roman" w:hAnsi="Segoe UI" w:cs="Segoe UI"/>
          <w:sz w:val="21"/>
          <w:szCs w:val="21"/>
          <w:lang w:val="es-CO" w:eastAsia="es-CO"/>
        </w:rPr>
      </w:pPr>
    </w:p>
    <w:p w14:paraId="28D05242" w14:textId="77777777" w:rsidR="00C10A54" w:rsidRDefault="00C10A54" w:rsidP="004C476D">
      <w:pPr>
        <w:widowControl/>
        <w:autoSpaceDE/>
        <w:autoSpaceDN/>
        <w:spacing w:line="300" w:lineRule="atLeast"/>
        <w:ind w:left="360"/>
        <w:rPr>
          <w:rFonts w:ascii="Segoe UI" w:eastAsia="Times New Roman" w:hAnsi="Segoe UI" w:cs="Segoe UI"/>
          <w:sz w:val="21"/>
          <w:szCs w:val="21"/>
          <w:lang w:val="es-CO" w:eastAsia="es-CO"/>
        </w:rPr>
      </w:pPr>
    </w:p>
    <w:p w14:paraId="55942603" w14:textId="3975A67A" w:rsidR="00E20FAA" w:rsidRDefault="00E20FAA" w:rsidP="004C476D">
      <w:pPr>
        <w:widowControl/>
        <w:autoSpaceDE/>
        <w:autoSpaceDN/>
        <w:spacing w:line="300" w:lineRule="atLeast"/>
        <w:ind w:left="360"/>
        <w:rPr>
          <w:rFonts w:ascii="Segoe UI" w:eastAsia="Times New Roman" w:hAnsi="Segoe UI" w:cs="Segoe UI"/>
          <w:sz w:val="21"/>
          <w:szCs w:val="21"/>
          <w:lang w:val="es-CO" w:eastAsia="es-CO"/>
        </w:rPr>
      </w:pPr>
    </w:p>
    <w:p w14:paraId="71806E5C" w14:textId="77777777" w:rsidR="00BD57D1" w:rsidRDefault="00BD57D1" w:rsidP="004C476D">
      <w:pPr>
        <w:widowControl/>
        <w:autoSpaceDE/>
        <w:autoSpaceDN/>
        <w:spacing w:line="300" w:lineRule="atLeast"/>
        <w:ind w:left="360"/>
        <w:rPr>
          <w:rFonts w:ascii="Segoe UI" w:eastAsia="Times New Roman" w:hAnsi="Segoe UI" w:cs="Segoe UI"/>
          <w:sz w:val="21"/>
          <w:szCs w:val="21"/>
          <w:lang w:val="es-CO" w:eastAsia="es-CO"/>
        </w:rPr>
      </w:pPr>
    </w:p>
    <w:p w14:paraId="5747A49E" w14:textId="77777777" w:rsidR="00E20FAA" w:rsidRDefault="00E20FAA" w:rsidP="004C476D">
      <w:pPr>
        <w:widowControl/>
        <w:autoSpaceDE/>
        <w:autoSpaceDN/>
        <w:spacing w:line="300" w:lineRule="atLeast"/>
        <w:ind w:left="360"/>
        <w:rPr>
          <w:rFonts w:ascii="Segoe UI" w:eastAsia="Times New Roman" w:hAnsi="Segoe UI" w:cs="Segoe UI"/>
          <w:sz w:val="21"/>
          <w:szCs w:val="21"/>
          <w:lang w:val="es-CO" w:eastAsia="es-CO"/>
        </w:rPr>
      </w:pPr>
    </w:p>
    <w:p w14:paraId="2DA14357" w14:textId="77777777" w:rsidR="00E20FAA" w:rsidRPr="004C476D" w:rsidRDefault="00E20FAA" w:rsidP="004C476D">
      <w:pPr>
        <w:widowControl/>
        <w:autoSpaceDE/>
        <w:autoSpaceDN/>
        <w:spacing w:line="300" w:lineRule="atLeast"/>
        <w:ind w:left="360"/>
        <w:rPr>
          <w:rFonts w:ascii="Segoe UI" w:eastAsia="Times New Roman" w:hAnsi="Segoe UI" w:cs="Segoe UI"/>
          <w:sz w:val="21"/>
          <w:szCs w:val="21"/>
          <w:lang w:val="es-CO" w:eastAsia="es-CO"/>
        </w:rPr>
      </w:pPr>
    </w:p>
    <w:p w14:paraId="44E5F47F" w14:textId="77777777" w:rsidR="00BF0DC5" w:rsidRPr="007F0FA7" w:rsidRDefault="00BF0DC5" w:rsidP="00BF0DC5">
      <w:pPr>
        <w:pStyle w:val="Textoindependiente"/>
        <w:spacing w:before="88"/>
        <w:rPr>
          <w:rFonts w:ascii="Humanst521 BT" w:hAnsi="Humanst521 BT"/>
          <w:sz w:val="22"/>
          <w:szCs w:val="22"/>
        </w:rPr>
      </w:pPr>
    </w:p>
    <w:p w14:paraId="44E1871A" w14:textId="6F97BF65" w:rsidR="00BF0DC5" w:rsidRPr="00BA3C63" w:rsidRDefault="00092228" w:rsidP="00B6007F">
      <w:pPr>
        <w:pStyle w:val="Prrafodelista"/>
        <w:numPr>
          <w:ilvl w:val="1"/>
          <w:numId w:val="9"/>
        </w:numPr>
        <w:tabs>
          <w:tab w:val="left" w:pos="1755"/>
        </w:tabs>
        <w:ind w:right="376"/>
        <w:outlineLvl w:val="1"/>
        <w:rPr>
          <w:rFonts w:ascii="Humanst521 BT" w:eastAsiaTheme="majorEastAsia" w:hAnsi="Humanst521 BT" w:cstheme="majorBidi"/>
          <w:b/>
          <w:bCs/>
          <w:color w:val="2F5496" w:themeColor="accent1" w:themeShade="BF"/>
          <w:lang w:eastAsia="es-CO"/>
        </w:rPr>
      </w:pPr>
      <w:bookmarkStart w:id="241" w:name="_bookmark15"/>
      <w:bookmarkStart w:id="242" w:name="_Toc231286826"/>
      <w:bookmarkEnd w:id="241"/>
      <w:r w:rsidRPr="00FF396E">
        <w:rPr>
          <w:rFonts w:ascii="Humanst521 BT" w:eastAsiaTheme="majorEastAsia" w:hAnsi="Humanst521 BT" w:cstheme="majorBidi"/>
          <w:b/>
          <w:bCs/>
          <w:color w:val="2F5496" w:themeColor="accent1" w:themeShade="BF"/>
          <w:sz w:val="28"/>
          <w:szCs w:val="28"/>
          <w:lang w:eastAsia="es-CO"/>
        </w:rPr>
        <w:lastRenderedPageBreak/>
        <w:t>CAPITULO 4. ACCIONES QUE LA ENTIDAD ENCARGADA DEL ASEGURAMIENTO EN SALUD REALIZA A PARTIR DEL ANÁLISIS Y EN EL MARCO DEL PLAN DECENAL DE SALUD PÚBLICA 2022-</w:t>
      </w:r>
      <w:r w:rsidRPr="00BA3C63">
        <w:rPr>
          <w:rFonts w:ascii="Humanst521 BT" w:eastAsiaTheme="majorEastAsia" w:hAnsi="Humanst521 BT" w:cstheme="majorBidi"/>
          <w:b/>
          <w:bCs/>
          <w:color w:val="2F5496" w:themeColor="accent1" w:themeShade="BF"/>
          <w:lang w:eastAsia="es-CO"/>
        </w:rPr>
        <w:t>2031.</w:t>
      </w:r>
      <w:bookmarkEnd w:id="242"/>
    </w:p>
    <w:p w14:paraId="05B372C4" w14:textId="77777777" w:rsidR="00BF0DC5" w:rsidRPr="00BA3C63" w:rsidRDefault="00BF0DC5" w:rsidP="00BF0DC5">
      <w:pPr>
        <w:pStyle w:val="Textoindependiente"/>
        <w:rPr>
          <w:rFonts w:ascii="Humanst521 BT" w:eastAsiaTheme="majorEastAsia" w:hAnsi="Humanst521 BT" w:cstheme="majorBidi"/>
          <w:b/>
          <w:bCs/>
          <w:color w:val="2F5496" w:themeColor="accent1" w:themeShade="BF"/>
          <w:sz w:val="22"/>
          <w:szCs w:val="22"/>
          <w:lang w:eastAsia="es-CO"/>
        </w:rPr>
      </w:pPr>
    </w:p>
    <w:p w14:paraId="2077EA53" w14:textId="77777777" w:rsidR="007C0226" w:rsidRPr="007C0226" w:rsidRDefault="007C0226" w:rsidP="007C0226">
      <w:pPr>
        <w:pStyle w:val="isselectedend"/>
        <w:jc w:val="both"/>
        <w:rPr>
          <w:rFonts w:ascii="Humanst521 BT" w:hAnsi="Humanst521 BT"/>
          <w:sz w:val="22"/>
          <w:szCs w:val="22"/>
        </w:rPr>
      </w:pPr>
      <w:r w:rsidRPr="007C0226">
        <w:rPr>
          <w:rFonts w:ascii="Humanst521 BT" w:hAnsi="Humanst521 BT"/>
          <w:sz w:val="22"/>
          <w:szCs w:val="22"/>
        </w:rPr>
        <w:t>A partir del análisis de la situación de salud de la población afiliada, UISALUD orienta sus estrategias de aseguramiento y gestión del riesgo hacia la intervención de los problemas priorizados, en concordancia con los lineamientos del Plan Decenal de Salud Pública 2022-2031, las Rutas Integrales de Atención en Salud (RIAS) y el Modelo de Atención Integral en Salud. Las principales acciones desarrolladas se describen a continuación:</w:t>
      </w:r>
    </w:p>
    <w:p w14:paraId="33653B22" w14:textId="77777777" w:rsidR="007C0226" w:rsidRPr="007C0226" w:rsidRDefault="007C0226" w:rsidP="007C0226">
      <w:pPr>
        <w:pStyle w:val="Ttulo4"/>
        <w:jc w:val="both"/>
        <w:rPr>
          <w:rFonts w:ascii="Humanst521 BT" w:hAnsi="Humanst521 BT"/>
          <w:color w:val="2F5496" w:themeColor="accent1" w:themeShade="BF"/>
          <w:sz w:val="22"/>
          <w:szCs w:val="22"/>
        </w:rPr>
      </w:pPr>
      <w:r w:rsidRPr="007C0226">
        <w:rPr>
          <w:rFonts w:ascii="Humanst521 BT" w:hAnsi="Humanst521 BT"/>
          <w:color w:val="2F5496" w:themeColor="accent1" w:themeShade="BF"/>
          <w:sz w:val="22"/>
          <w:szCs w:val="22"/>
        </w:rPr>
        <w:t>5.4.1. Enfermedades crónicas no transmisibles: cáncer</w:t>
      </w:r>
    </w:p>
    <w:p w14:paraId="4D9A5E0B" w14:textId="77777777" w:rsidR="007C0226" w:rsidRPr="007C0226" w:rsidRDefault="007C0226" w:rsidP="007C0226">
      <w:pPr>
        <w:pStyle w:val="isselectedend"/>
        <w:jc w:val="both"/>
        <w:rPr>
          <w:rFonts w:ascii="Humanst521 BT" w:hAnsi="Humanst521 BT"/>
          <w:sz w:val="22"/>
          <w:szCs w:val="22"/>
        </w:rPr>
      </w:pPr>
      <w:r w:rsidRPr="007C0226">
        <w:rPr>
          <w:rFonts w:ascii="Humanst521 BT" w:hAnsi="Humanst521 BT"/>
          <w:sz w:val="22"/>
          <w:szCs w:val="22"/>
        </w:rPr>
        <w:t>Considerando la carga de enfermedad asociada al cáncer, UISALUD desarrolla programas de detección temprana mediante la implementación de las Rutas Integrales de Atención en Salud para cáncer de mama, cáncer de cuello uterino, cáncer de próstata y cáncer de colon y recto. Estas acciones incluyen la identificación de la población objeto, la realización de tamizajes, el seguimiento individual de los casos priorizados y la articulación con la red prestadora para garantizar la oportunidad diagnóstica y terapéutica. El seguimiento de estas intervenciones se realiza a través del Comité de Gestión del Riesgo y del Comité de Alto Costo.</w:t>
      </w:r>
    </w:p>
    <w:p w14:paraId="3616ABE8" w14:textId="77777777" w:rsidR="007C0226" w:rsidRPr="007C0226" w:rsidRDefault="007C0226" w:rsidP="007C0226">
      <w:pPr>
        <w:pStyle w:val="Ttulo4"/>
        <w:jc w:val="both"/>
        <w:rPr>
          <w:rFonts w:ascii="Humanst521 BT" w:hAnsi="Humanst521 BT"/>
          <w:color w:val="2F5496" w:themeColor="accent1" w:themeShade="BF"/>
          <w:sz w:val="22"/>
          <w:szCs w:val="22"/>
        </w:rPr>
      </w:pPr>
      <w:r w:rsidRPr="007C0226">
        <w:rPr>
          <w:rFonts w:ascii="Humanst521 BT" w:hAnsi="Humanst521 BT"/>
          <w:color w:val="2F5496" w:themeColor="accent1" w:themeShade="BF"/>
          <w:sz w:val="22"/>
          <w:szCs w:val="22"/>
        </w:rPr>
        <w:t>5.4.2. Enfermedades cardiovasculares y metabólicas</w:t>
      </w:r>
    </w:p>
    <w:p w14:paraId="1ECDA9F1" w14:textId="77777777" w:rsidR="007C0226" w:rsidRPr="007C0226" w:rsidRDefault="007C0226" w:rsidP="007C0226">
      <w:pPr>
        <w:pStyle w:val="isselectedend"/>
        <w:jc w:val="both"/>
        <w:rPr>
          <w:rFonts w:ascii="Humanst521 BT" w:hAnsi="Humanst521 BT"/>
          <w:sz w:val="22"/>
          <w:szCs w:val="22"/>
        </w:rPr>
      </w:pPr>
      <w:r w:rsidRPr="007C0226">
        <w:rPr>
          <w:rFonts w:ascii="Humanst521 BT" w:hAnsi="Humanst521 BT"/>
          <w:sz w:val="22"/>
          <w:szCs w:val="22"/>
        </w:rPr>
        <w:t>Frente a la prevalencia de hipertensión arterial y diabetes mellitus, UISALUD implementa la Ruta Integral de Atención Cardio-Cerebrovascular-Metabólica y el programa Todo Corazón, orientados a la detección temprana, el control clínico, la adherencia al tratamiento y la promoción de estilos de vida saludables. El desempeño de estas estrategias es evaluado periódicamente en el Comité de Gestión del Riesgo mediante el seguimiento de indicadores de cobertura, control y resultados en salud.</w:t>
      </w:r>
    </w:p>
    <w:p w14:paraId="52FD410A" w14:textId="77777777" w:rsidR="007C0226" w:rsidRPr="007C0226" w:rsidRDefault="007C0226" w:rsidP="007C0226">
      <w:pPr>
        <w:pStyle w:val="Ttulo4"/>
        <w:jc w:val="both"/>
        <w:rPr>
          <w:rFonts w:ascii="Humanst521 BT" w:hAnsi="Humanst521 BT"/>
          <w:color w:val="2F5496" w:themeColor="accent1" w:themeShade="BF"/>
          <w:sz w:val="22"/>
          <w:szCs w:val="22"/>
        </w:rPr>
      </w:pPr>
      <w:r w:rsidRPr="007C0226">
        <w:rPr>
          <w:rFonts w:ascii="Humanst521 BT" w:hAnsi="Humanst521 BT"/>
          <w:color w:val="2F5496" w:themeColor="accent1" w:themeShade="BF"/>
          <w:sz w:val="22"/>
          <w:szCs w:val="22"/>
        </w:rPr>
        <w:t>5.4.3. Condiciones neuropsiquiátricas y salud mental</w:t>
      </w:r>
    </w:p>
    <w:p w14:paraId="58B50934" w14:textId="77777777" w:rsidR="007C0226" w:rsidRPr="007C0226" w:rsidRDefault="007C0226" w:rsidP="007C0226">
      <w:pPr>
        <w:pStyle w:val="isselectedend"/>
        <w:jc w:val="both"/>
        <w:rPr>
          <w:rFonts w:ascii="Humanst521 BT" w:hAnsi="Humanst521 BT"/>
          <w:sz w:val="22"/>
          <w:szCs w:val="22"/>
        </w:rPr>
      </w:pPr>
      <w:r w:rsidRPr="007C0226">
        <w:rPr>
          <w:rFonts w:ascii="Humanst521 BT" w:hAnsi="Humanst521 BT"/>
          <w:sz w:val="22"/>
          <w:szCs w:val="22"/>
        </w:rPr>
        <w:t>Para abordar los problemas priorizados en salud mental, la entidad ejecuta la Ruta Integral de Atención en Salud Mental, fortaleciendo las acciones de promoción de la salud mental, prevención de trastornos mentales, atención integral, seguimiento clínico y articulación interdisciplinaria. Los resultados y oportunidades de mejora son revisados de manera periódica por el Grupo de Salud Mental.</w:t>
      </w:r>
    </w:p>
    <w:p w14:paraId="342EF14C" w14:textId="77777777" w:rsidR="007C0226" w:rsidRPr="007C0226" w:rsidRDefault="007C0226" w:rsidP="007C0226">
      <w:pPr>
        <w:pStyle w:val="Ttulo4"/>
        <w:jc w:val="both"/>
        <w:rPr>
          <w:rFonts w:ascii="Humanst521 BT" w:hAnsi="Humanst521 BT"/>
          <w:color w:val="2F5496" w:themeColor="accent1" w:themeShade="BF"/>
          <w:sz w:val="22"/>
          <w:szCs w:val="22"/>
        </w:rPr>
      </w:pPr>
      <w:r w:rsidRPr="007C0226">
        <w:rPr>
          <w:rFonts w:ascii="Humanst521 BT" w:hAnsi="Humanst521 BT"/>
          <w:color w:val="2F5496" w:themeColor="accent1" w:themeShade="BF"/>
          <w:sz w:val="22"/>
          <w:szCs w:val="22"/>
        </w:rPr>
        <w:t>5.4.4. Envejecimiento poblacional</w:t>
      </w:r>
    </w:p>
    <w:p w14:paraId="07EBCF8C" w14:textId="668E4A60" w:rsidR="007C0226" w:rsidRDefault="007C0226" w:rsidP="007C0226">
      <w:pPr>
        <w:pStyle w:val="isselectedend"/>
        <w:jc w:val="both"/>
        <w:rPr>
          <w:rFonts w:ascii="Humanst521 BT" w:hAnsi="Humanst521 BT"/>
          <w:sz w:val="22"/>
          <w:szCs w:val="22"/>
        </w:rPr>
      </w:pPr>
      <w:r w:rsidRPr="007C0226">
        <w:rPr>
          <w:rFonts w:ascii="Humanst521 BT" w:hAnsi="Humanst521 BT"/>
          <w:sz w:val="22"/>
          <w:szCs w:val="22"/>
        </w:rPr>
        <w:t>En respuesta al envejecimiento progresivo de la población afiliada, UISALUD desarrolla la Ruta de Promoción y Mantenimiento de la Salud para el curso de vida de la vejez, mediante actividades orientadas a la valoración integral de las personas mayores, la prevención de la fragilidad, el mantenimiento de la capacidad funcional, el control de enfermedades crónicas y la promoción del envejecimiento saludable. Estas acciones son objeto de seguimiento en el Comité de Gestión del Riesgo.</w:t>
      </w:r>
    </w:p>
    <w:p w14:paraId="7BC82B73" w14:textId="77777777" w:rsidR="007C0226" w:rsidRPr="007C0226" w:rsidRDefault="007C0226" w:rsidP="007C0226">
      <w:pPr>
        <w:pStyle w:val="isselectedend"/>
        <w:jc w:val="both"/>
        <w:rPr>
          <w:rFonts w:ascii="Humanst521 BT" w:hAnsi="Humanst521 BT"/>
          <w:sz w:val="22"/>
          <w:szCs w:val="22"/>
        </w:rPr>
      </w:pPr>
    </w:p>
    <w:p w14:paraId="7C85E6A7" w14:textId="43A3F47C" w:rsidR="007C0226" w:rsidRPr="007C0226" w:rsidRDefault="007C0226" w:rsidP="007C0226">
      <w:pPr>
        <w:pStyle w:val="Ttulo4"/>
        <w:jc w:val="both"/>
        <w:rPr>
          <w:rFonts w:ascii="Humanst521 BT" w:hAnsi="Humanst521 BT"/>
          <w:color w:val="2F5496" w:themeColor="accent1" w:themeShade="BF"/>
          <w:sz w:val="22"/>
          <w:szCs w:val="22"/>
        </w:rPr>
      </w:pPr>
      <w:r w:rsidRPr="007C0226">
        <w:rPr>
          <w:rFonts w:ascii="Humanst521 BT" w:hAnsi="Humanst521 BT"/>
          <w:color w:val="2F5496" w:themeColor="accent1" w:themeShade="BF"/>
          <w:sz w:val="22"/>
          <w:szCs w:val="22"/>
        </w:rPr>
        <w:lastRenderedPageBreak/>
        <w:t>5.4.5. Eventos transmisibles</w:t>
      </w:r>
      <w:r>
        <w:rPr>
          <w:rFonts w:ascii="Humanst521 BT" w:hAnsi="Humanst521 BT"/>
          <w:color w:val="2F5496" w:themeColor="accent1" w:themeShade="BF"/>
          <w:sz w:val="22"/>
          <w:szCs w:val="22"/>
        </w:rPr>
        <w:t xml:space="preserve"> - dengue</w:t>
      </w:r>
    </w:p>
    <w:p w14:paraId="37EE88BC" w14:textId="77777777" w:rsidR="007C0226" w:rsidRPr="007C0226" w:rsidRDefault="007C0226" w:rsidP="007C0226">
      <w:pPr>
        <w:pStyle w:val="isselectedend"/>
        <w:jc w:val="both"/>
        <w:rPr>
          <w:rFonts w:ascii="Humanst521 BT" w:hAnsi="Humanst521 BT"/>
          <w:sz w:val="22"/>
          <w:szCs w:val="22"/>
        </w:rPr>
      </w:pPr>
      <w:r w:rsidRPr="007C0226">
        <w:rPr>
          <w:rFonts w:ascii="Humanst521 BT" w:hAnsi="Humanst521 BT"/>
          <w:sz w:val="22"/>
          <w:szCs w:val="22"/>
        </w:rPr>
        <w:t>En relación con los eventos transmisibles, especialmente el dengue y los demás eventos de interés en salud pública, UISALUD mantiene fortalecida la vigilancia epidemiológica institucional mediante la búsqueda activa de casos, la notificación obligatoria al Sistema de Vigilancia en Salud Pública, el seguimiento epidemiológico, la investigación de casos cuando corresponde, la articulación con las entidades territoriales y el desarrollo de actividades de información, educación y comunicación dirigidas a la población afiliada. El seguimiento de estas acciones se realiza en el Comité de Vigilancia Epidemiológica (COVE), desde donde se evalúa la oportunidad de la notificación, la implementación de medidas de control y la respuesta institucional frente a alertas epidemiológicas.</w:t>
      </w:r>
    </w:p>
    <w:p w14:paraId="550055B5" w14:textId="77777777" w:rsidR="007C0226" w:rsidRPr="007C0226" w:rsidRDefault="007C0226" w:rsidP="007C0226">
      <w:pPr>
        <w:pStyle w:val="NormalWeb"/>
        <w:jc w:val="both"/>
        <w:rPr>
          <w:rFonts w:ascii="Humanst521 BT" w:hAnsi="Humanst521 BT"/>
          <w:sz w:val="22"/>
          <w:szCs w:val="22"/>
        </w:rPr>
      </w:pPr>
      <w:r w:rsidRPr="007C0226">
        <w:rPr>
          <w:rFonts w:ascii="Humanst521 BT" w:hAnsi="Humanst521 BT"/>
          <w:sz w:val="22"/>
          <w:szCs w:val="22"/>
        </w:rPr>
        <w:t>Las acciones descritas permiten dar respuesta a los principales problemas identificados en el análisis de situación de salud, fortaleciendo la gestión del riesgo individual y colectivo y contribuyendo al cumplimiento de los objetivos del Plan Decenal de Salud Pública 2022-2031.</w:t>
      </w:r>
    </w:p>
    <w:p w14:paraId="0938D964" w14:textId="77777777" w:rsidR="003C0E23" w:rsidRPr="007C0226" w:rsidRDefault="003C0E23" w:rsidP="00093B44">
      <w:pPr>
        <w:pStyle w:val="Textoindependiente"/>
        <w:spacing w:before="184"/>
        <w:rPr>
          <w:rFonts w:ascii="Humanst521 BT" w:hAnsi="Humanst521 BT"/>
          <w:sz w:val="20"/>
          <w:szCs w:val="20"/>
        </w:rPr>
      </w:pPr>
    </w:p>
    <w:p w14:paraId="2BF4D10E" w14:textId="77777777" w:rsidR="003C0E23" w:rsidRPr="007C0226" w:rsidRDefault="003C0E23" w:rsidP="00093B44">
      <w:pPr>
        <w:pStyle w:val="Textoindependiente"/>
        <w:spacing w:before="184"/>
        <w:rPr>
          <w:rFonts w:ascii="Humanst521 BT" w:hAnsi="Humanst521 BT"/>
          <w:sz w:val="20"/>
          <w:szCs w:val="20"/>
        </w:rPr>
      </w:pPr>
    </w:p>
    <w:p w14:paraId="54A85FF4" w14:textId="77777777" w:rsidR="003C0E23" w:rsidRDefault="003C0E23" w:rsidP="00093B44">
      <w:pPr>
        <w:pStyle w:val="Textoindependiente"/>
        <w:spacing w:before="184"/>
        <w:rPr>
          <w:rFonts w:ascii="Humanst521 BT" w:hAnsi="Humanst521 BT"/>
          <w:sz w:val="22"/>
          <w:szCs w:val="22"/>
        </w:rPr>
      </w:pPr>
    </w:p>
    <w:p w14:paraId="7C3AD5CA" w14:textId="77777777" w:rsidR="003C0E23" w:rsidRDefault="003C0E23" w:rsidP="00093B44">
      <w:pPr>
        <w:pStyle w:val="Textoindependiente"/>
        <w:spacing w:before="184"/>
        <w:rPr>
          <w:rFonts w:ascii="Humanst521 BT" w:hAnsi="Humanst521 BT"/>
          <w:sz w:val="22"/>
          <w:szCs w:val="22"/>
        </w:rPr>
      </w:pPr>
    </w:p>
    <w:p w14:paraId="475E1EC3" w14:textId="77777777" w:rsidR="003C0E23" w:rsidRDefault="003C0E23" w:rsidP="00093B44">
      <w:pPr>
        <w:pStyle w:val="Textoindependiente"/>
        <w:spacing w:before="184"/>
        <w:rPr>
          <w:rFonts w:ascii="Humanst521 BT" w:hAnsi="Humanst521 BT"/>
          <w:sz w:val="22"/>
          <w:szCs w:val="22"/>
        </w:rPr>
      </w:pPr>
    </w:p>
    <w:p w14:paraId="2165E305" w14:textId="77777777" w:rsidR="003C0E23" w:rsidRDefault="003C0E23" w:rsidP="00093B44">
      <w:pPr>
        <w:pStyle w:val="Textoindependiente"/>
        <w:spacing w:before="184"/>
        <w:rPr>
          <w:rFonts w:ascii="Humanst521 BT" w:hAnsi="Humanst521 BT"/>
          <w:sz w:val="22"/>
          <w:szCs w:val="22"/>
        </w:rPr>
      </w:pPr>
    </w:p>
    <w:p w14:paraId="56162B70" w14:textId="77777777" w:rsidR="00C10A54" w:rsidRDefault="00C10A54" w:rsidP="00093B44">
      <w:pPr>
        <w:pStyle w:val="Textoindependiente"/>
        <w:spacing w:before="184"/>
        <w:rPr>
          <w:rFonts w:ascii="Humanst521 BT" w:hAnsi="Humanst521 BT"/>
          <w:sz w:val="22"/>
          <w:szCs w:val="22"/>
        </w:rPr>
      </w:pPr>
    </w:p>
    <w:p w14:paraId="64C44D77" w14:textId="5FB6C53E" w:rsidR="00C10A54" w:rsidRDefault="00C10A54" w:rsidP="00093B44">
      <w:pPr>
        <w:pStyle w:val="Textoindependiente"/>
        <w:spacing w:before="184"/>
        <w:rPr>
          <w:rFonts w:ascii="Humanst521 BT" w:hAnsi="Humanst521 BT"/>
          <w:sz w:val="22"/>
          <w:szCs w:val="22"/>
        </w:rPr>
      </w:pPr>
    </w:p>
    <w:p w14:paraId="01B9D536" w14:textId="51352B7E" w:rsidR="007C0226" w:rsidRDefault="007C0226" w:rsidP="00093B44">
      <w:pPr>
        <w:pStyle w:val="Textoindependiente"/>
        <w:spacing w:before="184"/>
        <w:rPr>
          <w:rFonts w:ascii="Humanst521 BT" w:hAnsi="Humanst521 BT"/>
          <w:sz w:val="22"/>
          <w:szCs w:val="22"/>
        </w:rPr>
      </w:pPr>
    </w:p>
    <w:p w14:paraId="7FD2676D" w14:textId="77777777" w:rsidR="007C0226" w:rsidRDefault="007C0226" w:rsidP="00093B44">
      <w:pPr>
        <w:pStyle w:val="Textoindependiente"/>
        <w:spacing w:before="184"/>
        <w:rPr>
          <w:rFonts w:ascii="Humanst521 BT" w:hAnsi="Humanst521 BT"/>
          <w:sz w:val="22"/>
          <w:szCs w:val="22"/>
        </w:rPr>
      </w:pPr>
    </w:p>
    <w:p w14:paraId="74248E57" w14:textId="77777777" w:rsidR="00BD57D1" w:rsidRDefault="00BD57D1" w:rsidP="00093B44">
      <w:pPr>
        <w:pStyle w:val="Textoindependiente"/>
        <w:spacing w:before="184"/>
        <w:rPr>
          <w:rFonts w:ascii="Humanst521 BT" w:hAnsi="Humanst521 BT"/>
          <w:sz w:val="22"/>
          <w:szCs w:val="22"/>
        </w:rPr>
      </w:pPr>
    </w:p>
    <w:p w14:paraId="01C0E55C" w14:textId="77777777" w:rsidR="00C10A54" w:rsidRDefault="00C10A54" w:rsidP="00093B44">
      <w:pPr>
        <w:pStyle w:val="Textoindependiente"/>
        <w:spacing w:before="184"/>
        <w:rPr>
          <w:rFonts w:ascii="Humanst521 BT" w:hAnsi="Humanst521 BT"/>
          <w:sz w:val="22"/>
          <w:szCs w:val="22"/>
        </w:rPr>
      </w:pPr>
    </w:p>
    <w:p w14:paraId="3F88BB0E" w14:textId="6A1357B0" w:rsidR="003C0E23" w:rsidRDefault="003C0E23" w:rsidP="00093B44">
      <w:pPr>
        <w:pStyle w:val="Textoindependiente"/>
        <w:spacing w:before="184"/>
        <w:rPr>
          <w:rFonts w:ascii="Humanst521 BT" w:hAnsi="Humanst521 BT"/>
          <w:sz w:val="22"/>
          <w:szCs w:val="22"/>
        </w:rPr>
      </w:pPr>
    </w:p>
    <w:p w14:paraId="0317F393" w14:textId="48E812D0" w:rsidR="007C0226" w:rsidRDefault="007C0226" w:rsidP="00093B44">
      <w:pPr>
        <w:pStyle w:val="Textoindependiente"/>
        <w:spacing w:before="184"/>
        <w:rPr>
          <w:rFonts w:ascii="Humanst521 BT" w:hAnsi="Humanst521 BT"/>
          <w:sz w:val="22"/>
          <w:szCs w:val="22"/>
        </w:rPr>
      </w:pPr>
    </w:p>
    <w:p w14:paraId="0A268930" w14:textId="0369B5D5" w:rsidR="007C0226" w:rsidRDefault="007C0226" w:rsidP="00093B44">
      <w:pPr>
        <w:pStyle w:val="Textoindependiente"/>
        <w:spacing w:before="184"/>
        <w:rPr>
          <w:rFonts w:ascii="Humanst521 BT" w:hAnsi="Humanst521 BT"/>
          <w:sz w:val="22"/>
          <w:szCs w:val="22"/>
        </w:rPr>
      </w:pPr>
    </w:p>
    <w:p w14:paraId="0971531F" w14:textId="5B8E7C37" w:rsidR="007C0226" w:rsidRDefault="007C0226" w:rsidP="00093B44">
      <w:pPr>
        <w:pStyle w:val="Textoindependiente"/>
        <w:spacing w:before="184"/>
        <w:rPr>
          <w:rFonts w:ascii="Humanst521 BT" w:hAnsi="Humanst521 BT"/>
          <w:sz w:val="22"/>
          <w:szCs w:val="22"/>
        </w:rPr>
      </w:pPr>
    </w:p>
    <w:p w14:paraId="04402D6A" w14:textId="77777777" w:rsidR="007C0226" w:rsidRDefault="007C0226" w:rsidP="00093B44">
      <w:pPr>
        <w:pStyle w:val="Textoindependiente"/>
        <w:spacing w:before="184"/>
        <w:rPr>
          <w:rFonts w:ascii="Humanst521 BT" w:hAnsi="Humanst521 BT"/>
          <w:sz w:val="22"/>
          <w:szCs w:val="22"/>
        </w:rPr>
      </w:pPr>
    </w:p>
    <w:p w14:paraId="7EF749A8" w14:textId="77777777" w:rsidR="003C0E23" w:rsidRDefault="003C0E23" w:rsidP="00093B44">
      <w:pPr>
        <w:pStyle w:val="Textoindependiente"/>
        <w:spacing w:before="184"/>
        <w:rPr>
          <w:rFonts w:ascii="Humanst521 BT" w:hAnsi="Humanst521 BT"/>
          <w:sz w:val="22"/>
          <w:szCs w:val="22"/>
        </w:rPr>
      </w:pPr>
    </w:p>
    <w:p w14:paraId="5AB53949" w14:textId="77777777" w:rsidR="003C0E23" w:rsidRDefault="003C0E23" w:rsidP="00093B44">
      <w:pPr>
        <w:pStyle w:val="Textoindependiente"/>
        <w:spacing w:before="184"/>
        <w:rPr>
          <w:rFonts w:ascii="Humanst521 BT" w:hAnsi="Humanst521 BT"/>
          <w:sz w:val="22"/>
          <w:szCs w:val="22"/>
        </w:rPr>
      </w:pPr>
    </w:p>
    <w:p w14:paraId="4784A979" w14:textId="6AD0E177" w:rsidR="00EB492E" w:rsidRPr="00D05088" w:rsidRDefault="008D113A" w:rsidP="00B93D80">
      <w:pPr>
        <w:pStyle w:val="Textoindependiente"/>
        <w:spacing w:before="184"/>
        <w:ind w:left="1251"/>
        <w:outlineLvl w:val="1"/>
        <w:rPr>
          <w:rFonts w:ascii="Humanst521 BT" w:eastAsiaTheme="majorEastAsia" w:hAnsi="Humanst521 BT" w:cstheme="majorBidi"/>
          <w:b/>
          <w:bCs/>
          <w:color w:val="2F5496" w:themeColor="accent1" w:themeShade="BF"/>
          <w:sz w:val="32"/>
          <w:szCs w:val="32"/>
          <w:lang w:eastAsia="es-CO"/>
        </w:rPr>
      </w:pPr>
      <w:bookmarkStart w:id="243" w:name="_Toc231286834"/>
      <w:r w:rsidRPr="00D05088">
        <w:rPr>
          <w:rFonts w:ascii="Humanst521 BT" w:eastAsiaTheme="majorEastAsia" w:hAnsi="Humanst521 BT" w:cstheme="majorBidi"/>
          <w:b/>
          <w:bCs/>
          <w:color w:val="2F5496" w:themeColor="accent1" w:themeShade="BF"/>
          <w:sz w:val="32"/>
          <w:szCs w:val="32"/>
          <w:lang w:eastAsia="es-CO"/>
        </w:rPr>
        <w:t>Anexo.</w:t>
      </w:r>
      <w:r w:rsidR="00B93D80" w:rsidRPr="00D05088">
        <w:rPr>
          <w:rFonts w:ascii="Humanst521 BT" w:eastAsiaTheme="majorEastAsia" w:hAnsi="Humanst521 BT" w:cstheme="majorBidi"/>
          <w:b/>
          <w:bCs/>
          <w:color w:val="2F5496" w:themeColor="accent1" w:themeShade="BF"/>
          <w:sz w:val="32"/>
          <w:szCs w:val="32"/>
          <w:lang w:eastAsia="es-CO"/>
        </w:rPr>
        <w:t xml:space="preserve"> </w:t>
      </w:r>
      <w:r w:rsidR="000C0BC9" w:rsidRPr="00D05088">
        <w:rPr>
          <w:rFonts w:ascii="Humanst521 BT" w:eastAsiaTheme="majorEastAsia" w:hAnsi="Humanst521 BT" w:cstheme="majorBidi"/>
          <w:b/>
          <w:bCs/>
          <w:color w:val="2F5496" w:themeColor="accent1" w:themeShade="BF"/>
          <w:sz w:val="32"/>
          <w:szCs w:val="32"/>
          <w:lang w:eastAsia="es-CO"/>
        </w:rPr>
        <w:t xml:space="preserve">RESUMEN </w:t>
      </w:r>
      <w:r w:rsidR="00EB492E" w:rsidRPr="00D05088">
        <w:rPr>
          <w:rFonts w:ascii="Humanst521 BT" w:eastAsiaTheme="majorEastAsia" w:hAnsi="Humanst521 BT" w:cstheme="majorBidi"/>
          <w:b/>
          <w:bCs/>
          <w:color w:val="2F5496" w:themeColor="accent1" w:themeShade="BF"/>
          <w:sz w:val="32"/>
          <w:szCs w:val="32"/>
          <w:lang w:eastAsia="es-CO"/>
        </w:rPr>
        <w:t xml:space="preserve">INFORMACION </w:t>
      </w:r>
      <w:r w:rsidR="00A31569" w:rsidRPr="00D05088">
        <w:rPr>
          <w:rFonts w:ascii="Humanst521 BT" w:eastAsiaTheme="majorEastAsia" w:hAnsi="Humanst521 BT" w:cstheme="majorBidi"/>
          <w:b/>
          <w:bCs/>
          <w:color w:val="2F5496" w:themeColor="accent1" w:themeShade="BF"/>
          <w:sz w:val="32"/>
          <w:szCs w:val="32"/>
          <w:lang w:eastAsia="es-CO"/>
        </w:rPr>
        <w:t xml:space="preserve">GENERAL </w:t>
      </w:r>
      <w:r w:rsidR="00EB492E" w:rsidRPr="00D05088">
        <w:rPr>
          <w:rFonts w:ascii="Humanst521 BT" w:eastAsiaTheme="majorEastAsia" w:hAnsi="Humanst521 BT" w:cstheme="majorBidi"/>
          <w:b/>
          <w:bCs/>
          <w:color w:val="2F5496" w:themeColor="accent1" w:themeShade="BF"/>
          <w:sz w:val="32"/>
          <w:szCs w:val="32"/>
          <w:lang w:eastAsia="es-CO"/>
        </w:rPr>
        <w:t>PARA DISEÑO DE INFOGRAFIA</w:t>
      </w:r>
      <w:bookmarkEnd w:id="243"/>
    </w:p>
    <w:p w14:paraId="0CC7CBE9" w14:textId="3E1B0F8B" w:rsidR="00EB492E" w:rsidRPr="00172F6F" w:rsidRDefault="00EB492E" w:rsidP="00B6007F">
      <w:pPr>
        <w:pStyle w:val="Ttulo3"/>
        <w:numPr>
          <w:ilvl w:val="0"/>
          <w:numId w:val="10"/>
        </w:numPr>
        <w:rPr>
          <w:rFonts w:ascii="Humanst521 BT" w:eastAsia="Times New Roman" w:hAnsi="Humanst521 BT" w:cs="Times New Roman"/>
          <w:color w:val="2F5496" w:themeColor="accent1" w:themeShade="BF"/>
          <w:sz w:val="28"/>
          <w:szCs w:val="28"/>
          <w:lang w:val="es-CO"/>
        </w:rPr>
      </w:pPr>
      <w:bookmarkStart w:id="244" w:name="_Toc231286835"/>
      <w:r w:rsidRPr="00172F6F">
        <w:rPr>
          <w:rStyle w:val="Textoennegrita"/>
          <w:rFonts w:ascii="Humanst521 BT" w:hAnsi="Humanst521 BT"/>
          <w:b w:val="0"/>
          <w:bCs w:val="0"/>
          <w:color w:val="2F5496" w:themeColor="accent1" w:themeShade="BF"/>
          <w:sz w:val="28"/>
          <w:szCs w:val="28"/>
        </w:rPr>
        <w:t>Información Demográfica</w:t>
      </w:r>
      <w:bookmarkEnd w:id="244"/>
    </w:p>
    <w:p w14:paraId="67E6697B" w14:textId="77777777" w:rsidR="00EB492E" w:rsidRPr="007F0FA7" w:rsidRDefault="00EB492E" w:rsidP="00B6007F">
      <w:pPr>
        <w:widowControl/>
        <w:numPr>
          <w:ilvl w:val="0"/>
          <w:numId w:val="6"/>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Concentración geográfica</w:t>
      </w:r>
      <w:r w:rsidRPr="007F0FA7">
        <w:rPr>
          <w:rFonts w:ascii="Humanst521 BT" w:hAnsi="Humanst521 BT"/>
          <w:sz w:val="20"/>
          <w:szCs w:val="20"/>
        </w:rPr>
        <w:t>: El 72.3% de afiliados se encuentran en Bucaramanga, seguido de Floridablanca (19.03%).</w:t>
      </w:r>
    </w:p>
    <w:p w14:paraId="0D698A99" w14:textId="77777777" w:rsidR="00EB492E" w:rsidRPr="007F0FA7" w:rsidRDefault="00EB492E" w:rsidP="00B6007F">
      <w:pPr>
        <w:widowControl/>
        <w:numPr>
          <w:ilvl w:val="0"/>
          <w:numId w:val="6"/>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Pirámide poblacional</w:t>
      </w:r>
      <w:r w:rsidRPr="007F0FA7">
        <w:rPr>
          <w:rFonts w:ascii="Humanst521 BT" w:hAnsi="Humanst521 BT"/>
          <w:sz w:val="20"/>
          <w:szCs w:val="20"/>
        </w:rPr>
        <w:t>: 50% de los afiliados son mayores de 60 años; solo el 2.2% son menores de 5 años.</w:t>
      </w:r>
    </w:p>
    <w:p w14:paraId="2B29F6AA" w14:textId="77777777" w:rsidR="00EB492E" w:rsidRPr="007F0FA7" w:rsidRDefault="00EB492E" w:rsidP="00B6007F">
      <w:pPr>
        <w:widowControl/>
        <w:numPr>
          <w:ilvl w:val="0"/>
          <w:numId w:val="6"/>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Población vulnerable</w:t>
      </w:r>
      <w:r w:rsidRPr="007F0FA7">
        <w:rPr>
          <w:rFonts w:ascii="Humanst521 BT" w:hAnsi="Humanst521 BT"/>
          <w:sz w:val="20"/>
          <w:szCs w:val="20"/>
        </w:rPr>
        <w:t>: 21 personas víctimas del conflicto y 46 con discapacidad, con alta prevalencia de discapacidades mentales.</w:t>
      </w:r>
    </w:p>
    <w:p w14:paraId="03E89DE5" w14:textId="77777777" w:rsidR="00EB492E" w:rsidRPr="00172F6F" w:rsidRDefault="00EB492E" w:rsidP="00EB492E">
      <w:pPr>
        <w:pStyle w:val="Ttulo3"/>
        <w:rPr>
          <w:rFonts w:ascii="Humanst521 BT" w:hAnsi="Humanst521 BT"/>
          <w:color w:val="2F5496" w:themeColor="accent1" w:themeShade="BF"/>
          <w:sz w:val="28"/>
          <w:szCs w:val="28"/>
        </w:rPr>
      </w:pPr>
      <w:bookmarkStart w:id="245" w:name="_Toc231286836"/>
      <w:r w:rsidRPr="00172F6F">
        <w:rPr>
          <w:rFonts w:ascii="Humanst521 BT" w:hAnsi="Humanst521 BT"/>
          <w:color w:val="2F5496" w:themeColor="accent1" w:themeShade="BF"/>
          <w:sz w:val="28"/>
          <w:szCs w:val="28"/>
        </w:rPr>
        <w:t xml:space="preserve">2. </w:t>
      </w:r>
      <w:r w:rsidRPr="00172F6F">
        <w:rPr>
          <w:rStyle w:val="Textoennegrita"/>
          <w:rFonts w:ascii="Humanst521 BT" w:hAnsi="Humanst521 BT"/>
          <w:b w:val="0"/>
          <w:bCs w:val="0"/>
          <w:color w:val="2F5496" w:themeColor="accent1" w:themeShade="BF"/>
          <w:sz w:val="28"/>
          <w:szCs w:val="28"/>
        </w:rPr>
        <w:t>Morbimortalidad</w:t>
      </w:r>
      <w:bookmarkEnd w:id="245"/>
    </w:p>
    <w:p w14:paraId="0DFE0E45" w14:textId="77777777" w:rsidR="00EB492E" w:rsidRPr="007F0FA7" w:rsidRDefault="00EB492E" w:rsidP="00B6007F">
      <w:pPr>
        <w:widowControl/>
        <w:numPr>
          <w:ilvl w:val="0"/>
          <w:numId w:val="7"/>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Morbilidad predominante</w:t>
      </w:r>
      <w:r w:rsidRPr="007F0FA7">
        <w:rPr>
          <w:rFonts w:ascii="Humanst521 BT" w:hAnsi="Humanst521 BT"/>
          <w:sz w:val="20"/>
          <w:szCs w:val="20"/>
        </w:rPr>
        <w:t>: Las enfermedades no transmisibles lideran la atención, especialmente cardiovasculares y musculoesqueléticas.</w:t>
      </w:r>
    </w:p>
    <w:p w14:paraId="667629C2" w14:textId="77777777" w:rsidR="00EB492E" w:rsidRPr="007F0FA7" w:rsidRDefault="00EB492E" w:rsidP="00B6007F">
      <w:pPr>
        <w:widowControl/>
        <w:numPr>
          <w:ilvl w:val="0"/>
          <w:numId w:val="7"/>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Eventos de salud pública</w:t>
      </w:r>
      <w:r w:rsidRPr="007F0FA7">
        <w:rPr>
          <w:rFonts w:ascii="Humanst521 BT" w:hAnsi="Humanst521 BT"/>
          <w:sz w:val="20"/>
          <w:szCs w:val="20"/>
        </w:rPr>
        <w:t>: El dengue representa el 83% de eventos reportados, con una positividad del 32.8%.</w:t>
      </w:r>
    </w:p>
    <w:p w14:paraId="5E2CD642" w14:textId="1EE821D0" w:rsidR="00EB492E" w:rsidRPr="007F0FA7" w:rsidRDefault="00EB492E" w:rsidP="00B6007F">
      <w:pPr>
        <w:widowControl/>
        <w:numPr>
          <w:ilvl w:val="0"/>
          <w:numId w:val="7"/>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Mortalidad</w:t>
      </w:r>
      <w:r w:rsidRPr="007F0FA7">
        <w:rPr>
          <w:rFonts w:ascii="Humanst521 BT" w:hAnsi="Humanst521 BT"/>
          <w:sz w:val="20"/>
          <w:szCs w:val="20"/>
        </w:rPr>
        <w:t>: 95% de muertes son por enfermedades no transmisibles, principalmente neoplasias malignas y enfermedades cardiovasculares.</w:t>
      </w:r>
    </w:p>
    <w:p w14:paraId="7924998F" w14:textId="77777777" w:rsidR="00EB492E" w:rsidRPr="007F0FA7" w:rsidRDefault="00EB492E" w:rsidP="00B6007F">
      <w:pPr>
        <w:widowControl/>
        <w:numPr>
          <w:ilvl w:val="0"/>
          <w:numId w:val="7"/>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Años de Vida Potencialmente Perdidos (AVPP)</w:t>
      </w:r>
      <w:r w:rsidRPr="007F0FA7">
        <w:rPr>
          <w:rFonts w:ascii="Humanst521 BT" w:hAnsi="Humanst521 BT"/>
          <w:sz w:val="20"/>
          <w:szCs w:val="20"/>
        </w:rPr>
        <w:t>: Las neoplasias y enfermedades circulatorias son las principales causas de AVPP, especialmente en mujeres.</w:t>
      </w:r>
    </w:p>
    <w:p w14:paraId="0C23FF42" w14:textId="77777777" w:rsidR="00EB492E" w:rsidRPr="00172F6F" w:rsidRDefault="00EB492E" w:rsidP="00EB492E">
      <w:pPr>
        <w:pStyle w:val="Ttulo3"/>
        <w:rPr>
          <w:rFonts w:ascii="Humanst521 BT" w:hAnsi="Humanst521 BT"/>
          <w:color w:val="2F5496" w:themeColor="accent1" w:themeShade="BF"/>
          <w:sz w:val="28"/>
          <w:szCs w:val="28"/>
        </w:rPr>
      </w:pPr>
      <w:bookmarkStart w:id="246" w:name="_Toc231286837"/>
      <w:r w:rsidRPr="00172F6F">
        <w:rPr>
          <w:rFonts w:ascii="Humanst521 BT" w:hAnsi="Humanst521 BT"/>
          <w:color w:val="2F5496" w:themeColor="accent1" w:themeShade="BF"/>
          <w:sz w:val="28"/>
          <w:szCs w:val="28"/>
        </w:rPr>
        <w:t xml:space="preserve">3. </w:t>
      </w:r>
      <w:r w:rsidRPr="00172F6F">
        <w:rPr>
          <w:rStyle w:val="Textoennegrita"/>
          <w:rFonts w:ascii="Humanst521 BT" w:hAnsi="Humanst521 BT"/>
          <w:b w:val="0"/>
          <w:bCs w:val="0"/>
          <w:color w:val="2F5496" w:themeColor="accent1" w:themeShade="BF"/>
          <w:sz w:val="28"/>
          <w:szCs w:val="28"/>
        </w:rPr>
        <w:t>Prioridades de Intervención</w:t>
      </w:r>
      <w:bookmarkEnd w:id="246"/>
    </w:p>
    <w:p w14:paraId="4F017A9F" w14:textId="57DF289A" w:rsidR="004F4146" w:rsidRPr="009B22EA" w:rsidRDefault="004F4146" w:rsidP="00B6007F">
      <w:pPr>
        <w:pStyle w:val="Prrafodelista"/>
        <w:numPr>
          <w:ilvl w:val="0"/>
          <w:numId w:val="29"/>
        </w:numPr>
        <w:rPr>
          <w:rFonts w:ascii="Humanst521 BT" w:hAnsi="Humanst521 BT"/>
          <w:sz w:val="20"/>
          <w:szCs w:val="20"/>
          <w:lang w:val="es-CO" w:eastAsia="es-CO"/>
        </w:rPr>
      </w:pPr>
      <w:r w:rsidRPr="009B22EA">
        <w:rPr>
          <w:rFonts w:ascii="Humanst521 BT" w:hAnsi="Humanst521 BT"/>
          <w:b/>
          <w:bCs/>
          <w:sz w:val="20"/>
          <w:szCs w:val="20"/>
          <w:lang w:val="es-CO" w:eastAsia="es-CO"/>
        </w:rPr>
        <w:t>Enfermedades crónicas no transmisibles (ECNT)</w:t>
      </w:r>
      <w:r w:rsidRPr="009B22EA">
        <w:rPr>
          <w:rFonts w:ascii="Humanst521 BT" w:hAnsi="Humanst521 BT"/>
          <w:sz w:val="20"/>
          <w:szCs w:val="20"/>
          <w:lang w:val="es-CO" w:eastAsia="es-CO"/>
        </w:rPr>
        <w:t>, especialmente neoplasias y enfermedades cardiovasculares</w:t>
      </w:r>
      <w:r w:rsidR="007C0226">
        <w:rPr>
          <w:rFonts w:ascii="Humanst521 BT" w:hAnsi="Humanst521 BT"/>
          <w:sz w:val="20"/>
          <w:szCs w:val="20"/>
          <w:lang w:val="es-CO" w:eastAsia="es-CO"/>
        </w:rPr>
        <w:t>, hipertensión arterial)</w:t>
      </w:r>
      <w:r w:rsidRPr="009B22EA">
        <w:rPr>
          <w:rFonts w:ascii="Humanst521 BT" w:hAnsi="Humanst521 BT"/>
          <w:sz w:val="20"/>
          <w:szCs w:val="20"/>
          <w:lang w:val="es-CO" w:eastAsia="es-CO"/>
        </w:rPr>
        <w:t>.</w:t>
      </w:r>
    </w:p>
    <w:p w14:paraId="06CA0FB7" w14:textId="27258C90" w:rsidR="004F4146" w:rsidRPr="009B22EA" w:rsidRDefault="004F4146" w:rsidP="00B6007F">
      <w:pPr>
        <w:pStyle w:val="Prrafodelista"/>
        <w:numPr>
          <w:ilvl w:val="0"/>
          <w:numId w:val="29"/>
        </w:numPr>
        <w:rPr>
          <w:rFonts w:ascii="Humanst521 BT" w:hAnsi="Humanst521 BT"/>
          <w:sz w:val="20"/>
          <w:szCs w:val="20"/>
          <w:lang w:val="es-CO" w:eastAsia="es-CO"/>
        </w:rPr>
      </w:pPr>
      <w:r w:rsidRPr="009B22EA">
        <w:rPr>
          <w:rFonts w:ascii="Humanst521 BT" w:hAnsi="Humanst521 BT"/>
          <w:b/>
          <w:bCs/>
          <w:sz w:val="20"/>
          <w:szCs w:val="20"/>
          <w:lang w:val="es-CO" w:eastAsia="es-CO"/>
        </w:rPr>
        <w:t>Enfermedades metabólicas</w:t>
      </w:r>
      <w:r w:rsidRPr="009B22EA">
        <w:rPr>
          <w:rFonts w:ascii="Humanst521 BT" w:hAnsi="Humanst521 BT"/>
          <w:sz w:val="20"/>
          <w:szCs w:val="20"/>
          <w:lang w:val="es-CO" w:eastAsia="es-CO"/>
        </w:rPr>
        <w:t xml:space="preserve"> (diabetes mellitus).</w:t>
      </w:r>
    </w:p>
    <w:p w14:paraId="10C98CD1" w14:textId="77777777" w:rsidR="004F4146" w:rsidRPr="009B22EA" w:rsidRDefault="004F4146" w:rsidP="00B6007F">
      <w:pPr>
        <w:pStyle w:val="Prrafodelista"/>
        <w:numPr>
          <w:ilvl w:val="0"/>
          <w:numId w:val="29"/>
        </w:numPr>
        <w:rPr>
          <w:rFonts w:ascii="Humanst521 BT" w:hAnsi="Humanst521 BT"/>
          <w:sz w:val="20"/>
          <w:szCs w:val="20"/>
          <w:lang w:val="es-CO" w:eastAsia="es-CO"/>
        </w:rPr>
      </w:pPr>
      <w:r w:rsidRPr="009B22EA">
        <w:rPr>
          <w:rFonts w:ascii="Humanst521 BT" w:hAnsi="Humanst521 BT"/>
          <w:b/>
          <w:bCs/>
          <w:sz w:val="20"/>
          <w:szCs w:val="20"/>
          <w:lang w:val="es-CO" w:eastAsia="es-CO"/>
        </w:rPr>
        <w:t>Condiciones neuropsiquiátricas y salud mental</w:t>
      </w:r>
      <w:r w:rsidRPr="009B22EA">
        <w:rPr>
          <w:rFonts w:ascii="Humanst521 BT" w:hAnsi="Humanst521 BT"/>
          <w:sz w:val="20"/>
          <w:szCs w:val="20"/>
          <w:lang w:val="es-CO" w:eastAsia="es-CO"/>
        </w:rPr>
        <w:t>.</w:t>
      </w:r>
    </w:p>
    <w:p w14:paraId="1F2BDD48" w14:textId="77777777" w:rsidR="004F4146" w:rsidRPr="009B22EA" w:rsidRDefault="004F4146" w:rsidP="00B6007F">
      <w:pPr>
        <w:pStyle w:val="Prrafodelista"/>
        <w:numPr>
          <w:ilvl w:val="0"/>
          <w:numId w:val="29"/>
        </w:numPr>
        <w:rPr>
          <w:rFonts w:ascii="Humanst521 BT" w:hAnsi="Humanst521 BT"/>
          <w:sz w:val="20"/>
          <w:szCs w:val="20"/>
          <w:lang w:val="es-CO" w:eastAsia="es-CO"/>
        </w:rPr>
      </w:pPr>
      <w:r w:rsidRPr="009B22EA">
        <w:rPr>
          <w:rFonts w:ascii="Humanst521 BT" w:hAnsi="Humanst521 BT"/>
          <w:b/>
          <w:bCs/>
          <w:sz w:val="20"/>
          <w:szCs w:val="20"/>
          <w:lang w:val="es-CO" w:eastAsia="es-CO"/>
        </w:rPr>
        <w:t>Envejecimiento poblacional y multimorbilidad</w:t>
      </w:r>
      <w:r w:rsidRPr="009B22EA">
        <w:rPr>
          <w:rFonts w:ascii="Humanst521 BT" w:hAnsi="Humanst521 BT"/>
          <w:sz w:val="20"/>
          <w:szCs w:val="20"/>
          <w:lang w:val="es-CO" w:eastAsia="es-CO"/>
        </w:rPr>
        <w:t>.</w:t>
      </w:r>
    </w:p>
    <w:p w14:paraId="70D4E533" w14:textId="77777777" w:rsidR="004F4146" w:rsidRPr="009B22EA" w:rsidRDefault="004F4146" w:rsidP="00B6007F">
      <w:pPr>
        <w:pStyle w:val="Prrafodelista"/>
        <w:numPr>
          <w:ilvl w:val="0"/>
          <w:numId w:val="29"/>
        </w:numPr>
        <w:rPr>
          <w:rFonts w:ascii="Humanst521 BT" w:hAnsi="Humanst521 BT"/>
          <w:sz w:val="20"/>
          <w:szCs w:val="20"/>
          <w:lang w:val="es-CO" w:eastAsia="es-CO"/>
        </w:rPr>
      </w:pPr>
      <w:r w:rsidRPr="009B22EA">
        <w:rPr>
          <w:rFonts w:ascii="Humanst521 BT" w:hAnsi="Humanst521 BT"/>
          <w:b/>
          <w:bCs/>
          <w:sz w:val="20"/>
          <w:szCs w:val="20"/>
          <w:lang w:val="es-CO" w:eastAsia="es-CO"/>
        </w:rPr>
        <w:t>Eventos transmisibles</w:t>
      </w:r>
      <w:r w:rsidRPr="009B22EA">
        <w:rPr>
          <w:rFonts w:ascii="Humanst521 BT" w:hAnsi="Humanst521 BT"/>
          <w:sz w:val="20"/>
          <w:szCs w:val="20"/>
          <w:lang w:val="es-CO" w:eastAsia="es-CO"/>
        </w:rPr>
        <w:t>, particularmente dengue.</w:t>
      </w:r>
    </w:p>
    <w:p w14:paraId="1D5941EE" w14:textId="77777777" w:rsidR="00EB492E" w:rsidRPr="007F0FA7" w:rsidRDefault="00EB492E" w:rsidP="00EB492E">
      <w:pPr>
        <w:pStyle w:val="Ttulo3"/>
        <w:rPr>
          <w:rFonts w:ascii="Humanst521 BT" w:hAnsi="Humanst521 BT"/>
          <w:sz w:val="28"/>
          <w:szCs w:val="28"/>
        </w:rPr>
      </w:pPr>
      <w:bookmarkStart w:id="247" w:name="_Toc231286838"/>
      <w:r w:rsidRPr="00172F6F">
        <w:rPr>
          <w:rFonts w:ascii="Humanst521 BT" w:hAnsi="Humanst521 BT"/>
          <w:color w:val="2F5496" w:themeColor="accent1" w:themeShade="BF"/>
          <w:sz w:val="28"/>
          <w:szCs w:val="28"/>
        </w:rPr>
        <w:t xml:space="preserve">4. </w:t>
      </w:r>
      <w:r w:rsidRPr="00172F6F">
        <w:rPr>
          <w:rStyle w:val="Textoennegrita"/>
          <w:rFonts w:ascii="Humanst521 BT" w:hAnsi="Humanst521 BT"/>
          <w:b w:val="0"/>
          <w:bCs w:val="0"/>
          <w:color w:val="2F5496" w:themeColor="accent1" w:themeShade="BF"/>
          <w:sz w:val="28"/>
          <w:szCs w:val="28"/>
        </w:rPr>
        <w:t>Acciones Estratégicas</w:t>
      </w:r>
      <w:bookmarkEnd w:id="247"/>
    </w:p>
    <w:p w14:paraId="044318C3" w14:textId="77777777" w:rsidR="00EB492E" w:rsidRPr="007F0FA7" w:rsidRDefault="00EB492E" w:rsidP="00B6007F">
      <w:pPr>
        <w:widowControl/>
        <w:numPr>
          <w:ilvl w:val="0"/>
          <w:numId w:val="8"/>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Gestión del riesgo</w:t>
      </w:r>
      <w:r w:rsidRPr="007F0FA7">
        <w:rPr>
          <w:rFonts w:ascii="Humanst521 BT" w:hAnsi="Humanst521 BT"/>
          <w:sz w:val="20"/>
          <w:szCs w:val="20"/>
        </w:rPr>
        <w:t>: Programas de diagnóstico temprano y tratamiento oportuno para neoplasias y enfermedades crónicas.</w:t>
      </w:r>
    </w:p>
    <w:p w14:paraId="1D19A764" w14:textId="77777777" w:rsidR="00EB492E" w:rsidRPr="007F0FA7" w:rsidRDefault="00EB492E" w:rsidP="00B6007F">
      <w:pPr>
        <w:widowControl/>
        <w:numPr>
          <w:ilvl w:val="0"/>
          <w:numId w:val="8"/>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Fortalecimiento de la salud pública</w:t>
      </w:r>
      <w:r w:rsidRPr="007F0FA7">
        <w:rPr>
          <w:rFonts w:ascii="Humanst521 BT" w:hAnsi="Humanst521 BT"/>
          <w:sz w:val="20"/>
          <w:szCs w:val="20"/>
        </w:rPr>
        <w:t>: Capacitación en prevención y control de enfermedades infecciosas, como el dengue.</w:t>
      </w:r>
    </w:p>
    <w:p w14:paraId="7C3763CB" w14:textId="77777777" w:rsidR="00EB492E" w:rsidRPr="007F0FA7" w:rsidRDefault="00EB492E" w:rsidP="00B6007F">
      <w:pPr>
        <w:widowControl/>
        <w:numPr>
          <w:ilvl w:val="0"/>
          <w:numId w:val="8"/>
        </w:numPr>
        <w:autoSpaceDE/>
        <w:autoSpaceDN/>
        <w:spacing w:before="100" w:beforeAutospacing="1" w:after="100" w:afterAutospacing="1"/>
        <w:rPr>
          <w:rFonts w:ascii="Humanst521 BT" w:hAnsi="Humanst521 BT"/>
          <w:sz w:val="20"/>
          <w:szCs w:val="20"/>
        </w:rPr>
      </w:pPr>
      <w:r w:rsidRPr="007F0FA7">
        <w:rPr>
          <w:rStyle w:val="Textoennegrita"/>
          <w:rFonts w:ascii="Humanst521 BT" w:hAnsi="Humanst521 BT"/>
          <w:sz w:val="20"/>
          <w:szCs w:val="20"/>
        </w:rPr>
        <w:t>Cualificación del personal de salud</w:t>
      </w:r>
      <w:r w:rsidRPr="007F0FA7">
        <w:rPr>
          <w:rFonts w:ascii="Humanst521 BT" w:hAnsi="Humanst521 BT"/>
          <w:sz w:val="20"/>
          <w:szCs w:val="20"/>
        </w:rPr>
        <w:t>: Formación continua para atender patologías prioritarias, con énfasis en salud mental y enfermedades crónicas.</w:t>
      </w:r>
    </w:p>
    <w:p w14:paraId="4A8FD0B8" w14:textId="32E2122A" w:rsidR="00B93D80" w:rsidRPr="00024EB3" w:rsidRDefault="00EB492E" w:rsidP="00B6007F">
      <w:pPr>
        <w:widowControl/>
        <w:numPr>
          <w:ilvl w:val="0"/>
          <w:numId w:val="8"/>
        </w:numPr>
        <w:autoSpaceDE/>
        <w:autoSpaceDN/>
        <w:spacing w:before="100" w:beforeAutospacing="1" w:after="100" w:afterAutospacing="1"/>
        <w:rPr>
          <w:rFonts w:ascii="Humanst521 BT" w:hAnsi="Humanst521 BT"/>
        </w:rPr>
      </w:pPr>
      <w:r w:rsidRPr="007F0FA7">
        <w:rPr>
          <w:rStyle w:val="Textoennegrita"/>
          <w:rFonts w:ascii="Humanst521 BT" w:hAnsi="Humanst521 BT"/>
          <w:sz w:val="20"/>
          <w:szCs w:val="20"/>
        </w:rPr>
        <w:t>Articulación con la entidad territorial</w:t>
      </w:r>
      <w:r w:rsidRPr="007F0FA7">
        <w:rPr>
          <w:rFonts w:ascii="Humanst521 BT" w:hAnsi="Humanst521 BT"/>
          <w:sz w:val="20"/>
          <w:szCs w:val="20"/>
        </w:rPr>
        <w:t>: Trabajo conjunto para mejorar el control y vigilancia de enfermedades prioritarias, compartiendo experiencias positivas en salud pública.</w:t>
      </w:r>
    </w:p>
    <w:p w14:paraId="76677F71" w14:textId="77777777" w:rsidR="00024EB3" w:rsidRDefault="00024EB3" w:rsidP="00024EB3">
      <w:pPr>
        <w:widowControl/>
        <w:autoSpaceDE/>
        <w:autoSpaceDN/>
        <w:spacing w:before="100" w:beforeAutospacing="1" w:after="100" w:afterAutospacing="1"/>
        <w:rPr>
          <w:rFonts w:ascii="Humanst521 BT" w:hAnsi="Humanst521 BT"/>
        </w:rPr>
      </w:pPr>
    </w:p>
    <w:p w14:paraId="0A5C0E2A" w14:textId="154DC732" w:rsidR="00024EB3" w:rsidRPr="007F0FA7" w:rsidRDefault="00024EB3" w:rsidP="00024EB3">
      <w:pPr>
        <w:widowControl/>
        <w:autoSpaceDE/>
        <w:autoSpaceDN/>
        <w:spacing w:before="100" w:beforeAutospacing="1" w:after="100" w:afterAutospacing="1"/>
        <w:rPr>
          <w:rFonts w:ascii="Humanst521 BT" w:hAnsi="Humanst521 BT"/>
        </w:rPr>
      </w:pPr>
      <w:r w:rsidRPr="00024EB3">
        <w:rPr>
          <w:rFonts w:ascii="Humanst521 BT" w:hAnsi="Humanst521 BT"/>
          <w:noProof/>
        </w:rPr>
        <w:lastRenderedPageBreak/>
        <w:drawing>
          <wp:inline distT="0" distB="0" distL="0" distR="0" wp14:anchorId="63DF7884" wp14:editId="0F1F585E">
            <wp:extent cx="5048955" cy="7306695"/>
            <wp:effectExtent l="0" t="0" r="0" b="889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48955" cy="7306695"/>
                    </a:xfrm>
                    <a:prstGeom prst="rect">
                      <a:avLst/>
                    </a:prstGeom>
                  </pic:spPr>
                </pic:pic>
              </a:graphicData>
            </a:graphic>
          </wp:inline>
        </w:drawing>
      </w:r>
    </w:p>
    <w:sectPr w:rsidR="00024EB3" w:rsidRPr="007F0FA7">
      <w:headerReference w:type="default" r:id="rId31"/>
      <w:footerReference w:type="default" r:id="rId32"/>
      <w:pgSz w:w="12240" w:h="15840"/>
      <w:pgMar w:top="0" w:right="1320" w:bottom="0" w:left="1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A8A99" w14:textId="77777777" w:rsidR="00AF4397" w:rsidRDefault="00AF4397" w:rsidP="00517D2A">
      <w:r>
        <w:separator/>
      </w:r>
    </w:p>
  </w:endnote>
  <w:endnote w:type="continuationSeparator" w:id="0">
    <w:p w14:paraId="21419C7C" w14:textId="77777777" w:rsidR="00AF4397" w:rsidRDefault="00AF4397" w:rsidP="00517D2A">
      <w:r>
        <w:continuationSeparator/>
      </w:r>
    </w:p>
  </w:endnote>
  <w:endnote w:type="continuationNotice" w:id="1">
    <w:p w14:paraId="0CB4F525" w14:textId="77777777" w:rsidR="00AF4397" w:rsidRDefault="00AF43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umanst521 BT">
    <w:altName w:val="Humanist"/>
    <w:panose1 w:val="020B0602020204020204"/>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wis721 LtCn B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Google Sans Tex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708A" w14:textId="1BC6B804" w:rsidR="00046B6D" w:rsidRDefault="00046B6D" w:rsidP="00520866">
    <w:pPr>
      <w:pStyle w:val="Piedepgina"/>
      <w:jc w:val="center"/>
    </w:pPr>
  </w:p>
  <w:p w14:paraId="2A2E9BA4" w14:textId="635D088E" w:rsidR="00FF12C3" w:rsidRDefault="00FF12C3" w:rsidP="0052086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FAA54" w14:textId="77777777" w:rsidR="00AF4397" w:rsidRDefault="00AF4397" w:rsidP="00517D2A">
      <w:r>
        <w:separator/>
      </w:r>
    </w:p>
  </w:footnote>
  <w:footnote w:type="continuationSeparator" w:id="0">
    <w:p w14:paraId="6A3F33F0" w14:textId="77777777" w:rsidR="00AF4397" w:rsidRDefault="00AF4397" w:rsidP="00517D2A">
      <w:r>
        <w:continuationSeparator/>
      </w:r>
    </w:p>
  </w:footnote>
  <w:footnote w:type="continuationNotice" w:id="1">
    <w:p w14:paraId="5F90EE1F" w14:textId="77777777" w:rsidR="00AF4397" w:rsidRDefault="00AF4397"/>
  </w:footnote>
  <w:footnote w:id="2">
    <w:p w14:paraId="4E713D18" w14:textId="4FF9A622" w:rsidR="00DB635C" w:rsidRPr="00205B06" w:rsidRDefault="00DB635C">
      <w:pPr>
        <w:pStyle w:val="Textonotapie"/>
        <w:rPr>
          <w:rFonts w:eastAsia="Verdana" w:cs="Verdana"/>
          <w:szCs w:val="18"/>
          <w:lang w:val="es-ES"/>
        </w:rPr>
      </w:pPr>
      <w:r>
        <w:rPr>
          <w:rStyle w:val="Refdenotaalpie"/>
        </w:rPr>
        <w:footnoteRef/>
      </w:r>
      <w:r>
        <w:t xml:space="preserve"> </w:t>
      </w:r>
      <w:r w:rsidR="00205B06" w:rsidRPr="00205B06">
        <w:rPr>
          <w:b/>
          <w:bCs/>
          <w:color w:val="303030"/>
          <w:shd w:val="clear" w:color="auto" w:fill="FFFFFF"/>
        </w:rPr>
        <w:t>COLOMBIA. MINISTERIO DE SALUD Y PROTECCIÓN SOCIAL</w:t>
      </w:r>
      <w:r w:rsidR="00205B06">
        <w:rPr>
          <w:rFonts w:ascii="Google Sans Text" w:hAnsi="Google Sans Text"/>
          <w:b/>
          <w:bCs/>
          <w:color w:val="303030"/>
          <w:shd w:val="clear" w:color="auto" w:fill="FFFFFF"/>
        </w:rPr>
        <w:t>.</w:t>
      </w:r>
      <w:r w:rsidR="00205B06">
        <w:rPr>
          <w:rStyle w:val="ng-star-inserted"/>
          <w:rFonts w:ascii="Google Sans Text" w:hAnsi="Google Sans Text"/>
          <w:color w:val="303030"/>
          <w:shd w:val="clear" w:color="auto" w:fill="FFFFFF"/>
        </w:rPr>
        <w:t xml:space="preserve"> </w:t>
      </w:r>
      <w:r w:rsidR="00205B06" w:rsidRPr="00205B06">
        <w:rPr>
          <w:rFonts w:eastAsia="Verdana" w:cs="Verdana"/>
          <w:szCs w:val="18"/>
          <w:lang w:val="es-ES"/>
        </w:rPr>
        <w:t>Lineamientos para la gestión territorial integral de la salud pública orientados a la prevención y control de la enfermedad cardiovascular, la diabetes mellitus y la enfermedad renal crónica. Bogotá D.C.: El Ministerio,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color w:val="FF0000"/>
      </w:rPr>
      <w:id w:val="1864161502"/>
      <w:docPartObj>
        <w:docPartGallery w:val="Page Numbers (Margins)"/>
        <w:docPartUnique/>
      </w:docPartObj>
    </w:sdtPr>
    <w:sdtEndPr/>
    <w:sdtContent>
      <w:p w14:paraId="44615381" w14:textId="14C72976" w:rsidR="00B3174D" w:rsidRDefault="000C422A" w:rsidP="00B3174D">
        <w:pPr>
          <w:pStyle w:val="Encabezado"/>
          <w:jc w:val="right"/>
          <w:rPr>
            <w:noProof/>
            <w:color w:val="FF0000"/>
          </w:rPr>
        </w:pPr>
        <w:r w:rsidRPr="000C422A">
          <w:rPr>
            <w:noProof/>
            <w:color w:val="FF0000"/>
          </w:rPr>
          <mc:AlternateContent>
            <mc:Choice Requires="wps">
              <w:drawing>
                <wp:anchor distT="0" distB="0" distL="114300" distR="114300" simplePos="0" relativeHeight="251659264" behindDoc="0" locked="0" layoutInCell="0" allowOverlap="1" wp14:anchorId="6A2EC866" wp14:editId="5A1F653C">
                  <wp:simplePos x="0" y="0"/>
                  <wp:positionH relativeFrom="rightMargin">
                    <wp:align>center</wp:align>
                  </wp:positionH>
                  <wp:positionV relativeFrom="page">
                    <wp:align>center</wp:align>
                  </wp:positionV>
                  <wp:extent cx="762000" cy="895350"/>
                  <wp:effectExtent l="0" t="0" r="0" b="0"/>
                  <wp:wrapNone/>
                  <wp:docPr id="237" name="Rectángulo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b/>
                                  <w:bCs/>
                                  <w:color w:val="808080" w:themeColor="background1" w:themeShade="80"/>
                                  <w:sz w:val="32"/>
                                  <w:szCs w:val="32"/>
                                </w:rPr>
                                <w:id w:val="-1807150379"/>
                                <w:docPartObj>
                                  <w:docPartGallery w:val="Page Numbers (Margins)"/>
                                  <w:docPartUnique/>
                                </w:docPartObj>
                              </w:sdtPr>
                              <w:sdtEndPr/>
                              <w:sdtContent>
                                <w:p w14:paraId="1FCAD037" w14:textId="77777777" w:rsidR="000C422A" w:rsidRPr="00E34A2D" w:rsidRDefault="000C422A">
                                  <w:pPr>
                                    <w:jc w:val="center"/>
                                    <w:rPr>
                                      <w:rFonts w:asciiTheme="majorHAnsi" w:eastAsiaTheme="majorEastAsia" w:hAnsiTheme="majorHAnsi" w:cstheme="majorBidi"/>
                                      <w:b/>
                                      <w:bCs/>
                                      <w:color w:val="808080" w:themeColor="background1" w:themeShade="80"/>
                                      <w:sz w:val="32"/>
                                      <w:szCs w:val="32"/>
                                    </w:rPr>
                                  </w:pPr>
                                  <w:r w:rsidRPr="00E34A2D">
                                    <w:rPr>
                                      <w:rFonts w:asciiTheme="minorHAnsi" w:eastAsiaTheme="minorEastAsia" w:hAnsiTheme="minorHAnsi" w:cs="Times New Roman"/>
                                      <w:b/>
                                      <w:bCs/>
                                      <w:color w:val="808080" w:themeColor="background1" w:themeShade="80"/>
                                      <w:sz w:val="32"/>
                                      <w:szCs w:val="32"/>
                                    </w:rPr>
                                    <w:fldChar w:fldCharType="begin"/>
                                  </w:r>
                                  <w:r w:rsidRPr="00E34A2D">
                                    <w:rPr>
                                      <w:b/>
                                      <w:bCs/>
                                      <w:color w:val="808080" w:themeColor="background1" w:themeShade="80"/>
                                      <w:sz w:val="32"/>
                                      <w:szCs w:val="32"/>
                                    </w:rPr>
                                    <w:instrText>PAGE  \* MERGEFORMAT</w:instrText>
                                  </w:r>
                                  <w:r w:rsidRPr="00E34A2D">
                                    <w:rPr>
                                      <w:rFonts w:asciiTheme="minorHAnsi" w:eastAsiaTheme="minorEastAsia" w:hAnsiTheme="minorHAnsi" w:cs="Times New Roman"/>
                                      <w:b/>
                                      <w:bCs/>
                                      <w:color w:val="808080" w:themeColor="background1" w:themeShade="80"/>
                                      <w:sz w:val="32"/>
                                      <w:szCs w:val="32"/>
                                    </w:rPr>
                                    <w:fldChar w:fldCharType="separate"/>
                                  </w:r>
                                  <w:r w:rsidRPr="00E34A2D">
                                    <w:rPr>
                                      <w:rFonts w:asciiTheme="majorHAnsi" w:eastAsiaTheme="majorEastAsia" w:hAnsiTheme="majorHAnsi" w:cstheme="majorBidi"/>
                                      <w:b/>
                                      <w:bCs/>
                                      <w:color w:val="808080" w:themeColor="background1" w:themeShade="80"/>
                                      <w:sz w:val="32"/>
                                      <w:szCs w:val="32"/>
                                    </w:rPr>
                                    <w:t>2</w:t>
                                  </w:r>
                                  <w:r w:rsidRPr="00E34A2D">
                                    <w:rPr>
                                      <w:rFonts w:asciiTheme="majorHAnsi" w:eastAsiaTheme="majorEastAsia" w:hAnsiTheme="majorHAnsi" w:cstheme="majorBidi"/>
                                      <w:b/>
                                      <w:bCs/>
                                      <w:color w:val="808080" w:themeColor="background1" w:themeShade="80"/>
                                      <w:sz w:val="32"/>
                                      <w:szCs w:val="32"/>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EC866" id="Rectángulo 237"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wsCwIAAOs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" o:allowincell="f" stroked="f">
                  <v:textbox>
                    <w:txbxContent>
                      <w:sdt>
                        <w:sdtPr>
                          <w:rPr>
                            <w:rFonts w:asciiTheme="majorHAnsi" w:eastAsiaTheme="majorEastAsia" w:hAnsiTheme="majorHAnsi" w:cstheme="majorBidi"/>
                            <w:b/>
                            <w:bCs/>
                            <w:color w:val="808080" w:themeColor="background1" w:themeShade="80"/>
                            <w:sz w:val="32"/>
                            <w:szCs w:val="32"/>
                          </w:rPr>
                          <w:id w:val="-1807150379"/>
                          <w:docPartObj>
                            <w:docPartGallery w:val="Page Numbers (Margins)"/>
                            <w:docPartUnique/>
                          </w:docPartObj>
                        </w:sdtPr>
                        <w:sdtEndPr/>
                        <w:sdtContent>
                          <w:p w14:paraId="1FCAD037" w14:textId="77777777" w:rsidR="000C422A" w:rsidRPr="00E34A2D" w:rsidRDefault="000C422A">
                            <w:pPr>
                              <w:jc w:val="center"/>
                              <w:rPr>
                                <w:rFonts w:asciiTheme="majorHAnsi" w:eastAsiaTheme="majorEastAsia" w:hAnsiTheme="majorHAnsi" w:cstheme="majorBidi"/>
                                <w:b/>
                                <w:bCs/>
                                <w:color w:val="808080" w:themeColor="background1" w:themeShade="80"/>
                                <w:sz w:val="32"/>
                                <w:szCs w:val="32"/>
                              </w:rPr>
                            </w:pPr>
                            <w:r w:rsidRPr="00E34A2D">
                              <w:rPr>
                                <w:rFonts w:asciiTheme="minorHAnsi" w:eastAsiaTheme="minorEastAsia" w:hAnsiTheme="minorHAnsi" w:cs="Times New Roman"/>
                                <w:b/>
                                <w:bCs/>
                                <w:color w:val="808080" w:themeColor="background1" w:themeShade="80"/>
                                <w:sz w:val="32"/>
                                <w:szCs w:val="32"/>
                              </w:rPr>
                              <w:fldChar w:fldCharType="begin"/>
                            </w:r>
                            <w:r w:rsidRPr="00E34A2D">
                              <w:rPr>
                                <w:b/>
                                <w:bCs/>
                                <w:color w:val="808080" w:themeColor="background1" w:themeShade="80"/>
                                <w:sz w:val="32"/>
                                <w:szCs w:val="32"/>
                              </w:rPr>
                              <w:instrText>PAGE  \* MERGEFORMAT</w:instrText>
                            </w:r>
                            <w:r w:rsidRPr="00E34A2D">
                              <w:rPr>
                                <w:rFonts w:asciiTheme="minorHAnsi" w:eastAsiaTheme="minorEastAsia" w:hAnsiTheme="minorHAnsi" w:cs="Times New Roman"/>
                                <w:b/>
                                <w:bCs/>
                                <w:color w:val="808080" w:themeColor="background1" w:themeShade="80"/>
                                <w:sz w:val="32"/>
                                <w:szCs w:val="32"/>
                              </w:rPr>
                              <w:fldChar w:fldCharType="separate"/>
                            </w:r>
                            <w:r w:rsidRPr="00E34A2D">
                              <w:rPr>
                                <w:rFonts w:asciiTheme="majorHAnsi" w:eastAsiaTheme="majorEastAsia" w:hAnsiTheme="majorHAnsi" w:cstheme="majorBidi"/>
                                <w:b/>
                                <w:bCs/>
                                <w:color w:val="808080" w:themeColor="background1" w:themeShade="80"/>
                                <w:sz w:val="32"/>
                                <w:szCs w:val="32"/>
                              </w:rPr>
                              <w:t>2</w:t>
                            </w:r>
                            <w:r w:rsidRPr="00E34A2D">
                              <w:rPr>
                                <w:rFonts w:asciiTheme="majorHAnsi" w:eastAsiaTheme="majorEastAsia" w:hAnsiTheme="majorHAnsi" w:cstheme="majorBidi"/>
                                <w:b/>
                                <w:bCs/>
                                <w:color w:val="808080" w:themeColor="background1" w:themeShade="80"/>
                                <w:sz w:val="32"/>
                                <w:szCs w:val="32"/>
                              </w:rPr>
                              <w:fldChar w:fldCharType="end"/>
                            </w:r>
                          </w:p>
                        </w:sdtContent>
                      </w:sdt>
                    </w:txbxContent>
                  </v:textbox>
                  <w10:wrap anchorx="margin" anchory="page"/>
                </v:rect>
              </w:pict>
            </mc:Fallback>
          </mc:AlternateContent>
        </w:r>
      </w:p>
    </w:sdtContent>
  </w:sdt>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4775"/>
    </w:tblGrid>
    <w:tr w:rsidR="0039273B" w14:paraId="49D4ABB4" w14:textId="77777777" w:rsidTr="00382625">
      <w:tc>
        <w:tcPr>
          <w:tcW w:w="4775" w:type="dxa"/>
        </w:tcPr>
        <w:p w14:paraId="79918B94" w14:textId="129E5C73" w:rsidR="0039273B" w:rsidRDefault="0039273B" w:rsidP="0039273B">
          <w:pPr>
            <w:pStyle w:val="Encabezado"/>
          </w:pPr>
          <w:r w:rsidRPr="00033154">
            <w:rPr>
              <w:noProof/>
              <w:color w:val="FF0000"/>
            </w:rPr>
            <w:drawing>
              <wp:inline distT="0" distB="0" distL="0" distR="0" wp14:anchorId="604D6FEF" wp14:editId="15CBFA98">
                <wp:extent cx="1507045" cy="852060"/>
                <wp:effectExtent l="0" t="0" r="0" b="5715"/>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24947" cy="862181"/>
                        </a:xfrm>
                        <a:prstGeom prst="rect">
                          <a:avLst/>
                        </a:prstGeom>
                      </pic:spPr>
                    </pic:pic>
                  </a:graphicData>
                </a:graphic>
              </wp:inline>
            </w:drawing>
          </w:r>
        </w:p>
      </w:tc>
      <w:tc>
        <w:tcPr>
          <w:tcW w:w="4775" w:type="dxa"/>
        </w:tcPr>
        <w:p w14:paraId="5FA4A181" w14:textId="490075DE" w:rsidR="0039273B" w:rsidRDefault="00382625" w:rsidP="00B3174D">
          <w:pPr>
            <w:pStyle w:val="Encabezado"/>
            <w:jc w:val="right"/>
          </w:pPr>
          <w:r w:rsidRPr="00382625">
            <w:rPr>
              <w:noProof/>
            </w:rPr>
            <w:drawing>
              <wp:inline distT="0" distB="0" distL="0" distR="0" wp14:anchorId="31B6AB41" wp14:editId="47D49BC7">
                <wp:extent cx="876422" cy="809738"/>
                <wp:effectExtent l="0" t="0" r="0" b="9525"/>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76422" cy="809738"/>
                        </a:xfrm>
                        <a:prstGeom prst="rect">
                          <a:avLst/>
                        </a:prstGeom>
                      </pic:spPr>
                    </pic:pic>
                  </a:graphicData>
                </a:graphic>
              </wp:inline>
            </w:drawing>
          </w:r>
        </w:p>
      </w:tc>
    </w:tr>
  </w:tbl>
  <w:p w14:paraId="520A9D98" w14:textId="1A2C8D2A" w:rsidR="00517D2A" w:rsidRDefault="00517D2A" w:rsidP="00B3174D">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646FEDC"/>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D2CA19F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BC009A8"/>
    <w:multiLevelType w:val="multilevel"/>
    <w:tmpl w:val="5D4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70C3B"/>
    <w:multiLevelType w:val="multilevel"/>
    <w:tmpl w:val="DCFC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95711"/>
    <w:multiLevelType w:val="hybridMultilevel"/>
    <w:tmpl w:val="905EF45A"/>
    <w:lvl w:ilvl="0" w:tplc="D5C0B1A4">
      <w:numFmt w:val="bullet"/>
      <w:lvlText w:val="-"/>
      <w:lvlJc w:val="left"/>
      <w:pPr>
        <w:ind w:left="1637" w:hanging="360"/>
      </w:pPr>
      <w:rPr>
        <w:rFonts w:ascii="Humanst521 BT" w:eastAsiaTheme="majorEastAsia" w:hAnsi="Humanst521 BT" w:cstheme="majorBidi" w:hint="default"/>
      </w:rPr>
    </w:lvl>
    <w:lvl w:ilvl="1" w:tplc="240A0003" w:tentative="1">
      <w:start w:val="1"/>
      <w:numFmt w:val="bullet"/>
      <w:lvlText w:val="o"/>
      <w:lvlJc w:val="left"/>
      <w:pPr>
        <w:ind w:left="2357" w:hanging="360"/>
      </w:pPr>
      <w:rPr>
        <w:rFonts w:ascii="Courier New" w:hAnsi="Courier New" w:cs="Courier New" w:hint="default"/>
      </w:rPr>
    </w:lvl>
    <w:lvl w:ilvl="2" w:tplc="240A0005" w:tentative="1">
      <w:start w:val="1"/>
      <w:numFmt w:val="bullet"/>
      <w:lvlText w:val=""/>
      <w:lvlJc w:val="left"/>
      <w:pPr>
        <w:ind w:left="3077" w:hanging="360"/>
      </w:pPr>
      <w:rPr>
        <w:rFonts w:ascii="Wingdings" w:hAnsi="Wingdings" w:hint="default"/>
      </w:rPr>
    </w:lvl>
    <w:lvl w:ilvl="3" w:tplc="240A0001" w:tentative="1">
      <w:start w:val="1"/>
      <w:numFmt w:val="bullet"/>
      <w:lvlText w:val=""/>
      <w:lvlJc w:val="left"/>
      <w:pPr>
        <w:ind w:left="3797" w:hanging="360"/>
      </w:pPr>
      <w:rPr>
        <w:rFonts w:ascii="Symbol" w:hAnsi="Symbol" w:hint="default"/>
      </w:rPr>
    </w:lvl>
    <w:lvl w:ilvl="4" w:tplc="240A0003" w:tentative="1">
      <w:start w:val="1"/>
      <w:numFmt w:val="bullet"/>
      <w:lvlText w:val="o"/>
      <w:lvlJc w:val="left"/>
      <w:pPr>
        <w:ind w:left="4517" w:hanging="360"/>
      </w:pPr>
      <w:rPr>
        <w:rFonts w:ascii="Courier New" w:hAnsi="Courier New" w:cs="Courier New" w:hint="default"/>
      </w:rPr>
    </w:lvl>
    <w:lvl w:ilvl="5" w:tplc="240A0005" w:tentative="1">
      <w:start w:val="1"/>
      <w:numFmt w:val="bullet"/>
      <w:lvlText w:val=""/>
      <w:lvlJc w:val="left"/>
      <w:pPr>
        <w:ind w:left="5237" w:hanging="360"/>
      </w:pPr>
      <w:rPr>
        <w:rFonts w:ascii="Wingdings" w:hAnsi="Wingdings" w:hint="default"/>
      </w:rPr>
    </w:lvl>
    <w:lvl w:ilvl="6" w:tplc="240A0001" w:tentative="1">
      <w:start w:val="1"/>
      <w:numFmt w:val="bullet"/>
      <w:lvlText w:val=""/>
      <w:lvlJc w:val="left"/>
      <w:pPr>
        <w:ind w:left="5957" w:hanging="360"/>
      </w:pPr>
      <w:rPr>
        <w:rFonts w:ascii="Symbol" w:hAnsi="Symbol" w:hint="default"/>
      </w:rPr>
    </w:lvl>
    <w:lvl w:ilvl="7" w:tplc="240A0003" w:tentative="1">
      <w:start w:val="1"/>
      <w:numFmt w:val="bullet"/>
      <w:lvlText w:val="o"/>
      <w:lvlJc w:val="left"/>
      <w:pPr>
        <w:ind w:left="6677" w:hanging="360"/>
      </w:pPr>
      <w:rPr>
        <w:rFonts w:ascii="Courier New" w:hAnsi="Courier New" w:cs="Courier New" w:hint="default"/>
      </w:rPr>
    </w:lvl>
    <w:lvl w:ilvl="8" w:tplc="240A0005" w:tentative="1">
      <w:start w:val="1"/>
      <w:numFmt w:val="bullet"/>
      <w:lvlText w:val=""/>
      <w:lvlJc w:val="left"/>
      <w:pPr>
        <w:ind w:left="7397" w:hanging="360"/>
      </w:pPr>
      <w:rPr>
        <w:rFonts w:ascii="Wingdings" w:hAnsi="Wingdings" w:hint="default"/>
      </w:rPr>
    </w:lvl>
  </w:abstractNum>
  <w:abstractNum w:abstractNumId="5" w15:restartNumberingAfterBreak="0">
    <w:nsid w:val="0EA163BF"/>
    <w:multiLevelType w:val="multilevel"/>
    <w:tmpl w:val="CA56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9A3EB7"/>
    <w:multiLevelType w:val="multilevel"/>
    <w:tmpl w:val="6CF2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C677F0"/>
    <w:multiLevelType w:val="multilevel"/>
    <w:tmpl w:val="FA7A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FB6444"/>
    <w:multiLevelType w:val="multilevel"/>
    <w:tmpl w:val="827E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960CC"/>
    <w:multiLevelType w:val="multilevel"/>
    <w:tmpl w:val="5658F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A423A"/>
    <w:multiLevelType w:val="multilevel"/>
    <w:tmpl w:val="E726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9E2DC0"/>
    <w:multiLevelType w:val="multilevel"/>
    <w:tmpl w:val="98D0D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102958"/>
    <w:multiLevelType w:val="multilevel"/>
    <w:tmpl w:val="AA3C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8A07E2"/>
    <w:multiLevelType w:val="multilevel"/>
    <w:tmpl w:val="5574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917F11"/>
    <w:multiLevelType w:val="multilevel"/>
    <w:tmpl w:val="F616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CD61C7"/>
    <w:multiLevelType w:val="multilevel"/>
    <w:tmpl w:val="B34E4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455D87"/>
    <w:multiLevelType w:val="multilevel"/>
    <w:tmpl w:val="971E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CC1F64"/>
    <w:multiLevelType w:val="multilevel"/>
    <w:tmpl w:val="EEB6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F65FE"/>
    <w:multiLevelType w:val="hybridMultilevel"/>
    <w:tmpl w:val="487632E0"/>
    <w:lvl w:ilvl="0" w:tplc="D132238E">
      <w:start w:val="1"/>
      <w:numFmt w:val="decimal"/>
      <w:lvlText w:val="%1."/>
      <w:lvlJc w:val="left"/>
      <w:pPr>
        <w:ind w:left="850" w:hanging="360"/>
      </w:pPr>
      <w:rPr>
        <w:rFonts w:eastAsia="Verdana" w:cs="Verdana" w:hint="default"/>
      </w:rPr>
    </w:lvl>
    <w:lvl w:ilvl="1" w:tplc="240A0019" w:tentative="1">
      <w:start w:val="1"/>
      <w:numFmt w:val="lowerLetter"/>
      <w:lvlText w:val="%2."/>
      <w:lvlJc w:val="left"/>
      <w:pPr>
        <w:ind w:left="1570" w:hanging="360"/>
      </w:pPr>
    </w:lvl>
    <w:lvl w:ilvl="2" w:tplc="240A001B" w:tentative="1">
      <w:start w:val="1"/>
      <w:numFmt w:val="lowerRoman"/>
      <w:lvlText w:val="%3."/>
      <w:lvlJc w:val="right"/>
      <w:pPr>
        <w:ind w:left="2290" w:hanging="180"/>
      </w:pPr>
    </w:lvl>
    <w:lvl w:ilvl="3" w:tplc="240A000F" w:tentative="1">
      <w:start w:val="1"/>
      <w:numFmt w:val="decimal"/>
      <w:lvlText w:val="%4."/>
      <w:lvlJc w:val="left"/>
      <w:pPr>
        <w:ind w:left="3010" w:hanging="360"/>
      </w:pPr>
    </w:lvl>
    <w:lvl w:ilvl="4" w:tplc="240A0019" w:tentative="1">
      <w:start w:val="1"/>
      <w:numFmt w:val="lowerLetter"/>
      <w:lvlText w:val="%5."/>
      <w:lvlJc w:val="left"/>
      <w:pPr>
        <w:ind w:left="3730" w:hanging="360"/>
      </w:pPr>
    </w:lvl>
    <w:lvl w:ilvl="5" w:tplc="240A001B" w:tentative="1">
      <w:start w:val="1"/>
      <w:numFmt w:val="lowerRoman"/>
      <w:lvlText w:val="%6."/>
      <w:lvlJc w:val="right"/>
      <w:pPr>
        <w:ind w:left="4450" w:hanging="180"/>
      </w:pPr>
    </w:lvl>
    <w:lvl w:ilvl="6" w:tplc="240A000F" w:tentative="1">
      <w:start w:val="1"/>
      <w:numFmt w:val="decimal"/>
      <w:lvlText w:val="%7."/>
      <w:lvlJc w:val="left"/>
      <w:pPr>
        <w:ind w:left="5170" w:hanging="360"/>
      </w:pPr>
    </w:lvl>
    <w:lvl w:ilvl="7" w:tplc="240A0019" w:tentative="1">
      <w:start w:val="1"/>
      <w:numFmt w:val="lowerLetter"/>
      <w:lvlText w:val="%8."/>
      <w:lvlJc w:val="left"/>
      <w:pPr>
        <w:ind w:left="5890" w:hanging="360"/>
      </w:pPr>
    </w:lvl>
    <w:lvl w:ilvl="8" w:tplc="240A001B" w:tentative="1">
      <w:start w:val="1"/>
      <w:numFmt w:val="lowerRoman"/>
      <w:lvlText w:val="%9."/>
      <w:lvlJc w:val="right"/>
      <w:pPr>
        <w:ind w:left="6610" w:hanging="180"/>
      </w:pPr>
    </w:lvl>
  </w:abstractNum>
  <w:abstractNum w:abstractNumId="19" w15:restartNumberingAfterBreak="0">
    <w:nsid w:val="32505D74"/>
    <w:multiLevelType w:val="multilevel"/>
    <w:tmpl w:val="E512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DB05C0"/>
    <w:multiLevelType w:val="multilevel"/>
    <w:tmpl w:val="8746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FC3E1A"/>
    <w:multiLevelType w:val="multilevel"/>
    <w:tmpl w:val="43E6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B4CBA"/>
    <w:multiLevelType w:val="multilevel"/>
    <w:tmpl w:val="73E2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84B18"/>
    <w:multiLevelType w:val="multilevel"/>
    <w:tmpl w:val="1B84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23C8E"/>
    <w:multiLevelType w:val="multilevel"/>
    <w:tmpl w:val="49D0013A"/>
    <w:lvl w:ilvl="0">
      <w:start w:val="1"/>
      <w:numFmt w:val="decimal"/>
      <w:lvlText w:val="%1."/>
      <w:lvlJc w:val="left"/>
      <w:pPr>
        <w:ind w:left="1275" w:hanging="708"/>
      </w:pPr>
      <w:rPr>
        <w:rFonts w:ascii="Humanst521 BT" w:eastAsia="Verdana" w:hAnsi="Humanst521 BT" w:cs="Verdana" w:hint="default"/>
        <w:b/>
        <w:bCs/>
        <w:i w:val="0"/>
        <w:iCs w:val="0"/>
        <w:spacing w:val="-1"/>
        <w:w w:val="99"/>
        <w:sz w:val="22"/>
        <w:szCs w:val="22"/>
        <w:lang w:val="es-ES" w:eastAsia="en-US" w:bidi="ar-SA"/>
      </w:rPr>
    </w:lvl>
    <w:lvl w:ilvl="1">
      <w:start w:val="1"/>
      <w:numFmt w:val="decimal"/>
      <w:lvlText w:val="%1.%2."/>
      <w:lvlJc w:val="left"/>
      <w:pPr>
        <w:ind w:left="769" w:hanging="1056"/>
        <w:jc w:val="right"/>
      </w:pPr>
      <w:rPr>
        <w:rFonts w:hint="default"/>
        <w:spacing w:val="0"/>
        <w:w w:val="99"/>
        <w:lang w:val="es-ES" w:eastAsia="en-US" w:bidi="ar-SA"/>
      </w:rPr>
    </w:lvl>
    <w:lvl w:ilvl="2">
      <w:start w:val="1"/>
      <w:numFmt w:val="decimal"/>
      <w:lvlText w:val="%1.%2.%3."/>
      <w:lvlJc w:val="left"/>
      <w:pPr>
        <w:ind w:left="2466" w:hanging="1404"/>
      </w:pPr>
      <w:rPr>
        <w:rFonts w:ascii="Verdana" w:eastAsia="Verdana" w:hAnsi="Verdana" w:cs="Verdana" w:hint="default"/>
        <w:b w:val="0"/>
        <w:bCs w:val="0"/>
        <w:i w:val="0"/>
        <w:iCs w:val="0"/>
        <w:color w:val="auto"/>
        <w:spacing w:val="-1"/>
        <w:w w:val="100"/>
        <w:sz w:val="24"/>
        <w:szCs w:val="24"/>
        <w:lang w:val="es-ES" w:eastAsia="en-US" w:bidi="ar-SA"/>
      </w:rPr>
    </w:lvl>
    <w:lvl w:ilvl="3">
      <w:start w:val="1"/>
      <w:numFmt w:val="bullet"/>
      <w:lvlText w:val=""/>
      <w:lvlJc w:val="left"/>
      <w:pPr>
        <w:ind w:left="1410" w:hanging="360"/>
      </w:pPr>
      <w:rPr>
        <w:rFonts w:ascii="Wingdings" w:hAnsi="Wingdings" w:hint="default"/>
        <w:b w:val="0"/>
        <w:bCs w:val="0"/>
        <w:i w:val="0"/>
        <w:iCs w:val="0"/>
        <w:color w:val="808080"/>
        <w:spacing w:val="0"/>
        <w:w w:val="100"/>
        <w:sz w:val="24"/>
        <w:szCs w:val="24"/>
        <w:lang w:val="es-ES" w:eastAsia="en-US" w:bidi="ar-SA"/>
      </w:rPr>
    </w:lvl>
    <w:lvl w:ilvl="4">
      <w:numFmt w:val="bullet"/>
      <w:lvlText w:val="•"/>
      <w:lvlJc w:val="left"/>
      <w:pPr>
        <w:ind w:left="2460" w:hanging="360"/>
      </w:pPr>
      <w:rPr>
        <w:rFonts w:hint="default"/>
        <w:lang w:val="es-ES" w:eastAsia="en-US" w:bidi="ar-SA"/>
      </w:rPr>
    </w:lvl>
    <w:lvl w:ilvl="5">
      <w:numFmt w:val="bullet"/>
      <w:lvlText w:val="•"/>
      <w:lvlJc w:val="left"/>
      <w:pPr>
        <w:ind w:left="3643" w:hanging="360"/>
      </w:pPr>
      <w:rPr>
        <w:rFonts w:hint="default"/>
        <w:lang w:val="es-ES" w:eastAsia="en-US" w:bidi="ar-SA"/>
      </w:rPr>
    </w:lvl>
    <w:lvl w:ilvl="6">
      <w:numFmt w:val="bullet"/>
      <w:lvlText w:val="•"/>
      <w:lvlJc w:val="left"/>
      <w:pPr>
        <w:ind w:left="4826" w:hanging="360"/>
      </w:pPr>
      <w:rPr>
        <w:rFonts w:hint="default"/>
        <w:lang w:val="es-ES" w:eastAsia="en-US" w:bidi="ar-SA"/>
      </w:rPr>
    </w:lvl>
    <w:lvl w:ilvl="7">
      <w:numFmt w:val="bullet"/>
      <w:lvlText w:val="•"/>
      <w:lvlJc w:val="left"/>
      <w:pPr>
        <w:ind w:left="6010" w:hanging="360"/>
      </w:pPr>
      <w:rPr>
        <w:rFonts w:hint="default"/>
        <w:lang w:val="es-ES" w:eastAsia="en-US" w:bidi="ar-SA"/>
      </w:rPr>
    </w:lvl>
    <w:lvl w:ilvl="8">
      <w:numFmt w:val="bullet"/>
      <w:lvlText w:val="•"/>
      <w:lvlJc w:val="left"/>
      <w:pPr>
        <w:ind w:left="7193" w:hanging="360"/>
      </w:pPr>
      <w:rPr>
        <w:rFonts w:hint="default"/>
        <w:lang w:val="es-ES" w:eastAsia="en-US" w:bidi="ar-SA"/>
      </w:rPr>
    </w:lvl>
  </w:abstractNum>
  <w:abstractNum w:abstractNumId="25" w15:restartNumberingAfterBreak="0">
    <w:nsid w:val="4ECB77C5"/>
    <w:multiLevelType w:val="multilevel"/>
    <w:tmpl w:val="24C8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C42206"/>
    <w:multiLevelType w:val="multilevel"/>
    <w:tmpl w:val="E53C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CC3C93"/>
    <w:multiLevelType w:val="hybridMultilevel"/>
    <w:tmpl w:val="1116BC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60952DB"/>
    <w:multiLevelType w:val="multilevel"/>
    <w:tmpl w:val="E12A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431D53"/>
    <w:multiLevelType w:val="multilevel"/>
    <w:tmpl w:val="4364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272A9C"/>
    <w:multiLevelType w:val="multilevel"/>
    <w:tmpl w:val="96BA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D1260"/>
    <w:multiLevelType w:val="multilevel"/>
    <w:tmpl w:val="4258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3C4904"/>
    <w:multiLevelType w:val="multilevel"/>
    <w:tmpl w:val="D16A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AA753F"/>
    <w:multiLevelType w:val="multilevel"/>
    <w:tmpl w:val="948C2D3C"/>
    <w:lvl w:ilvl="0">
      <w:start w:val="5"/>
      <w:numFmt w:val="decimal"/>
      <w:lvlText w:val="%1."/>
      <w:lvlJc w:val="left"/>
      <w:pPr>
        <w:ind w:left="540" w:hanging="540"/>
      </w:pPr>
      <w:rPr>
        <w:rFonts w:hint="default"/>
      </w:rPr>
    </w:lvl>
    <w:lvl w:ilvl="1">
      <w:start w:val="1"/>
      <w:numFmt w:val="decimal"/>
      <w:lvlText w:val="%1.%2."/>
      <w:lvlJc w:val="left"/>
      <w:pPr>
        <w:ind w:left="1251" w:hanging="720"/>
      </w:pPr>
      <w:rPr>
        <w:rFonts w:hint="default"/>
      </w:rPr>
    </w:lvl>
    <w:lvl w:ilvl="2">
      <w:start w:val="2"/>
      <w:numFmt w:val="decimal"/>
      <w:lvlText w:val="%1.%2.%3."/>
      <w:lvlJc w:val="left"/>
      <w:pPr>
        <w:ind w:left="1782"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3564" w:hanging="1440"/>
      </w:pPr>
      <w:rPr>
        <w:rFonts w:hint="default"/>
      </w:rPr>
    </w:lvl>
    <w:lvl w:ilvl="5">
      <w:start w:val="1"/>
      <w:numFmt w:val="decimal"/>
      <w:lvlText w:val="%1.%2.%3.%4.%5.%6."/>
      <w:lvlJc w:val="left"/>
      <w:pPr>
        <w:ind w:left="4095" w:hanging="1440"/>
      </w:pPr>
      <w:rPr>
        <w:rFonts w:hint="default"/>
      </w:rPr>
    </w:lvl>
    <w:lvl w:ilvl="6">
      <w:start w:val="1"/>
      <w:numFmt w:val="decimal"/>
      <w:lvlText w:val="%1.%2.%3.%4.%5.%6.%7."/>
      <w:lvlJc w:val="left"/>
      <w:pPr>
        <w:ind w:left="4986" w:hanging="1800"/>
      </w:pPr>
      <w:rPr>
        <w:rFonts w:hint="default"/>
      </w:rPr>
    </w:lvl>
    <w:lvl w:ilvl="7">
      <w:start w:val="1"/>
      <w:numFmt w:val="decimal"/>
      <w:lvlText w:val="%1.%2.%3.%4.%5.%6.%7.%8."/>
      <w:lvlJc w:val="left"/>
      <w:pPr>
        <w:ind w:left="5517" w:hanging="1800"/>
      </w:pPr>
      <w:rPr>
        <w:rFonts w:hint="default"/>
      </w:rPr>
    </w:lvl>
    <w:lvl w:ilvl="8">
      <w:start w:val="1"/>
      <w:numFmt w:val="decimal"/>
      <w:lvlText w:val="%1.%2.%3.%4.%5.%6.%7.%8.%9."/>
      <w:lvlJc w:val="left"/>
      <w:pPr>
        <w:ind w:left="6408" w:hanging="2160"/>
      </w:pPr>
      <w:rPr>
        <w:rFonts w:hint="default"/>
      </w:rPr>
    </w:lvl>
  </w:abstractNum>
  <w:abstractNum w:abstractNumId="34" w15:restartNumberingAfterBreak="0">
    <w:nsid w:val="6CC87D75"/>
    <w:multiLevelType w:val="multilevel"/>
    <w:tmpl w:val="6B26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2F590C"/>
    <w:multiLevelType w:val="multilevel"/>
    <w:tmpl w:val="E794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366154"/>
    <w:multiLevelType w:val="multilevel"/>
    <w:tmpl w:val="3258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F43E4D"/>
    <w:multiLevelType w:val="multilevel"/>
    <w:tmpl w:val="B9F6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A16C03"/>
    <w:multiLevelType w:val="multilevel"/>
    <w:tmpl w:val="D810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44779E"/>
    <w:multiLevelType w:val="hybridMultilevel"/>
    <w:tmpl w:val="6E567C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DDC2FE4"/>
    <w:multiLevelType w:val="multilevel"/>
    <w:tmpl w:val="0058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E55DFA"/>
    <w:multiLevelType w:val="multilevel"/>
    <w:tmpl w:val="0618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5"/>
  </w:num>
  <w:num w:numId="3">
    <w:abstractNumId w:val="11"/>
  </w:num>
  <w:num w:numId="4">
    <w:abstractNumId w:val="27"/>
  </w:num>
  <w:num w:numId="5">
    <w:abstractNumId w:val="41"/>
  </w:num>
  <w:num w:numId="6">
    <w:abstractNumId w:val="32"/>
  </w:num>
  <w:num w:numId="7">
    <w:abstractNumId w:val="9"/>
  </w:num>
  <w:num w:numId="8">
    <w:abstractNumId w:val="26"/>
  </w:num>
  <w:num w:numId="9">
    <w:abstractNumId w:val="33"/>
  </w:num>
  <w:num w:numId="10">
    <w:abstractNumId w:val="18"/>
  </w:num>
  <w:num w:numId="11">
    <w:abstractNumId w:val="23"/>
  </w:num>
  <w:num w:numId="12">
    <w:abstractNumId w:val="22"/>
  </w:num>
  <w:num w:numId="13">
    <w:abstractNumId w:val="4"/>
  </w:num>
  <w:num w:numId="14">
    <w:abstractNumId w:val="13"/>
  </w:num>
  <w:num w:numId="15">
    <w:abstractNumId w:val="1"/>
  </w:num>
  <w:num w:numId="16">
    <w:abstractNumId w:val="0"/>
  </w:num>
  <w:num w:numId="17">
    <w:abstractNumId w:val="3"/>
  </w:num>
  <w:num w:numId="18">
    <w:abstractNumId w:val="34"/>
  </w:num>
  <w:num w:numId="19">
    <w:abstractNumId w:val="36"/>
  </w:num>
  <w:num w:numId="20">
    <w:abstractNumId w:val="35"/>
  </w:num>
  <w:num w:numId="21">
    <w:abstractNumId w:val="8"/>
  </w:num>
  <w:num w:numId="22">
    <w:abstractNumId w:val="15"/>
  </w:num>
  <w:num w:numId="23">
    <w:abstractNumId w:val="16"/>
  </w:num>
  <w:num w:numId="24">
    <w:abstractNumId w:val="29"/>
  </w:num>
  <w:num w:numId="25">
    <w:abstractNumId w:val="12"/>
  </w:num>
  <w:num w:numId="26">
    <w:abstractNumId w:val="21"/>
  </w:num>
  <w:num w:numId="27">
    <w:abstractNumId w:val="30"/>
  </w:num>
  <w:num w:numId="28">
    <w:abstractNumId w:val="37"/>
  </w:num>
  <w:num w:numId="29">
    <w:abstractNumId w:val="39"/>
  </w:num>
  <w:num w:numId="30">
    <w:abstractNumId w:val="20"/>
  </w:num>
  <w:num w:numId="31">
    <w:abstractNumId w:val="19"/>
  </w:num>
  <w:num w:numId="32">
    <w:abstractNumId w:val="38"/>
  </w:num>
  <w:num w:numId="33">
    <w:abstractNumId w:val="17"/>
  </w:num>
  <w:num w:numId="34">
    <w:abstractNumId w:val="14"/>
  </w:num>
  <w:num w:numId="35">
    <w:abstractNumId w:val="7"/>
  </w:num>
  <w:num w:numId="36">
    <w:abstractNumId w:val="5"/>
  </w:num>
  <w:num w:numId="37">
    <w:abstractNumId w:val="28"/>
  </w:num>
  <w:num w:numId="38">
    <w:abstractNumId w:val="10"/>
  </w:num>
  <w:num w:numId="39">
    <w:abstractNumId w:val="2"/>
  </w:num>
  <w:num w:numId="40">
    <w:abstractNumId w:val="31"/>
  </w:num>
  <w:num w:numId="41">
    <w:abstractNumId w:val="6"/>
  </w:num>
  <w:num w:numId="42">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00"/>
    <w:rsid w:val="0000227E"/>
    <w:rsid w:val="0000348F"/>
    <w:rsid w:val="00004AEB"/>
    <w:rsid w:val="00006644"/>
    <w:rsid w:val="000072BE"/>
    <w:rsid w:val="00010232"/>
    <w:rsid w:val="00011F01"/>
    <w:rsid w:val="00012229"/>
    <w:rsid w:val="00013B91"/>
    <w:rsid w:val="000149B1"/>
    <w:rsid w:val="00014D31"/>
    <w:rsid w:val="0001564C"/>
    <w:rsid w:val="000156F0"/>
    <w:rsid w:val="00015CA6"/>
    <w:rsid w:val="00017426"/>
    <w:rsid w:val="000209BB"/>
    <w:rsid w:val="00021062"/>
    <w:rsid w:val="00021554"/>
    <w:rsid w:val="00022AD1"/>
    <w:rsid w:val="00023B76"/>
    <w:rsid w:val="0002437C"/>
    <w:rsid w:val="00024422"/>
    <w:rsid w:val="0002480D"/>
    <w:rsid w:val="00024EB3"/>
    <w:rsid w:val="0002538C"/>
    <w:rsid w:val="00026AC3"/>
    <w:rsid w:val="000306E1"/>
    <w:rsid w:val="0003173A"/>
    <w:rsid w:val="00032E3C"/>
    <w:rsid w:val="00034479"/>
    <w:rsid w:val="00034851"/>
    <w:rsid w:val="00035BA9"/>
    <w:rsid w:val="00036062"/>
    <w:rsid w:val="00037D6C"/>
    <w:rsid w:val="00037E7F"/>
    <w:rsid w:val="00040EA2"/>
    <w:rsid w:val="0004137F"/>
    <w:rsid w:val="000435C1"/>
    <w:rsid w:val="000436D7"/>
    <w:rsid w:val="00043A08"/>
    <w:rsid w:val="00043A48"/>
    <w:rsid w:val="00046B6D"/>
    <w:rsid w:val="00050167"/>
    <w:rsid w:val="00050B46"/>
    <w:rsid w:val="00050B8F"/>
    <w:rsid w:val="0005170E"/>
    <w:rsid w:val="00052769"/>
    <w:rsid w:val="000534C7"/>
    <w:rsid w:val="000538D8"/>
    <w:rsid w:val="00053E55"/>
    <w:rsid w:val="0005498C"/>
    <w:rsid w:val="000549AC"/>
    <w:rsid w:val="00054C73"/>
    <w:rsid w:val="00054FAC"/>
    <w:rsid w:val="000573CE"/>
    <w:rsid w:val="00061FAE"/>
    <w:rsid w:val="00062133"/>
    <w:rsid w:val="00063957"/>
    <w:rsid w:val="00064D15"/>
    <w:rsid w:val="00065C44"/>
    <w:rsid w:val="000667B4"/>
    <w:rsid w:val="00067249"/>
    <w:rsid w:val="00071E8F"/>
    <w:rsid w:val="00072625"/>
    <w:rsid w:val="000733E2"/>
    <w:rsid w:val="00074072"/>
    <w:rsid w:val="00074BAD"/>
    <w:rsid w:val="00074E05"/>
    <w:rsid w:val="00076606"/>
    <w:rsid w:val="00076C56"/>
    <w:rsid w:val="00076D0E"/>
    <w:rsid w:val="00077AC4"/>
    <w:rsid w:val="000811C5"/>
    <w:rsid w:val="0008166F"/>
    <w:rsid w:val="00082304"/>
    <w:rsid w:val="00084922"/>
    <w:rsid w:val="00085FEA"/>
    <w:rsid w:val="000860E6"/>
    <w:rsid w:val="000879C3"/>
    <w:rsid w:val="00090106"/>
    <w:rsid w:val="00090D24"/>
    <w:rsid w:val="00092228"/>
    <w:rsid w:val="00092CDF"/>
    <w:rsid w:val="00093001"/>
    <w:rsid w:val="00093B44"/>
    <w:rsid w:val="00094900"/>
    <w:rsid w:val="00096DB5"/>
    <w:rsid w:val="000A0897"/>
    <w:rsid w:val="000A0DC8"/>
    <w:rsid w:val="000A13EF"/>
    <w:rsid w:val="000A160B"/>
    <w:rsid w:val="000A4B0A"/>
    <w:rsid w:val="000A56DC"/>
    <w:rsid w:val="000A6DA5"/>
    <w:rsid w:val="000A7E3D"/>
    <w:rsid w:val="000B06B1"/>
    <w:rsid w:val="000B0AD5"/>
    <w:rsid w:val="000B285B"/>
    <w:rsid w:val="000B2F21"/>
    <w:rsid w:val="000B6D4D"/>
    <w:rsid w:val="000B7837"/>
    <w:rsid w:val="000B78B4"/>
    <w:rsid w:val="000C0BC9"/>
    <w:rsid w:val="000C1BF5"/>
    <w:rsid w:val="000C20BA"/>
    <w:rsid w:val="000C406A"/>
    <w:rsid w:val="000C422A"/>
    <w:rsid w:val="000C44B7"/>
    <w:rsid w:val="000C4CA2"/>
    <w:rsid w:val="000C4E4E"/>
    <w:rsid w:val="000C5059"/>
    <w:rsid w:val="000C651E"/>
    <w:rsid w:val="000C6600"/>
    <w:rsid w:val="000D1599"/>
    <w:rsid w:val="000D199A"/>
    <w:rsid w:val="000D2771"/>
    <w:rsid w:val="000D3639"/>
    <w:rsid w:val="000D394B"/>
    <w:rsid w:val="000D4446"/>
    <w:rsid w:val="000D47B6"/>
    <w:rsid w:val="000D6DE5"/>
    <w:rsid w:val="000E0145"/>
    <w:rsid w:val="000E328E"/>
    <w:rsid w:val="000E44A4"/>
    <w:rsid w:val="000E67C3"/>
    <w:rsid w:val="000F2963"/>
    <w:rsid w:val="000F2970"/>
    <w:rsid w:val="000F33EB"/>
    <w:rsid w:val="000F3569"/>
    <w:rsid w:val="000F3734"/>
    <w:rsid w:val="000F4B82"/>
    <w:rsid w:val="000F4F16"/>
    <w:rsid w:val="000F57C1"/>
    <w:rsid w:val="000F58F5"/>
    <w:rsid w:val="000F729A"/>
    <w:rsid w:val="000F7BB5"/>
    <w:rsid w:val="00100C03"/>
    <w:rsid w:val="00101303"/>
    <w:rsid w:val="0010223F"/>
    <w:rsid w:val="00102929"/>
    <w:rsid w:val="00102F95"/>
    <w:rsid w:val="00103F23"/>
    <w:rsid w:val="00104DC5"/>
    <w:rsid w:val="00104E1E"/>
    <w:rsid w:val="001050AA"/>
    <w:rsid w:val="00105504"/>
    <w:rsid w:val="00105A8E"/>
    <w:rsid w:val="00107E8C"/>
    <w:rsid w:val="00111F83"/>
    <w:rsid w:val="0011280E"/>
    <w:rsid w:val="00114A1C"/>
    <w:rsid w:val="00115853"/>
    <w:rsid w:val="00115FE4"/>
    <w:rsid w:val="0011630F"/>
    <w:rsid w:val="00116553"/>
    <w:rsid w:val="00120A40"/>
    <w:rsid w:val="00121E29"/>
    <w:rsid w:val="001222D1"/>
    <w:rsid w:val="00122A5A"/>
    <w:rsid w:val="00122B2B"/>
    <w:rsid w:val="0012351D"/>
    <w:rsid w:val="00123622"/>
    <w:rsid w:val="00123DE5"/>
    <w:rsid w:val="0012485F"/>
    <w:rsid w:val="00124BD7"/>
    <w:rsid w:val="00125066"/>
    <w:rsid w:val="00125710"/>
    <w:rsid w:val="00125EFF"/>
    <w:rsid w:val="00125FD1"/>
    <w:rsid w:val="001270AF"/>
    <w:rsid w:val="001301BC"/>
    <w:rsid w:val="00131448"/>
    <w:rsid w:val="00132B4F"/>
    <w:rsid w:val="001330B7"/>
    <w:rsid w:val="001338FB"/>
    <w:rsid w:val="0013535E"/>
    <w:rsid w:val="00135879"/>
    <w:rsid w:val="00136DFB"/>
    <w:rsid w:val="00137F4B"/>
    <w:rsid w:val="00140921"/>
    <w:rsid w:val="00140C47"/>
    <w:rsid w:val="0014113B"/>
    <w:rsid w:val="00143AC5"/>
    <w:rsid w:val="0014669F"/>
    <w:rsid w:val="00146791"/>
    <w:rsid w:val="00146C0A"/>
    <w:rsid w:val="0014720E"/>
    <w:rsid w:val="0015010F"/>
    <w:rsid w:val="00151CDA"/>
    <w:rsid w:val="001526C5"/>
    <w:rsid w:val="00152E52"/>
    <w:rsid w:val="00153D91"/>
    <w:rsid w:val="00154487"/>
    <w:rsid w:val="00155C44"/>
    <w:rsid w:val="00157F0A"/>
    <w:rsid w:val="001602B7"/>
    <w:rsid w:val="0016130B"/>
    <w:rsid w:val="0016170A"/>
    <w:rsid w:val="00161A72"/>
    <w:rsid w:val="00162AAF"/>
    <w:rsid w:val="00162FB9"/>
    <w:rsid w:val="00163117"/>
    <w:rsid w:val="001661ED"/>
    <w:rsid w:val="00166D76"/>
    <w:rsid w:val="00167635"/>
    <w:rsid w:val="0017013E"/>
    <w:rsid w:val="0017109A"/>
    <w:rsid w:val="00171198"/>
    <w:rsid w:val="0017192E"/>
    <w:rsid w:val="00172661"/>
    <w:rsid w:val="00172F6F"/>
    <w:rsid w:val="00174055"/>
    <w:rsid w:val="00174D5E"/>
    <w:rsid w:val="001751DD"/>
    <w:rsid w:val="001768F7"/>
    <w:rsid w:val="00177C87"/>
    <w:rsid w:val="0018049D"/>
    <w:rsid w:val="00180B72"/>
    <w:rsid w:val="00180E78"/>
    <w:rsid w:val="0018160D"/>
    <w:rsid w:val="001828FA"/>
    <w:rsid w:val="001835F6"/>
    <w:rsid w:val="00184777"/>
    <w:rsid w:val="00184C95"/>
    <w:rsid w:val="00185028"/>
    <w:rsid w:val="001850CB"/>
    <w:rsid w:val="00186345"/>
    <w:rsid w:val="001867ED"/>
    <w:rsid w:val="001873FD"/>
    <w:rsid w:val="001874F9"/>
    <w:rsid w:val="001919B9"/>
    <w:rsid w:val="0019383B"/>
    <w:rsid w:val="00194BD8"/>
    <w:rsid w:val="00196609"/>
    <w:rsid w:val="001970F6"/>
    <w:rsid w:val="001A18E6"/>
    <w:rsid w:val="001A3471"/>
    <w:rsid w:val="001A3D19"/>
    <w:rsid w:val="001A5477"/>
    <w:rsid w:val="001A6203"/>
    <w:rsid w:val="001B0262"/>
    <w:rsid w:val="001B04AC"/>
    <w:rsid w:val="001B0710"/>
    <w:rsid w:val="001B0AB6"/>
    <w:rsid w:val="001B1F7B"/>
    <w:rsid w:val="001B254F"/>
    <w:rsid w:val="001B403D"/>
    <w:rsid w:val="001B442A"/>
    <w:rsid w:val="001B443B"/>
    <w:rsid w:val="001B5B5F"/>
    <w:rsid w:val="001B7524"/>
    <w:rsid w:val="001C0187"/>
    <w:rsid w:val="001C0EF4"/>
    <w:rsid w:val="001C3126"/>
    <w:rsid w:val="001C5C12"/>
    <w:rsid w:val="001C72DB"/>
    <w:rsid w:val="001C76AC"/>
    <w:rsid w:val="001C7B40"/>
    <w:rsid w:val="001D0044"/>
    <w:rsid w:val="001D0383"/>
    <w:rsid w:val="001D0F3E"/>
    <w:rsid w:val="001D42C5"/>
    <w:rsid w:val="001D451E"/>
    <w:rsid w:val="001D47EA"/>
    <w:rsid w:val="001D4D97"/>
    <w:rsid w:val="001D723C"/>
    <w:rsid w:val="001D7ED4"/>
    <w:rsid w:val="001E05C9"/>
    <w:rsid w:val="001E0D4A"/>
    <w:rsid w:val="001E1C17"/>
    <w:rsid w:val="001E323B"/>
    <w:rsid w:val="001E7461"/>
    <w:rsid w:val="001E77D1"/>
    <w:rsid w:val="001F1C71"/>
    <w:rsid w:val="001F1D2D"/>
    <w:rsid w:val="001F292E"/>
    <w:rsid w:val="001F2B0F"/>
    <w:rsid w:val="001F2B4E"/>
    <w:rsid w:val="001F2D1C"/>
    <w:rsid w:val="001F2F5D"/>
    <w:rsid w:val="001F521A"/>
    <w:rsid w:val="001F6887"/>
    <w:rsid w:val="001F6CDA"/>
    <w:rsid w:val="001F71E7"/>
    <w:rsid w:val="00200569"/>
    <w:rsid w:val="00200F2C"/>
    <w:rsid w:val="00201184"/>
    <w:rsid w:val="00201C2B"/>
    <w:rsid w:val="00201C2D"/>
    <w:rsid w:val="0020363D"/>
    <w:rsid w:val="00205387"/>
    <w:rsid w:val="00205B06"/>
    <w:rsid w:val="00206ADD"/>
    <w:rsid w:val="00206CA5"/>
    <w:rsid w:val="00206F6A"/>
    <w:rsid w:val="002103F0"/>
    <w:rsid w:val="0021050F"/>
    <w:rsid w:val="00210708"/>
    <w:rsid w:val="002113BD"/>
    <w:rsid w:val="0021198A"/>
    <w:rsid w:val="00211A28"/>
    <w:rsid w:val="00211B65"/>
    <w:rsid w:val="002132D5"/>
    <w:rsid w:val="0021392F"/>
    <w:rsid w:val="002148F9"/>
    <w:rsid w:val="00214A75"/>
    <w:rsid w:val="00216D0E"/>
    <w:rsid w:val="0022233A"/>
    <w:rsid w:val="00222BAC"/>
    <w:rsid w:val="002231FF"/>
    <w:rsid w:val="0022349D"/>
    <w:rsid w:val="0022352D"/>
    <w:rsid w:val="002242AD"/>
    <w:rsid w:val="002247F1"/>
    <w:rsid w:val="002248AC"/>
    <w:rsid w:val="00225B45"/>
    <w:rsid w:val="00226265"/>
    <w:rsid w:val="002271E9"/>
    <w:rsid w:val="00230EF5"/>
    <w:rsid w:val="0023146E"/>
    <w:rsid w:val="0023162D"/>
    <w:rsid w:val="00231C19"/>
    <w:rsid w:val="00232631"/>
    <w:rsid w:val="00232F88"/>
    <w:rsid w:val="0023382A"/>
    <w:rsid w:val="0023537B"/>
    <w:rsid w:val="00235495"/>
    <w:rsid w:val="00235B24"/>
    <w:rsid w:val="00235C7E"/>
    <w:rsid w:val="00236048"/>
    <w:rsid w:val="002363CD"/>
    <w:rsid w:val="00240079"/>
    <w:rsid w:val="0024168F"/>
    <w:rsid w:val="0024228E"/>
    <w:rsid w:val="00242837"/>
    <w:rsid w:val="002430EA"/>
    <w:rsid w:val="00244044"/>
    <w:rsid w:val="00244200"/>
    <w:rsid w:val="00245DA6"/>
    <w:rsid w:val="002469C7"/>
    <w:rsid w:val="002470FF"/>
    <w:rsid w:val="0024731A"/>
    <w:rsid w:val="00247706"/>
    <w:rsid w:val="00247943"/>
    <w:rsid w:val="0025300B"/>
    <w:rsid w:val="00253EF3"/>
    <w:rsid w:val="00254985"/>
    <w:rsid w:val="00254BD4"/>
    <w:rsid w:val="00256446"/>
    <w:rsid w:val="00256F9C"/>
    <w:rsid w:val="00257BB7"/>
    <w:rsid w:val="00257F9D"/>
    <w:rsid w:val="0026054C"/>
    <w:rsid w:val="0026114F"/>
    <w:rsid w:val="0026115D"/>
    <w:rsid w:val="00261DDE"/>
    <w:rsid w:val="00262163"/>
    <w:rsid w:val="00264CA9"/>
    <w:rsid w:val="002652A1"/>
    <w:rsid w:val="00266118"/>
    <w:rsid w:val="00267123"/>
    <w:rsid w:val="00270872"/>
    <w:rsid w:val="002708E7"/>
    <w:rsid w:val="00273354"/>
    <w:rsid w:val="0027335B"/>
    <w:rsid w:val="002735A8"/>
    <w:rsid w:val="00273656"/>
    <w:rsid w:val="00274334"/>
    <w:rsid w:val="00275429"/>
    <w:rsid w:val="00275E4D"/>
    <w:rsid w:val="00276E5D"/>
    <w:rsid w:val="00277059"/>
    <w:rsid w:val="00277BDA"/>
    <w:rsid w:val="00277E42"/>
    <w:rsid w:val="002805CC"/>
    <w:rsid w:val="00281649"/>
    <w:rsid w:val="0028308F"/>
    <w:rsid w:val="002831D4"/>
    <w:rsid w:val="00283678"/>
    <w:rsid w:val="00284A0C"/>
    <w:rsid w:val="00285195"/>
    <w:rsid w:val="00286782"/>
    <w:rsid w:val="00287064"/>
    <w:rsid w:val="0028745B"/>
    <w:rsid w:val="00287993"/>
    <w:rsid w:val="00287C2C"/>
    <w:rsid w:val="00290F3A"/>
    <w:rsid w:val="0029124F"/>
    <w:rsid w:val="002917B4"/>
    <w:rsid w:val="00293E83"/>
    <w:rsid w:val="00293F65"/>
    <w:rsid w:val="00294803"/>
    <w:rsid w:val="00295463"/>
    <w:rsid w:val="002A1975"/>
    <w:rsid w:val="002A33DA"/>
    <w:rsid w:val="002A4D50"/>
    <w:rsid w:val="002A52C3"/>
    <w:rsid w:val="002A55D2"/>
    <w:rsid w:val="002A7580"/>
    <w:rsid w:val="002A7A0E"/>
    <w:rsid w:val="002A7A4C"/>
    <w:rsid w:val="002A7BA1"/>
    <w:rsid w:val="002B0BF8"/>
    <w:rsid w:val="002B2F56"/>
    <w:rsid w:val="002B41DF"/>
    <w:rsid w:val="002B45B7"/>
    <w:rsid w:val="002B4944"/>
    <w:rsid w:val="002B4AB1"/>
    <w:rsid w:val="002B5CAB"/>
    <w:rsid w:val="002B5FFF"/>
    <w:rsid w:val="002C2417"/>
    <w:rsid w:val="002C34C7"/>
    <w:rsid w:val="002C3F2B"/>
    <w:rsid w:val="002C46FB"/>
    <w:rsid w:val="002C5029"/>
    <w:rsid w:val="002C7D2F"/>
    <w:rsid w:val="002D0DFB"/>
    <w:rsid w:val="002D26FE"/>
    <w:rsid w:val="002D28C6"/>
    <w:rsid w:val="002D28F6"/>
    <w:rsid w:val="002E035B"/>
    <w:rsid w:val="002E104B"/>
    <w:rsid w:val="002E10BC"/>
    <w:rsid w:val="002E1333"/>
    <w:rsid w:val="002E18C0"/>
    <w:rsid w:val="002E18CA"/>
    <w:rsid w:val="002E2101"/>
    <w:rsid w:val="002E21FF"/>
    <w:rsid w:val="002E3D15"/>
    <w:rsid w:val="002E62CB"/>
    <w:rsid w:val="002E6B4A"/>
    <w:rsid w:val="002E7627"/>
    <w:rsid w:val="002F0596"/>
    <w:rsid w:val="002F13C8"/>
    <w:rsid w:val="002F568F"/>
    <w:rsid w:val="002F600B"/>
    <w:rsid w:val="002F629D"/>
    <w:rsid w:val="002F64F6"/>
    <w:rsid w:val="002F6E12"/>
    <w:rsid w:val="002F77DC"/>
    <w:rsid w:val="002F7AF5"/>
    <w:rsid w:val="002F7C5E"/>
    <w:rsid w:val="00300B7E"/>
    <w:rsid w:val="00302E72"/>
    <w:rsid w:val="003032E7"/>
    <w:rsid w:val="00303A7E"/>
    <w:rsid w:val="0030494A"/>
    <w:rsid w:val="00305A2F"/>
    <w:rsid w:val="00306440"/>
    <w:rsid w:val="003069FE"/>
    <w:rsid w:val="00307148"/>
    <w:rsid w:val="00310311"/>
    <w:rsid w:val="003103F8"/>
    <w:rsid w:val="00310DF5"/>
    <w:rsid w:val="003127E4"/>
    <w:rsid w:val="003143E1"/>
    <w:rsid w:val="00317C8F"/>
    <w:rsid w:val="003215FA"/>
    <w:rsid w:val="00322DE3"/>
    <w:rsid w:val="003230F9"/>
    <w:rsid w:val="003236A4"/>
    <w:rsid w:val="00323706"/>
    <w:rsid w:val="003244CB"/>
    <w:rsid w:val="003255D8"/>
    <w:rsid w:val="00325A77"/>
    <w:rsid w:val="003264E7"/>
    <w:rsid w:val="00327F5C"/>
    <w:rsid w:val="00330F5B"/>
    <w:rsid w:val="00331029"/>
    <w:rsid w:val="00331090"/>
    <w:rsid w:val="003310DA"/>
    <w:rsid w:val="00331BBB"/>
    <w:rsid w:val="0033344C"/>
    <w:rsid w:val="00333812"/>
    <w:rsid w:val="003339D0"/>
    <w:rsid w:val="00334FA3"/>
    <w:rsid w:val="003362A7"/>
    <w:rsid w:val="00337155"/>
    <w:rsid w:val="00340A24"/>
    <w:rsid w:val="00341F85"/>
    <w:rsid w:val="00342044"/>
    <w:rsid w:val="00342121"/>
    <w:rsid w:val="0034249D"/>
    <w:rsid w:val="00342E56"/>
    <w:rsid w:val="00343337"/>
    <w:rsid w:val="00343502"/>
    <w:rsid w:val="0034658C"/>
    <w:rsid w:val="00347537"/>
    <w:rsid w:val="003506F0"/>
    <w:rsid w:val="00352528"/>
    <w:rsid w:val="00352935"/>
    <w:rsid w:val="00352E31"/>
    <w:rsid w:val="003538EA"/>
    <w:rsid w:val="0035620D"/>
    <w:rsid w:val="00356B25"/>
    <w:rsid w:val="00356D4C"/>
    <w:rsid w:val="0035704D"/>
    <w:rsid w:val="003622DD"/>
    <w:rsid w:val="0036254D"/>
    <w:rsid w:val="0036264E"/>
    <w:rsid w:val="003627D1"/>
    <w:rsid w:val="00363AEA"/>
    <w:rsid w:val="00363EEF"/>
    <w:rsid w:val="00367695"/>
    <w:rsid w:val="00370096"/>
    <w:rsid w:val="003714A3"/>
    <w:rsid w:val="00372796"/>
    <w:rsid w:val="00373E0E"/>
    <w:rsid w:val="00374D63"/>
    <w:rsid w:val="00374FC1"/>
    <w:rsid w:val="003758F8"/>
    <w:rsid w:val="00376769"/>
    <w:rsid w:val="00376E00"/>
    <w:rsid w:val="00377230"/>
    <w:rsid w:val="003773C0"/>
    <w:rsid w:val="003777C8"/>
    <w:rsid w:val="003807E1"/>
    <w:rsid w:val="00381AE3"/>
    <w:rsid w:val="00381B27"/>
    <w:rsid w:val="00382625"/>
    <w:rsid w:val="00384612"/>
    <w:rsid w:val="0038519B"/>
    <w:rsid w:val="003857C2"/>
    <w:rsid w:val="00387456"/>
    <w:rsid w:val="003913AD"/>
    <w:rsid w:val="00391F2E"/>
    <w:rsid w:val="0039273B"/>
    <w:rsid w:val="00393C62"/>
    <w:rsid w:val="00393F9E"/>
    <w:rsid w:val="00394494"/>
    <w:rsid w:val="003945CD"/>
    <w:rsid w:val="00394A58"/>
    <w:rsid w:val="003A0398"/>
    <w:rsid w:val="003A1920"/>
    <w:rsid w:val="003A2198"/>
    <w:rsid w:val="003A3707"/>
    <w:rsid w:val="003A375D"/>
    <w:rsid w:val="003A4F61"/>
    <w:rsid w:val="003A57EE"/>
    <w:rsid w:val="003A5E2C"/>
    <w:rsid w:val="003A5ED9"/>
    <w:rsid w:val="003B05D9"/>
    <w:rsid w:val="003B0DBD"/>
    <w:rsid w:val="003B2ACC"/>
    <w:rsid w:val="003B6462"/>
    <w:rsid w:val="003B79AD"/>
    <w:rsid w:val="003C0E23"/>
    <w:rsid w:val="003C2976"/>
    <w:rsid w:val="003C306E"/>
    <w:rsid w:val="003C6114"/>
    <w:rsid w:val="003C655D"/>
    <w:rsid w:val="003C6E8F"/>
    <w:rsid w:val="003D00D7"/>
    <w:rsid w:val="003D0E25"/>
    <w:rsid w:val="003D23DD"/>
    <w:rsid w:val="003D2568"/>
    <w:rsid w:val="003D4A22"/>
    <w:rsid w:val="003E1CD3"/>
    <w:rsid w:val="003E3653"/>
    <w:rsid w:val="003E43BA"/>
    <w:rsid w:val="003E451A"/>
    <w:rsid w:val="003E45A2"/>
    <w:rsid w:val="003E4740"/>
    <w:rsid w:val="003E5572"/>
    <w:rsid w:val="003E58FD"/>
    <w:rsid w:val="003E6021"/>
    <w:rsid w:val="003E6247"/>
    <w:rsid w:val="003E72CD"/>
    <w:rsid w:val="003E7364"/>
    <w:rsid w:val="003F1350"/>
    <w:rsid w:val="003F300E"/>
    <w:rsid w:val="003F363C"/>
    <w:rsid w:val="003F6B85"/>
    <w:rsid w:val="003F6BD6"/>
    <w:rsid w:val="003F6E11"/>
    <w:rsid w:val="003F7E7C"/>
    <w:rsid w:val="00400665"/>
    <w:rsid w:val="00400A31"/>
    <w:rsid w:val="00402363"/>
    <w:rsid w:val="0040246B"/>
    <w:rsid w:val="004029FF"/>
    <w:rsid w:val="00403398"/>
    <w:rsid w:val="00405853"/>
    <w:rsid w:val="004068EB"/>
    <w:rsid w:val="00406CB5"/>
    <w:rsid w:val="00410CA2"/>
    <w:rsid w:val="00410CA5"/>
    <w:rsid w:val="00410FC5"/>
    <w:rsid w:val="004111B7"/>
    <w:rsid w:val="00412B8E"/>
    <w:rsid w:val="00413E37"/>
    <w:rsid w:val="00413F22"/>
    <w:rsid w:val="00414C9A"/>
    <w:rsid w:val="004152E1"/>
    <w:rsid w:val="00416D27"/>
    <w:rsid w:val="00420FA5"/>
    <w:rsid w:val="004211CA"/>
    <w:rsid w:val="00422F8C"/>
    <w:rsid w:val="0042315D"/>
    <w:rsid w:val="00423621"/>
    <w:rsid w:val="004239A8"/>
    <w:rsid w:val="0042472D"/>
    <w:rsid w:val="004248E2"/>
    <w:rsid w:val="0042533F"/>
    <w:rsid w:val="00425978"/>
    <w:rsid w:val="00425EA7"/>
    <w:rsid w:val="00426B98"/>
    <w:rsid w:val="00427576"/>
    <w:rsid w:val="00431724"/>
    <w:rsid w:val="00431EBA"/>
    <w:rsid w:val="00432B04"/>
    <w:rsid w:val="00432FD4"/>
    <w:rsid w:val="004337A3"/>
    <w:rsid w:val="0043389D"/>
    <w:rsid w:val="00433CD1"/>
    <w:rsid w:val="004340DF"/>
    <w:rsid w:val="0043512D"/>
    <w:rsid w:val="00435AB8"/>
    <w:rsid w:val="00441162"/>
    <w:rsid w:val="00441CD0"/>
    <w:rsid w:val="0044257A"/>
    <w:rsid w:val="004431F0"/>
    <w:rsid w:val="00443F67"/>
    <w:rsid w:val="00445642"/>
    <w:rsid w:val="0044662D"/>
    <w:rsid w:val="00446FB4"/>
    <w:rsid w:val="00450662"/>
    <w:rsid w:val="0045311A"/>
    <w:rsid w:val="00454C7D"/>
    <w:rsid w:val="00461D2A"/>
    <w:rsid w:val="00464531"/>
    <w:rsid w:val="00464F9F"/>
    <w:rsid w:val="004667BC"/>
    <w:rsid w:val="00470004"/>
    <w:rsid w:val="0047052E"/>
    <w:rsid w:val="00470D57"/>
    <w:rsid w:val="004728A1"/>
    <w:rsid w:val="004738A4"/>
    <w:rsid w:val="00473DE1"/>
    <w:rsid w:val="00474DAF"/>
    <w:rsid w:val="00477825"/>
    <w:rsid w:val="00477C2E"/>
    <w:rsid w:val="004804E8"/>
    <w:rsid w:val="00480F7E"/>
    <w:rsid w:val="00482CD6"/>
    <w:rsid w:val="004834E6"/>
    <w:rsid w:val="00483AA6"/>
    <w:rsid w:val="00485DA7"/>
    <w:rsid w:val="00486C8E"/>
    <w:rsid w:val="00487660"/>
    <w:rsid w:val="00487BDB"/>
    <w:rsid w:val="00490980"/>
    <w:rsid w:val="00492A80"/>
    <w:rsid w:val="004948D0"/>
    <w:rsid w:val="0049542F"/>
    <w:rsid w:val="004A0532"/>
    <w:rsid w:val="004A0B46"/>
    <w:rsid w:val="004A1CD7"/>
    <w:rsid w:val="004A3A4E"/>
    <w:rsid w:val="004A3C5C"/>
    <w:rsid w:val="004A62B0"/>
    <w:rsid w:val="004B07C0"/>
    <w:rsid w:val="004B1006"/>
    <w:rsid w:val="004B1363"/>
    <w:rsid w:val="004B1B36"/>
    <w:rsid w:val="004B73F7"/>
    <w:rsid w:val="004C0799"/>
    <w:rsid w:val="004C15A4"/>
    <w:rsid w:val="004C26C4"/>
    <w:rsid w:val="004C4337"/>
    <w:rsid w:val="004C476D"/>
    <w:rsid w:val="004C5EBE"/>
    <w:rsid w:val="004C65C3"/>
    <w:rsid w:val="004D0E06"/>
    <w:rsid w:val="004D10F2"/>
    <w:rsid w:val="004D1F4A"/>
    <w:rsid w:val="004D2B2D"/>
    <w:rsid w:val="004D5AB2"/>
    <w:rsid w:val="004D5CDC"/>
    <w:rsid w:val="004D7DE1"/>
    <w:rsid w:val="004E0217"/>
    <w:rsid w:val="004E06AB"/>
    <w:rsid w:val="004E1863"/>
    <w:rsid w:val="004E1E71"/>
    <w:rsid w:val="004E4E2F"/>
    <w:rsid w:val="004E6987"/>
    <w:rsid w:val="004F16C3"/>
    <w:rsid w:val="004F2786"/>
    <w:rsid w:val="004F3D01"/>
    <w:rsid w:val="004F3F82"/>
    <w:rsid w:val="004F4146"/>
    <w:rsid w:val="004F4261"/>
    <w:rsid w:val="004F4AA1"/>
    <w:rsid w:val="004F546C"/>
    <w:rsid w:val="004F629B"/>
    <w:rsid w:val="004F7C1A"/>
    <w:rsid w:val="0050190D"/>
    <w:rsid w:val="005024A3"/>
    <w:rsid w:val="00502E26"/>
    <w:rsid w:val="00504A18"/>
    <w:rsid w:val="0050613A"/>
    <w:rsid w:val="005069B4"/>
    <w:rsid w:val="00506A92"/>
    <w:rsid w:val="005128F0"/>
    <w:rsid w:val="0051365D"/>
    <w:rsid w:val="00514A85"/>
    <w:rsid w:val="00514C6C"/>
    <w:rsid w:val="0051513C"/>
    <w:rsid w:val="005170DF"/>
    <w:rsid w:val="00517356"/>
    <w:rsid w:val="0051780A"/>
    <w:rsid w:val="00517D2A"/>
    <w:rsid w:val="00520866"/>
    <w:rsid w:val="00521363"/>
    <w:rsid w:val="005217B7"/>
    <w:rsid w:val="00521875"/>
    <w:rsid w:val="005218FD"/>
    <w:rsid w:val="00522BEC"/>
    <w:rsid w:val="00523395"/>
    <w:rsid w:val="00523541"/>
    <w:rsid w:val="00523554"/>
    <w:rsid w:val="005241E6"/>
    <w:rsid w:val="00530007"/>
    <w:rsid w:val="00530181"/>
    <w:rsid w:val="0053021A"/>
    <w:rsid w:val="00530ABC"/>
    <w:rsid w:val="00530D90"/>
    <w:rsid w:val="00530E8E"/>
    <w:rsid w:val="00530E90"/>
    <w:rsid w:val="00531532"/>
    <w:rsid w:val="00531A23"/>
    <w:rsid w:val="00531B05"/>
    <w:rsid w:val="00531D71"/>
    <w:rsid w:val="005359D7"/>
    <w:rsid w:val="00536096"/>
    <w:rsid w:val="0053663D"/>
    <w:rsid w:val="00537104"/>
    <w:rsid w:val="005405C0"/>
    <w:rsid w:val="00540A99"/>
    <w:rsid w:val="005413B3"/>
    <w:rsid w:val="00541EB2"/>
    <w:rsid w:val="005435F5"/>
    <w:rsid w:val="005446AA"/>
    <w:rsid w:val="005448F5"/>
    <w:rsid w:val="00544BAA"/>
    <w:rsid w:val="00544D2A"/>
    <w:rsid w:val="005450E2"/>
    <w:rsid w:val="00545724"/>
    <w:rsid w:val="0054575B"/>
    <w:rsid w:val="005459B3"/>
    <w:rsid w:val="0054646D"/>
    <w:rsid w:val="0054679E"/>
    <w:rsid w:val="00547394"/>
    <w:rsid w:val="0054760F"/>
    <w:rsid w:val="0054768B"/>
    <w:rsid w:val="00551F98"/>
    <w:rsid w:val="005537B0"/>
    <w:rsid w:val="0055538E"/>
    <w:rsid w:val="00560533"/>
    <w:rsid w:val="005626B2"/>
    <w:rsid w:val="00562EDE"/>
    <w:rsid w:val="0056414E"/>
    <w:rsid w:val="00566B9D"/>
    <w:rsid w:val="00567FAC"/>
    <w:rsid w:val="005703D8"/>
    <w:rsid w:val="005704E9"/>
    <w:rsid w:val="00571378"/>
    <w:rsid w:val="00571822"/>
    <w:rsid w:val="00571F9E"/>
    <w:rsid w:val="005733DC"/>
    <w:rsid w:val="005742B9"/>
    <w:rsid w:val="005755FB"/>
    <w:rsid w:val="00576149"/>
    <w:rsid w:val="005768B2"/>
    <w:rsid w:val="00577716"/>
    <w:rsid w:val="00580EDB"/>
    <w:rsid w:val="00581345"/>
    <w:rsid w:val="00582149"/>
    <w:rsid w:val="00582749"/>
    <w:rsid w:val="00583F3F"/>
    <w:rsid w:val="005840D8"/>
    <w:rsid w:val="005841BD"/>
    <w:rsid w:val="00584648"/>
    <w:rsid w:val="005859A5"/>
    <w:rsid w:val="00586071"/>
    <w:rsid w:val="00586404"/>
    <w:rsid w:val="0059053A"/>
    <w:rsid w:val="00592565"/>
    <w:rsid w:val="00592A5C"/>
    <w:rsid w:val="00593B34"/>
    <w:rsid w:val="00596438"/>
    <w:rsid w:val="00596A6B"/>
    <w:rsid w:val="00596B82"/>
    <w:rsid w:val="00597962"/>
    <w:rsid w:val="005A135B"/>
    <w:rsid w:val="005A2347"/>
    <w:rsid w:val="005A2355"/>
    <w:rsid w:val="005A2532"/>
    <w:rsid w:val="005A7B71"/>
    <w:rsid w:val="005B1AF0"/>
    <w:rsid w:val="005B4A47"/>
    <w:rsid w:val="005B507A"/>
    <w:rsid w:val="005B59B6"/>
    <w:rsid w:val="005B5BAE"/>
    <w:rsid w:val="005B6DFF"/>
    <w:rsid w:val="005C16C0"/>
    <w:rsid w:val="005C2443"/>
    <w:rsid w:val="005C26B2"/>
    <w:rsid w:val="005C2B7E"/>
    <w:rsid w:val="005C41D2"/>
    <w:rsid w:val="005C4E1F"/>
    <w:rsid w:val="005C50D0"/>
    <w:rsid w:val="005C54F8"/>
    <w:rsid w:val="005C6953"/>
    <w:rsid w:val="005C6F4B"/>
    <w:rsid w:val="005C7762"/>
    <w:rsid w:val="005D1618"/>
    <w:rsid w:val="005D17B5"/>
    <w:rsid w:val="005D191D"/>
    <w:rsid w:val="005D3A77"/>
    <w:rsid w:val="005D3C9C"/>
    <w:rsid w:val="005D65AF"/>
    <w:rsid w:val="005D6E99"/>
    <w:rsid w:val="005D6EC6"/>
    <w:rsid w:val="005E176B"/>
    <w:rsid w:val="005E1B48"/>
    <w:rsid w:val="005E2D74"/>
    <w:rsid w:val="005E305B"/>
    <w:rsid w:val="005E3BFB"/>
    <w:rsid w:val="005E4F15"/>
    <w:rsid w:val="005E5158"/>
    <w:rsid w:val="005E5602"/>
    <w:rsid w:val="005E5A4F"/>
    <w:rsid w:val="005E624B"/>
    <w:rsid w:val="005F0090"/>
    <w:rsid w:val="005F06D2"/>
    <w:rsid w:val="005F08E0"/>
    <w:rsid w:val="005F1437"/>
    <w:rsid w:val="005F2A2B"/>
    <w:rsid w:val="005F3CB1"/>
    <w:rsid w:val="005F41F5"/>
    <w:rsid w:val="005F45CE"/>
    <w:rsid w:val="005F52F7"/>
    <w:rsid w:val="005F5425"/>
    <w:rsid w:val="005F6DF6"/>
    <w:rsid w:val="005F795B"/>
    <w:rsid w:val="006034D3"/>
    <w:rsid w:val="006035CD"/>
    <w:rsid w:val="00604505"/>
    <w:rsid w:val="00606E20"/>
    <w:rsid w:val="00611C17"/>
    <w:rsid w:val="00613555"/>
    <w:rsid w:val="00613E6D"/>
    <w:rsid w:val="006142A0"/>
    <w:rsid w:val="006160CC"/>
    <w:rsid w:val="00616284"/>
    <w:rsid w:val="00617A50"/>
    <w:rsid w:val="006219C0"/>
    <w:rsid w:val="00622D9E"/>
    <w:rsid w:val="00624241"/>
    <w:rsid w:val="0062459B"/>
    <w:rsid w:val="006264C1"/>
    <w:rsid w:val="0062717C"/>
    <w:rsid w:val="00631473"/>
    <w:rsid w:val="00632810"/>
    <w:rsid w:val="00633CDC"/>
    <w:rsid w:val="0063482A"/>
    <w:rsid w:val="00634B56"/>
    <w:rsid w:val="00635969"/>
    <w:rsid w:val="00636A16"/>
    <w:rsid w:val="00636D31"/>
    <w:rsid w:val="00640D32"/>
    <w:rsid w:val="00641535"/>
    <w:rsid w:val="0064210F"/>
    <w:rsid w:val="00642E48"/>
    <w:rsid w:val="00643335"/>
    <w:rsid w:val="00643B40"/>
    <w:rsid w:val="00646713"/>
    <w:rsid w:val="00647C86"/>
    <w:rsid w:val="00651CD8"/>
    <w:rsid w:val="006539BA"/>
    <w:rsid w:val="00656077"/>
    <w:rsid w:val="00657258"/>
    <w:rsid w:val="00657DEE"/>
    <w:rsid w:val="00660F02"/>
    <w:rsid w:val="006619EB"/>
    <w:rsid w:val="006624A5"/>
    <w:rsid w:val="00662999"/>
    <w:rsid w:val="0066385E"/>
    <w:rsid w:val="00664768"/>
    <w:rsid w:val="00665DFC"/>
    <w:rsid w:val="0066648F"/>
    <w:rsid w:val="0067038F"/>
    <w:rsid w:val="006709F2"/>
    <w:rsid w:val="006724FF"/>
    <w:rsid w:val="00672751"/>
    <w:rsid w:val="00673C58"/>
    <w:rsid w:val="00673E8B"/>
    <w:rsid w:val="00674D11"/>
    <w:rsid w:val="00677B74"/>
    <w:rsid w:val="00681401"/>
    <w:rsid w:val="00681521"/>
    <w:rsid w:val="00681FC2"/>
    <w:rsid w:val="0068236F"/>
    <w:rsid w:val="006833B5"/>
    <w:rsid w:val="00683CFF"/>
    <w:rsid w:val="0068436C"/>
    <w:rsid w:val="006846FA"/>
    <w:rsid w:val="00685283"/>
    <w:rsid w:val="006853C3"/>
    <w:rsid w:val="0068546E"/>
    <w:rsid w:val="00686661"/>
    <w:rsid w:val="00686FCF"/>
    <w:rsid w:val="00687012"/>
    <w:rsid w:val="0068701F"/>
    <w:rsid w:val="00687D1F"/>
    <w:rsid w:val="006901CC"/>
    <w:rsid w:val="006909C3"/>
    <w:rsid w:val="00691BA5"/>
    <w:rsid w:val="00693335"/>
    <w:rsid w:val="00695964"/>
    <w:rsid w:val="00696085"/>
    <w:rsid w:val="0069662B"/>
    <w:rsid w:val="006969D8"/>
    <w:rsid w:val="00697D24"/>
    <w:rsid w:val="006A1100"/>
    <w:rsid w:val="006A14AF"/>
    <w:rsid w:val="006A6856"/>
    <w:rsid w:val="006B2CCD"/>
    <w:rsid w:val="006B4A73"/>
    <w:rsid w:val="006B6644"/>
    <w:rsid w:val="006C0869"/>
    <w:rsid w:val="006C0E65"/>
    <w:rsid w:val="006C10D9"/>
    <w:rsid w:val="006C15DB"/>
    <w:rsid w:val="006C2240"/>
    <w:rsid w:val="006C2241"/>
    <w:rsid w:val="006C2990"/>
    <w:rsid w:val="006C29F9"/>
    <w:rsid w:val="006C3C7A"/>
    <w:rsid w:val="006C3E41"/>
    <w:rsid w:val="006C597F"/>
    <w:rsid w:val="006C5A50"/>
    <w:rsid w:val="006C671A"/>
    <w:rsid w:val="006C6A60"/>
    <w:rsid w:val="006C6E0C"/>
    <w:rsid w:val="006C74E8"/>
    <w:rsid w:val="006C7FA0"/>
    <w:rsid w:val="006D1787"/>
    <w:rsid w:val="006D4542"/>
    <w:rsid w:val="006D5D56"/>
    <w:rsid w:val="006D69E8"/>
    <w:rsid w:val="006E0955"/>
    <w:rsid w:val="006E14D8"/>
    <w:rsid w:val="006E1B61"/>
    <w:rsid w:val="006E47C2"/>
    <w:rsid w:val="006E5890"/>
    <w:rsid w:val="006E6F1B"/>
    <w:rsid w:val="006F048A"/>
    <w:rsid w:val="006F0EB4"/>
    <w:rsid w:val="006F1862"/>
    <w:rsid w:val="006F1F37"/>
    <w:rsid w:val="006F415C"/>
    <w:rsid w:val="006F557C"/>
    <w:rsid w:val="006F5685"/>
    <w:rsid w:val="006F5E74"/>
    <w:rsid w:val="006F63C0"/>
    <w:rsid w:val="006F6683"/>
    <w:rsid w:val="007012BD"/>
    <w:rsid w:val="007014FC"/>
    <w:rsid w:val="00703B98"/>
    <w:rsid w:val="00703C29"/>
    <w:rsid w:val="0070793B"/>
    <w:rsid w:val="00707A0B"/>
    <w:rsid w:val="00711549"/>
    <w:rsid w:val="00711D5D"/>
    <w:rsid w:val="00712640"/>
    <w:rsid w:val="00712B5E"/>
    <w:rsid w:val="00713EDB"/>
    <w:rsid w:val="0071560C"/>
    <w:rsid w:val="0071634C"/>
    <w:rsid w:val="00716780"/>
    <w:rsid w:val="007168F1"/>
    <w:rsid w:val="00717572"/>
    <w:rsid w:val="007210C5"/>
    <w:rsid w:val="00724412"/>
    <w:rsid w:val="0072493A"/>
    <w:rsid w:val="007262C1"/>
    <w:rsid w:val="007270ED"/>
    <w:rsid w:val="00727490"/>
    <w:rsid w:val="00727677"/>
    <w:rsid w:val="00727CD4"/>
    <w:rsid w:val="0073046A"/>
    <w:rsid w:val="00731BA9"/>
    <w:rsid w:val="0073243E"/>
    <w:rsid w:val="007325D7"/>
    <w:rsid w:val="0073279D"/>
    <w:rsid w:val="00733133"/>
    <w:rsid w:val="0073339C"/>
    <w:rsid w:val="00734458"/>
    <w:rsid w:val="00734C09"/>
    <w:rsid w:val="007358D2"/>
    <w:rsid w:val="00735F1A"/>
    <w:rsid w:val="00735F2B"/>
    <w:rsid w:val="007378BB"/>
    <w:rsid w:val="00741720"/>
    <w:rsid w:val="00743496"/>
    <w:rsid w:val="00743DA4"/>
    <w:rsid w:val="00744FB7"/>
    <w:rsid w:val="00745466"/>
    <w:rsid w:val="00745FC6"/>
    <w:rsid w:val="007461B1"/>
    <w:rsid w:val="0075017A"/>
    <w:rsid w:val="00752B56"/>
    <w:rsid w:val="007552E4"/>
    <w:rsid w:val="00755E33"/>
    <w:rsid w:val="00756704"/>
    <w:rsid w:val="00761743"/>
    <w:rsid w:val="00761A11"/>
    <w:rsid w:val="00761FB9"/>
    <w:rsid w:val="00762968"/>
    <w:rsid w:val="00762AA6"/>
    <w:rsid w:val="00763824"/>
    <w:rsid w:val="007649BF"/>
    <w:rsid w:val="00765339"/>
    <w:rsid w:val="00765576"/>
    <w:rsid w:val="007663C7"/>
    <w:rsid w:val="0076711B"/>
    <w:rsid w:val="00770590"/>
    <w:rsid w:val="00770C12"/>
    <w:rsid w:val="00770ED8"/>
    <w:rsid w:val="00774859"/>
    <w:rsid w:val="00774964"/>
    <w:rsid w:val="00774D77"/>
    <w:rsid w:val="00775076"/>
    <w:rsid w:val="00775E12"/>
    <w:rsid w:val="007766F7"/>
    <w:rsid w:val="00776B74"/>
    <w:rsid w:val="00777E64"/>
    <w:rsid w:val="0078045B"/>
    <w:rsid w:val="007805F0"/>
    <w:rsid w:val="007808B8"/>
    <w:rsid w:val="00780E12"/>
    <w:rsid w:val="00782A13"/>
    <w:rsid w:val="00783897"/>
    <w:rsid w:val="00783C35"/>
    <w:rsid w:val="00785E18"/>
    <w:rsid w:val="0078625A"/>
    <w:rsid w:val="007863B0"/>
    <w:rsid w:val="0078666F"/>
    <w:rsid w:val="0078708B"/>
    <w:rsid w:val="007876D1"/>
    <w:rsid w:val="0078784C"/>
    <w:rsid w:val="00791AF0"/>
    <w:rsid w:val="00792F7A"/>
    <w:rsid w:val="0079449C"/>
    <w:rsid w:val="007958A1"/>
    <w:rsid w:val="0079592E"/>
    <w:rsid w:val="00796606"/>
    <w:rsid w:val="00796ED6"/>
    <w:rsid w:val="00797B6A"/>
    <w:rsid w:val="007A08E3"/>
    <w:rsid w:val="007A0914"/>
    <w:rsid w:val="007A12EF"/>
    <w:rsid w:val="007A2219"/>
    <w:rsid w:val="007A2DAA"/>
    <w:rsid w:val="007A3CB2"/>
    <w:rsid w:val="007A4B26"/>
    <w:rsid w:val="007A5279"/>
    <w:rsid w:val="007A5E92"/>
    <w:rsid w:val="007A745C"/>
    <w:rsid w:val="007A7DB5"/>
    <w:rsid w:val="007B142F"/>
    <w:rsid w:val="007B16A0"/>
    <w:rsid w:val="007B1C77"/>
    <w:rsid w:val="007B3338"/>
    <w:rsid w:val="007B5A5B"/>
    <w:rsid w:val="007B5ECA"/>
    <w:rsid w:val="007B6F3D"/>
    <w:rsid w:val="007C01CA"/>
    <w:rsid w:val="007C0226"/>
    <w:rsid w:val="007C0C12"/>
    <w:rsid w:val="007C0F61"/>
    <w:rsid w:val="007C1956"/>
    <w:rsid w:val="007C1D77"/>
    <w:rsid w:val="007C2A0C"/>
    <w:rsid w:val="007C3110"/>
    <w:rsid w:val="007C3B14"/>
    <w:rsid w:val="007C3E2C"/>
    <w:rsid w:val="007C5503"/>
    <w:rsid w:val="007C596C"/>
    <w:rsid w:val="007C6A16"/>
    <w:rsid w:val="007C7DE4"/>
    <w:rsid w:val="007D03AF"/>
    <w:rsid w:val="007D12B0"/>
    <w:rsid w:val="007D136F"/>
    <w:rsid w:val="007D189C"/>
    <w:rsid w:val="007D4C54"/>
    <w:rsid w:val="007D6A85"/>
    <w:rsid w:val="007D6AA8"/>
    <w:rsid w:val="007D6B08"/>
    <w:rsid w:val="007E085E"/>
    <w:rsid w:val="007E1BA6"/>
    <w:rsid w:val="007E2505"/>
    <w:rsid w:val="007E2699"/>
    <w:rsid w:val="007E36DB"/>
    <w:rsid w:val="007E36EE"/>
    <w:rsid w:val="007E563D"/>
    <w:rsid w:val="007E6863"/>
    <w:rsid w:val="007E7B46"/>
    <w:rsid w:val="007F00CB"/>
    <w:rsid w:val="007F081D"/>
    <w:rsid w:val="007F0FA7"/>
    <w:rsid w:val="007F215C"/>
    <w:rsid w:val="007F569E"/>
    <w:rsid w:val="007F5F69"/>
    <w:rsid w:val="007F60C2"/>
    <w:rsid w:val="007F61A1"/>
    <w:rsid w:val="007F636F"/>
    <w:rsid w:val="007F695F"/>
    <w:rsid w:val="007F76E0"/>
    <w:rsid w:val="007F7947"/>
    <w:rsid w:val="00800772"/>
    <w:rsid w:val="00800F63"/>
    <w:rsid w:val="00803779"/>
    <w:rsid w:val="008054EF"/>
    <w:rsid w:val="008067B2"/>
    <w:rsid w:val="008067FE"/>
    <w:rsid w:val="00806BBD"/>
    <w:rsid w:val="0080786C"/>
    <w:rsid w:val="00810D2C"/>
    <w:rsid w:val="00811E5F"/>
    <w:rsid w:val="00812DCF"/>
    <w:rsid w:val="00813462"/>
    <w:rsid w:val="00813D1C"/>
    <w:rsid w:val="00813F8C"/>
    <w:rsid w:val="00815648"/>
    <w:rsid w:val="008156B7"/>
    <w:rsid w:val="008156FC"/>
    <w:rsid w:val="00815928"/>
    <w:rsid w:val="0081617B"/>
    <w:rsid w:val="008171D5"/>
    <w:rsid w:val="0081747A"/>
    <w:rsid w:val="00820227"/>
    <w:rsid w:val="008211D7"/>
    <w:rsid w:val="0082321F"/>
    <w:rsid w:val="0082326B"/>
    <w:rsid w:val="00823C69"/>
    <w:rsid w:val="00825C55"/>
    <w:rsid w:val="00826D97"/>
    <w:rsid w:val="00831381"/>
    <w:rsid w:val="008315A1"/>
    <w:rsid w:val="00831B2B"/>
    <w:rsid w:val="00832250"/>
    <w:rsid w:val="0083227F"/>
    <w:rsid w:val="008329ED"/>
    <w:rsid w:val="00833083"/>
    <w:rsid w:val="008342E9"/>
    <w:rsid w:val="00834E17"/>
    <w:rsid w:val="00836723"/>
    <w:rsid w:val="00836834"/>
    <w:rsid w:val="008376FE"/>
    <w:rsid w:val="00837CC0"/>
    <w:rsid w:val="00841463"/>
    <w:rsid w:val="0084193B"/>
    <w:rsid w:val="00841A15"/>
    <w:rsid w:val="00841E27"/>
    <w:rsid w:val="008420F4"/>
    <w:rsid w:val="008425EB"/>
    <w:rsid w:val="00842D4E"/>
    <w:rsid w:val="00842D93"/>
    <w:rsid w:val="008431C6"/>
    <w:rsid w:val="00847574"/>
    <w:rsid w:val="00850C67"/>
    <w:rsid w:val="0085288C"/>
    <w:rsid w:val="00852A72"/>
    <w:rsid w:val="00852C53"/>
    <w:rsid w:val="00853155"/>
    <w:rsid w:val="0085460A"/>
    <w:rsid w:val="008557A6"/>
    <w:rsid w:val="00856250"/>
    <w:rsid w:val="00856428"/>
    <w:rsid w:val="00856EF4"/>
    <w:rsid w:val="008611F3"/>
    <w:rsid w:val="00863463"/>
    <w:rsid w:val="00863A20"/>
    <w:rsid w:val="00864047"/>
    <w:rsid w:val="00864136"/>
    <w:rsid w:val="00865944"/>
    <w:rsid w:val="00867107"/>
    <w:rsid w:val="0086788D"/>
    <w:rsid w:val="00867BBF"/>
    <w:rsid w:val="00867E36"/>
    <w:rsid w:val="00870944"/>
    <w:rsid w:val="00872D4D"/>
    <w:rsid w:val="008739CD"/>
    <w:rsid w:val="00874F46"/>
    <w:rsid w:val="008761AE"/>
    <w:rsid w:val="00876349"/>
    <w:rsid w:val="00876C12"/>
    <w:rsid w:val="00877133"/>
    <w:rsid w:val="0087745F"/>
    <w:rsid w:val="00880ACE"/>
    <w:rsid w:val="00881E7E"/>
    <w:rsid w:val="00882A1B"/>
    <w:rsid w:val="00883363"/>
    <w:rsid w:val="00887015"/>
    <w:rsid w:val="00887FDA"/>
    <w:rsid w:val="00890631"/>
    <w:rsid w:val="00893280"/>
    <w:rsid w:val="00897FC9"/>
    <w:rsid w:val="008A00DF"/>
    <w:rsid w:val="008A1DBF"/>
    <w:rsid w:val="008A2A43"/>
    <w:rsid w:val="008A4683"/>
    <w:rsid w:val="008A49FA"/>
    <w:rsid w:val="008A4A75"/>
    <w:rsid w:val="008A5FD2"/>
    <w:rsid w:val="008A67D8"/>
    <w:rsid w:val="008A68BF"/>
    <w:rsid w:val="008A71E1"/>
    <w:rsid w:val="008B038E"/>
    <w:rsid w:val="008B042E"/>
    <w:rsid w:val="008B1097"/>
    <w:rsid w:val="008B39AC"/>
    <w:rsid w:val="008B3D4F"/>
    <w:rsid w:val="008B5995"/>
    <w:rsid w:val="008B5AAC"/>
    <w:rsid w:val="008B7F67"/>
    <w:rsid w:val="008C0877"/>
    <w:rsid w:val="008C0C0F"/>
    <w:rsid w:val="008C25F6"/>
    <w:rsid w:val="008C28BE"/>
    <w:rsid w:val="008C68E4"/>
    <w:rsid w:val="008C6B1E"/>
    <w:rsid w:val="008C6E66"/>
    <w:rsid w:val="008D0037"/>
    <w:rsid w:val="008D10F2"/>
    <w:rsid w:val="008D113A"/>
    <w:rsid w:val="008D238F"/>
    <w:rsid w:val="008D3AC3"/>
    <w:rsid w:val="008D3C4B"/>
    <w:rsid w:val="008D5432"/>
    <w:rsid w:val="008D5519"/>
    <w:rsid w:val="008D60EC"/>
    <w:rsid w:val="008D6788"/>
    <w:rsid w:val="008D67A9"/>
    <w:rsid w:val="008D7E6D"/>
    <w:rsid w:val="008D7EA3"/>
    <w:rsid w:val="008E016B"/>
    <w:rsid w:val="008E08F4"/>
    <w:rsid w:val="008E1F5D"/>
    <w:rsid w:val="008E211D"/>
    <w:rsid w:val="008E3F28"/>
    <w:rsid w:val="008E41AC"/>
    <w:rsid w:val="008E4991"/>
    <w:rsid w:val="008E599B"/>
    <w:rsid w:val="008E6C3D"/>
    <w:rsid w:val="008E6E46"/>
    <w:rsid w:val="008E77DE"/>
    <w:rsid w:val="008E7908"/>
    <w:rsid w:val="008F298C"/>
    <w:rsid w:val="008F2A7E"/>
    <w:rsid w:val="008F2F09"/>
    <w:rsid w:val="008F453D"/>
    <w:rsid w:val="008F57D4"/>
    <w:rsid w:val="00901401"/>
    <w:rsid w:val="00903522"/>
    <w:rsid w:val="00903D74"/>
    <w:rsid w:val="00905137"/>
    <w:rsid w:val="00906EBE"/>
    <w:rsid w:val="009074A6"/>
    <w:rsid w:val="009112CA"/>
    <w:rsid w:val="009122DA"/>
    <w:rsid w:val="00912853"/>
    <w:rsid w:val="00912B38"/>
    <w:rsid w:val="00913928"/>
    <w:rsid w:val="00913B5A"/>
    <w:rsid w:val="009148AA"/>
    <w:rsid w:val="00915445"/>
    <w:rsid w:val="00920A89"/>
    <w:rsid w:val="00921F46"/>
    <w:rsid w:val="00922A5A"/>
    <w:rsid w:val="009235FB"/>
    <w:rsid w:val="009238C0"/>
    <w:rsid w:val="00924075"/>
    <w:rsid w:val="00925798"/>
    <w:rsid w:val="009266BB"/>
    <w:rsid w:val="00926ABC"/>
    <w:rsid w:val="00926BDE"/>
    <w:rsid w:val="00930761"/>
    <w:rsid w:val="00930BBB"/>
    <w:rsid w:val="00931EB0"/>
    <w:rsid w:val="0093216F"/>
    <w:rsid w:val="009322B4"/>
    <w:rsid w:val="00934999"/>
    <w:rsid w:val="0093550A"/>
    <w:rsid w:val="009376A9"/>
    <w:rsid w:val="00940596"/>
    <w:rsid w:val="00941270"/>
    <w:rsid w:val="0094212E"/>
    <w:rsid w:val="00942402"/>
    <w:rsid w:val="009426A1"/>
    <w:rsid w:val="009434E4"/>
    <w:rsid w:val="009435FD"/>
    <w:rsid w:val="00943AA5"/>
    <w:rsid w:val="00943EB3"/>
    <w:rsid w:val="00945585"/>
    <w:rsid w:val="00945FA3"/>
    <w:rsid w:val="00946E9D"/>
    <w:rsid w:val="00947130"/>
    <w:rsid w:val="00950DE4"/>
    <w:rsid w:val="0095364C"/>
    <w:rsid w:val="00955506"/>
    <w:rsid w:val="00955A18"/>
    <w:rsid w:val="0095602A"/>
    <w:rsid w:val="00961241"/>
    <w:rsid w:val="00961E22"/>
    <w:rsid w:val="009625B1"/>
    <w:rsid w:val="0096414E"/>
    <w:rsid w:val="009653B6"/>
    <w:rsid w:val="00965929"/>
    <w:rsid w:val="00965F12"/>
    <w:rsid w:val="009664D1"/>
    <w:rsid w:val="00967353"/>
    <w:rsid w:val="00967674"/>
    <w:rsid w:val="00967A30"/>
    <w:rsid w:val="00970734"/>
    <w:rsid w:val="0097091B"/>
    <w:rsid w:val="00971153"/>
    <w:rsid w:val="00971CF6"/>
    <w:rsid w:val="00972001"/>
    <w:rsid w:val="00972201"/>
    <w:rsid w:val="009726B1"/>
    <w:rsid w:val="0097496A"/>
    <w:rsid w:val="00976799"/>
    <w:rsid w:val="0097744A"/>
    <w:rsid w:val="0098174E"/>
    <w:rsid w:val="00981DD8"/>
    <w:rsid w:val="00982098"/>
    <w:rsid w:val="009840C4"/>
    <w:rsid w:val="00985E23"/>
    <w:rsid w:val="009875C6"/>
    <w:rsid w:val="00990E7D"/>
    <w:rsid w:val="00992496"/>
    <w:rsid w:val="009925A8"/>
    <w:rsid w:val="00992C54"/>
    <w:rsid w:val="00993F5C"/>
    <w:rsid w:val="00994BD0"/>
    <w:rsid w:val="009967BF"/>
    <w:rsid w:val="00996D15"/>
    <w:rsid w:val="009A0645"/>
    <w:rsid w:val="009A15BB"/>
    <w:rsid w:val="009A427A"/>
    <w:rsid w:val="009A79A5"/>
    <w:rsid w:val="009B0988"/>
    <w:rsid w:val="009B22EA"/>
    <w:rsid w:val="009B2D3F"/>
    <w:rsid w:val="009B2E62"/>
    <w:rsid w:val="009B3647"/>
    <w:rsid w:val="009B4141"/>
    <w:rsid w:val="009B584B"/>
    <w:rsid w:val="009B5AE3"/>
    <w:rsid w:val="009B6A7F"/>
    <w:rsid w:val="009C18B4"/>
    <w:rsid w:val="009C347F"/>
    <w:rsid w:val="009C3BC4"/>
    <w:rsid w:val="009C3E59"/>
    <w:rsid w:val="009C47FB"/>
    <w:rsid w:val="009C4AF5"/>
    <w:rsid w:val="009C5E82"/>
    <w:rsid w:val="009C64C9"/>
    <w:rsid w:val="009C663D"/>
    <w:rsid w:val="009D0514"/>
    <w:rsid w:val="009D1977"/>
    <w:rsid w:val="009D5C8C"/>
    <w:rsid w:val="009D682B"/>
    <w:rsid w:val="009D7FCB"/>
    <w:rsid w:val="009E0697"/>
    <w:rsid w:val="009E3A3F"/>
    <w:rsid w:val="009E4073"/>
    <w:rsid w:val="009E4A5F"/>
    <w:rsid w:val="009E72B7"/>
    <w:rsid w:val="009F0CDE"/>
    <w:rsid w:val="009F1E97"/>
    <w:rsid w:val="009F2642"/>
    <w:rsid w:val="009F528E"/>
    <w:rsid w:val="009F567A"/>
    <w:rsid w:val="009F5848"/>
    <w:rsid w:val="009F5C40"/>
    <w:rsid w:val="009F5DF1"/>
    <w:rsid w:val="009F617F"/>
    <w:rsid w:val="009F631F"/>
    <w:rsid w:val="009F7420"/>
    <w:rsid w:val="009F7A63"/>
    <w:rsid w:val="00A033C8"/>
    <w:rsid w:val="00A037BE"/>
    <w:rsid w:val="00A04564"/>
    <w:rsid w:val="00A04F5A"/>
    <w:rsid w:val="00A070CD"/>
    <w:rsid w:val="00A07287"/>
    <w:rsid w:val="00A10782"/>
    <w:rsid w:val="00A10C8D"/>
    <w:rsid w:val="00A13EDE"/>
    <w:rsid w:val="00A140CA"/>
    <w:rsid w:val="00A14731"/>
    <w:rsid w:val="00A150B5"/>
    <w:rsid w:val="00A158D8"/>
    <w:rsid w:val="00A15C4C"/>
    <w:rsid w:val="00A16101"/>
    <w:rsid w:val="00A16390"/>
    <w:rsid w:val="00A16529"/>
    <w:rsid w:val="00A179A9"/>
    <w:rsid w:val="00A2107D"/>
    <w:rsid w:val="00A21E38"/>
    <w:rsid w:val="00A21FB7"/>
    <w:rsid w:val="00A2271A"/>
    <w:rsid w:val="00A23618"/>
    <w:rsid w:val="00A24493"/>
    <w:rsid w:val="00A25797"/>
    <w:rsid w:val="00A2690C"/>
    <w:rsid w:val="00A2726C"/>
    <w:rsid w:val="00A279DE"/>
    <w:rsid w:val="00A31569"/>
    <w:rsid w:val="00A33386"/>
    <w:rsid w:val="00A3388D"/>
    <w:rsid w:val="00A35018"/>
    <w:rsid w:val="00A36EB3"/>
    <w:rsid w:val="00A40127"/>
    <w:rsid w:val="00A413AE"/>
    <w:rsid w:val="00A42FB3"/>
    <w:rsid w:val="00A42FB4"/>
    <w:rsid w:val="00A43A6C"/>
    <w:rsid w:val="00A43D78"/>
    <w:rsid w:val="00A44FDB"/>
    <w:rsid w:val="00A452F9"/>
    <w:rsid w:val="00A46F7E"/>
    <w:rsid w:val="00A47527"/>
    <w:rsid w:val="00A50727"/>
    <w:rsid w:val="00A51031"/>
    <w:rsid w:val="00A52122"/>
    <w:rsid w:val="00A52190"/>
    <w:rsid w:val="00A523F5"/>
    <w:rsid w:val="00A53666"/>
    <w:rsid w:val="00A561E9"/>
    <w:rsid w:val="00A57520"/>
    <w:rsid w:val="00A60033"/>
    <w:rsid w:val="00A60703"/>
    <w:rsid w:val="00A60CF7"/>
    <w:rsid w:val="00A63DE0"/>
    <w:rsid w:val="00A649A6"/>
    <w:rsid w:val="00A658AE"/>
    <w:rsid w:val="00A65B14"/>
    <w:rsid w:val="00A72708"/>
    <w:rsid w:val="00A7501F"/>
    <w:rsid w:val="00A76EDA"/>
    <w:rsid w:val="00A7710F"/>
    <w:rsid w:val="00A77D22"/>
    <w:rsid w:val="00A80753"/>
    <w:rsid w:val="00A810AF"/>
    <w:rsid w:val="00A82C23"/>
    <w:rsid w:val="00A83059"/>
    <w:rsid w:val="00A83554"/>
    <w:rsid w:val="00A83C9E"/>
    <w:rsid w:val="00A83E7B"/>
    <w:rsid w:val="00A84A55"/>
    <w:rsid w:val="00A84D67"/>
    <w:rsid w:val="00A86BDB"/>
    <w:rsid w:val="00A914B0"/>
    <w:rsid w:val="00A9195F"/>
    <w:rsid w:val="00A91B8C"/>
    <w:rsid w:val="00A93FBA"/>
    <w:rsid w:val="00A940FC"/>
    <w:rsid w:val="00A94591"/>
    <w:rsid w:val="00A94C2D"/>
    <w:rsid w:val="00AA020C"/>
    <w:rsid w:val="00AA206C"/>
    <w:rsid w:val="00AA2DD4"/>
    <w:rsid w:val="00AA32C2"/>
    <w:rsid w:val="00AA41E8"/>
    <w:rsid w:val="00AA58DD"/>
    <w:rsid w:val="00AA6D9E"/>
    <w:rsid w:val="00AA70FC"/>
    <w:rsid w:val="00AA7A0E"/>
    <w:rsid w:val="00AB2E48"/>
    <w:rsid w:val="00AB345C"/>
    <w:rsid w:val="00AB63FF"/>
    <w:rsid w:val="00AB66C8"/>
    <w:rsid w:val="00AC059A"/>
    <w:rsid w:val="00AC430E"/>
    <w:rsid w:val="00AC4427"/>
    <w:rsid w:val="00AC6740"/>
    <w:rsid w:val="00AC6E54"/>
    <w:rsid w:val="00AC70A4"/>
    <w:rsid w:val="00AD0EBE"/>
    <w:rsid w:val="00AD1364"/>
    <w:rsid w:val="00AD1BE3"/>
    <w:rsid w:val="00AD1BFD"/>
    <w:rsid w:val="00AD1DAC"/>
    <w:rsid w:val="00AD2425"/>
    <w:rsid w:val="00AD31B9"/>
    <w:rsid w:val="00AD4B8F"/>
    <w:rsid w:val="00AD4C2A"/>
    <w:rsid w:val="00AD4D86"/>
    <w:rsid w:val="00AD6EC0"/>
    <w:rsid w:val="00AE1ACB"/>
    <w:rsid w:val="00AE205B"/>
    <w:rsid w:val="00AE371E"/>
    <w:rsid w:val="00AE5750"/>
    <w:rsid w:val="00AE5D80"/>
    <w:rsid w:val="00AE6950"/>
    <w:rsid w:val="00AE714F"/>
    <w:rsid w:val="00AF1714"/>
    <w:rsid w:val="00AF29ED"/>
    <w:rsid w:val="00AF39C3"/>
    <w:rsid w:val="00AF4397"/>
    <w:rsid w:val="00AF46C6"/>
    <w:rsid w:val="00AF52EC"/>
    <w:rsid w:val="00B00599"/>
    <w:rsid w:val="00B006A0"/>
    <w:rsid w:val="00B02D35"/>
    <w:rsid w:val="00B03D60"/>
    <w:rsid w:val="00B05E6D"/>
    <w:rsid w:val="00B05F75"/>
    <w:rsid w:val="00B06FF0"/>
    <w:rsid w:val="00B07BAA"/>
    <w:rsid w:val="00B11E4F"/>
    <w:rsid w:val="00B128B5"/>
    <w:rsid w:val="00B12E0B"/>
    <w:rsid w:val="00B135F9"/>
    <w:rsid w:val="00B13D1D"/>
    <w:rsid w:val="00B1607C"/>
    <w:rsid w:val="00B166FD"/>
    <w:rsid w:val="00B16955"/>
    <w:rsid w:val="00B16A5D"/>
    <w:rsid w:val="00B173EC"/>
    <w:rsid w:val="00B17BAE"/>
    <w:rsid w:val="00B20579"/>
    <w:rsid w:val="00B2101B"/>
    <w:rsid w:val="00B219D6"/>
    <w:rsid w:val="00B2203D"/>
    <w:rsid w:val="00B227D6"/>
    <w:rsid w:val="00B2381E"/>
    <w:rsid w:val="00B254D6"/>
    <w:rsid w:val="00B25869"/>
    <w:rsid w:val="00B27681"/>
    <w:rsid w:val="00B3174D"/>
    <w:rsid w:val="00B32389"/>
    <w:rsid w:val="00B33784"/>
    <w:rsid w:val="00B34872"/>
    <w:rsid w:val="00B34A40"/>
    <w:rsid w:val="00B351A0"/>
    <w:rsid w:val="00B356F5"/>
    <w:rsid w:val="00B35DA9"/>
    <w:rsid w:val="00B41AC4"/>
    <w:rsid w:val="00B42F21"/>
    <w:rsid w:val="00B45B50"/>
    <w:rsid w:val="00B46D3D"/>
    <w:rsid w:val="00B476BC"/>
    <w:rsid w:val="00B47978"/>
    <w:rsid w:val="00B52701"/>
    <w:rsid w:val="00B527CE"/>
    <w:rsid w:val="00B5292E"/>
    <w:rsid w:val="00B5306A"/>
    <w:rsid w:val="00B5335D"/>
    <w:rsid w:val="00B53804"/>
    <w:rsid w:val="00B548F5"/>
    <w:rsid w:val="00B5691D"/>
    <w:rsid w:val="00B56D01"/>
    <w:rsid w:val="00B571EF"/>
    <w:rsid w:val="00B57FDE"/>
    <w:rsid w:val="00B6007F"/>
    <w:rsid w:val="00B60554"/>
    <w:rsid w:val="00B609DE"/>
    <w:rsid w:val="00B61586"/>
    <w:rsid w:val="00B61BA9"/>
    <w:rsid w:val="00B61CB6"/>
    <w:rsid w:val="00B63A54"/>
    <w:rsid w:val="00B646FB"/>
    <w:rsid w:val="00B64AF8"/>
    <w:rsid w:val="00B651CC"/>
    <w:rsid w:val="00B65BBB"/>
    <w:rsid w:val="00B66F15"/>
    <w:rsid w:val="00B70983"/>
    <w:rsid w:val="00B71360"/>
    <w:rsid w:val="00B71961"/>
    <w:rsid w:val="00B71C3E"/>
    <w:rsid w:val="00B72450"/>
    <w:rsid w:val="00B739F3"/>
    <w:rsid w:val="00B74028"/>
    <w:rsid w:val="00B750BB"/>
    <w:rsid w:val="00B75431"/>
    <w:rsid w:val="00B769E5"/>
    <w:rsid w:val="00B76AF2"/>
    <w:rsid w:val="00B7733A"/>
    <w:rsid w:val="00B8025E"/>
    <w:rsid w:val="00B80402"/>
    <w:rsid w:val="00B80D2C"/>
    <w:rsid w:val="00B8115D"/>
    <w:rsid w:val="00B823DF"/>
    <w:rsid w:val="00B83F39"/>
    <w:rsid w:val="00B8455D"/>
    <w:rsid w:val="00B867E5"/>
    <w:rsid w:val="00B86E9C"/>
    <w:rsid w:val="00B876D7"/>
    <w:rsid w:val="00B87F28"/>
    <w:rsid w:val="00B93043"/>
    <w:rsid w:val="00B93B0B"/>
    <w:rsid w:val="00B93D80"/>
    <w:rsid w:val="00B95711"/>
    <w:rsid w:val="00B958B8"/>
    <w:rsid w:val="00B979C8"/>
    <w:rsid w:val="00B97EA7"/>
    <w:rsid w:val="00BA0583"/>
    <w:rsid w:val="00BA15F4"/>
    <w:rsid w:val="00BA2248"/>
    <w:rsid w:val="00BA235B"/>
    <w:rsid w:val="00BA2657"/>
    <w:rsid w:val="00BA3C41"/>
    <w:rsid w:val="00BA3C63"/>
    <w:rsid w:val="00BA4104"/>
    <w:rsid w:val="00BA517E"/>
    <w:rsid w:val="00BB00EC"/>
    <w:rsid w:val="00BB1596"/>
    <w:rsid w:val="00BB2378"/>
    <w:rsid w:val="00BB2D50"/>
    <w:rsid w:val="00BB2FB4"/>
    <w:rsid w:val="00BB3341"/>
    <w:rsid w:val="00BB33FC"/>
    <w:rsid w:val="00BB34A2"/>
    <w:rsid w:val="00BB5230"/>
    <w:rsid w:val="00BB5848"/>
    <w:rsid w:val="00BB5CD0"/>
    <w:rsid w:val="00BC0DF7"/>
    <w:rsid w:val="00BC152E"/>
    <w:rsid w:val="00BC1981"/>
    <w:rsid w:val="00BC3B6C"/>
    <w:rsid w:val="00BC4030"/>
    <w:rsid w:val="00BC49D0"/>
    <w:rsid w:val="00BC4C3A"/>
    <w:rsid w:val="00BC5824"/>
    <w:rsid w:val="00BC7325"/>
    <w:rsid w:val="00BC7B31"/>
    <w:rsid w:val="00BD0454"/>
    <w:rsid w:val="00BD091A"/>
    <w:rsid w:val="00BD0A1A"/>
    <w:rsid w:val="00BD183A"/>
    <w:rsid w:val="00BD1CE2"/>
    <w:rsid w:val="00BD4FC5"/>
    <w:rsid w:val="00BD57D1"/>
    <w:rsid w:val="00BD6544"/>
    <w:rsid w:val="00BD6797"/>
    <w:rsid w:val="00BD6EB8"/>
    <w:rsid w:val="00BD78A6"/>
    <w:rsid w:val="00BD79F6"/>
    <w:rsid w:val="00BE0E4C"/>
    <w:rsid w:val="00BE1CEE"/>
    <w:rsid w:val="00BE2071"/>
    <w:rsid w:val="00BE2F6E"/>
    <w:rsid w:val="00BE4251"/>
    <w:rsid w:val="00BE5005"/>
    <w:rsid w:val="00BE51E1"/>
    <w:rsid w:val="00BE58D8"/>
    <w:rsid w:val="00BE7881"/>
    <w:rsid w:val="00BE7D20"/>
    <w:rsid w:val="00BF0480"/>
    <w:rsid w:val="00BF0DC5"/>
    <w:rsid w:val="00BF14CB"/>
    <w:rsid w:val="00BF2D70"/>
    <w:rsid w:val="00BF343A"/>
    <w:rsid w:val="00BF3B2E"/>
    <w:rsid w:val="00BF63EB"/>
    <w:rsid w:val="00BF69A4"/>
    <w:rsid w:val="00BF6A8E"/>
    <w:rsid w:val="00C0041C"/>
    <w:rsid w:val="00C01FA6"/>
    <w:rsid w:val="00C02D31"/>
    <w:rsid w:val="00C03BCC"/>
    <w:rsid w:val="00C07E6B"/>
    <w:rsid w:val="00C07EF7"/>
    <w:rsid w:val="00C10A54"/>
    <w:rsid w:val="00C11F11"/>
    <w:rsid w:val="00C124CE"/>
    <w:rsid w:val="00C1359F"/>
    <w:rsid w:val="00C13F93"/>
    <w:rsid w:val="00C151BD"/>
    <w:rsid w:val="00C1649E"/>
    <w:rsid w:val="00C17786"/>
    <w:rsid w:val="00C17925"/>
    <w:rsid w:val="00C17C25"/>
    <w:rsid w:val="00C20341"/>
    <w:rsid w:val="00C20E63"/>
    <w:rsid w:val="00C21259"/>
    <w:rsid w:val="00C21B23"/>
    <w:rsid w:val="00C2224F"/>
    <w:rsid w:val="00C232E2"/>
    <w:rsid w:val="00C234BB"/>
    <w:rsid w:val="00C235CD"/>
    <w:rsid w:val="00C24C1A"/>
    <w:rsid w:val="00C255F7"/>
    <w:rsid w:val="00C26C45"/>
    <w:rsid w:val="00C279CB"/>
    <w:rsid w:val="00C31A22"/>
    <w:rsid w:val="00C3254F"/>
    <w:rsid w:val="00C33913"/>
    <w:rsid w:val="00C339DD"/>
    <w:rsid w:val="00C33CD9"/>
    <w:rsid w:val="00C344DD"/>
    <w:rsid w:val="00C36D1D"/>
    <w:rsid w:val="00C37772"/>
    <w:rsid w:val="00C37E68"/>
    <w:rsid w:val="00C42E63"/>
    <w:rsid w:val="00C44035"/>
    <w:rsid w:val="00C441D3"/>
    <w:rsid w:val="00C44D3B"/>
    <w:rsid w:val="00C44E12"/>
    <w:rsid w:val="00C4503F"/>
    <w:rsid w:val="00C46287"/>
    <w:rsid w:val="00C476DE"/>
    <w:rsid w:val="00C47C20"/>
    <w:rsid w:val="00C47D9C"/>
    <w:rsid w:val="00C52078"/>
    <w:rsid w:val="00C55650"/>
    <w:rsid w:val="00C55A83"/>
    <w:rsid w:val="00C5697C"/>
    <w:rsid w:val="00C57F78"/>
    <w:rsid w:val="00C605C2"/>
    <w:rsid w:val="00C606EF"/>
    <w:rsid w:val="00C6089D"/>
    <w:rsid w:val="00C6170D"/>
    <w:rsid w:val="00C61CA6"/>
    <w:rsid w:val="00C62F21"/>
    <w:rsid w:val="00C63F63"/>
    <w:rsid w:val="00C641F3"/>
    <w:rsid w:val="00C6603B"/>
    <w:rsid w:val="00C6616E"/>
    <w:rsid w:val="00C731BD"/>
    <w:rsid w:val="00C7523C"/>
    <w:rsid w:val="00C75915"/>
    <w:rsid w:val="00C774DE"/>
    <w:rsid w:val="00C77DC2"/>
    <w:rsid w:val="00C80AB8"/>
    <w:rsid w:val="00C81748"/>
    <w:rsid w:val="00C8187D"/>
    <w:rsid w:val="00C82E7B"/>
    <w:rsid w:val="00C832CE"/>
    <w:rsid w:val="00C837F4"/>
    <w:rsid w:val="00C83ABC"/>
    <w:rsid w:val="00C8555F"/>
    <w:rsid w:val="00C8589C"/>
    <w:rsid w:val="00C85AA2"/>
    <w:rsid w:val="00C85F23"/>
    <w:rsid w:val="00C861B6"/>
    <w:rsid w:val="00C90EE7"/>
    <w:rsid w:val="00C932C4"/>
    <w:rsid w:val="00C93839"/>
    <w:rsid w:val="00C93AFE"/>
    <w:rsid w:val="00C944E6"/>
    <w:rsid w:val="00C9468C"/>
    <w:rsid w:val="00C95FDE"/>
    <w:rsid w:val="00C97D7A"/>
    <w:rsid w:val="00CA04DC"/>
    <w:rsid w:val="00CA0CCA"/>
    <w:rsid w:val="00CA1437"/>
    <w:rsid w:val="00CA16A9"/>
    <w:rsid w:val="00CA2525"/>
    <w:rsid w:val="00CA2A36"/>
    <w:rsid w:val="00CA3971"/>
    <w:rsid w:val="00CA40B2"/>
    <w:rsid w:val="00CA45E2"/>
    <w:rsid w:val="00CA4D1E"/>
    <w:rsid w:val="00CA586F"/>
    <w:rsid w:val="00CA6122"/>
    <w:rsid w:val="00CA7F25"/>
    <w:rsid w:val="00CB1315"/>
    <w:rsid w:val="00CB19BB"/>
    <w:rsid w:val="00CB1A94"/>
    <w:rsid w:val="00CB2917"/>
    <w:rsid w:val="00CB6709"/>
    <w:rsid w:val="00CC02F7"/>
    <w:rsid w:val="00CC3C5F"/>
    <w:rsid w:val="00CC3DD5"/>
    <w:rsid w:val="00CC43D0"/>
    <w:rsid w:val="00CC43EE"/>
    <w:rsid w:val="00CC59A8"/>
    <w:rsid w:val="00CC6945"/>
    <w:rsid w:val="00CC6CBF"/>
    <w:rsid w:val="00CD0818"/>
    <w:rsid w:val="00CD2759"/>
    <w:rsid w:val="00CD45F0"/>
    <w:rsid w:val="00CD6842"/>
    <w:rsid w:val="00CD6B1D"/>
    <w:rsid w:val="00CE1555"/>
    <w:rsid w:val="00CE1A34"/>
    <w:rsid w:val="00CE2B84"/>
    <w:rsid w:val="00CE3DE4"/>
    <w:rsid w:val="00CE5058"/>
    <w:rsid w:val="00CE6FB2"/>
    <w:rsid w:val="00CF0754"/>
    <w:rsid w:val="00CF2550"/>
    <w:rsid w:val="00CF5517"/>
    <w:rsid w:val="00CF57AA"/>
    <w:rsid w:val="00CF6427"/>
    <w:rsid w:val="00CF66F6"/>
    <w:rsid w:val="00CF6C79"/>
    <w:rsid w:val="00CF6ECC"/>
    <w:rsid w:val="00CF704B"/>
    <w:rsid w:val="00CF7B45"/>
    <w:rsid w:val="00D00E1F"/>
    <w:rsid w:val="00D010A7"/>
    <w:rsid w:val="00D03002"/>
    <w:rsid w:val="00D041F2"/>
    <w:rsid w:val="00D04617"/>
    <w:rsid w:val="00D04E13"/>
    <w:rsid w:val="00D05088"/>
    <w:rsid w:val="00D05141"/>
    <w:rsid w:val="00D05748"/>
    <w:rsid w:val="00D06503"/>
    <w:rsid w:val="00D07390"/>
    <w:rsid w:val="00D07682"/>
    <w:rsid w:val="00D10602"/>
    <w:rsid w:val="00D11AFD"/>
    <w:rsid w:val="00D11CBF"/>
    <w:rsid w:val="00D1263B"/>
    <w:rsid w:val="00D13E0F"/>
    <w:rsid w:val="00D1581B"/>
    <w:rsid w:val="00D16147"/>
    <w:rsid w:val="00D16825"/>
    <w:rsid w:val="00D16E83"/>
    <w:rsid w:val="00D16FAA"/>
    <w:rsid w:val="00D17563"/>
    <w:rsid w:val="00D20159"/>
    <w:rsid w:val="00D20F2F"/>
    <w:rsid w:val="00D2136F"/>
    <w:rsid w:val="00D243DA"/>
    <w:rsid w:val="00D24799"/>
    <w:rsid w:val="00D26ABC"/>
    <w:rsid w:val="00D278DD"/>
    <w:rsid w:val="00D27983"/>
    <w:rsid w:val="00D31CE4"/>
    <w:rsid w:val="00D32CC2"/>
    <w:rsid w:val="00D33239"/>
    <w:rsid w:val="00D35A92"/>
    <w:rsid w:val="00D360AF"/>
    <w:rsid w:val="00D37D4F"/>
    <w:rsid w:val="00D41273"/>
    <w:rsid w:val="00D41879"/>
    <w:rsid w:val="00D42816"/>
    <w:rsid w:val="00D42B66"/>
    <w:rsid w:val="00D42F43"/>
    <w:rsid w:val="00D4325C"/>
    <w:rsid w:val="00D44046"/>
    <w:rsid w:val="00D44317"/>
    <w:rsid w:val="00D44874"/>
    <w:rsid w:val="00D44F62"/>
    <w:rsid w:val="00D45A70"/>
    <w:rsid w:val="00D467FB"/>
    <w:rsid w:val="00D47759"/>
    <w:rsid w:val="00D503D6"/>
    <w:rsid w:val="00D52CB9"/>
    <w:rsid w:val="00D533C6"/>
    <w:rsid w:val="00D55511"/>
    <w:rsid w:val="00D62EDB"/>
    <w:rsid w:val="00D65D8A"/>
    <w:rsid w:val="00D6755A"/>
    <w:rsid w:val="00D67845"/>
    <w:rsid w:val="00D70F53"/>
    <w:rsid w:val="00D805B0"/>
    <w:rsid w:val="00D83530"/>
    <w:rsid w:val="00D837F3"/>
    <w:rsid w:val="00D844D8"/>
    <w:rsid w:val="00D86081"/>
    <w:rsid w:val="00D86878"/>
    <w:rsid w:val="00D878BD"/>
    <w:rsid w:val="00D92034"/>
    <w:rsid w:val="00D92A24"/>
    <w:rsid w:val="00D92E25"/>
    <w:rsid w:val="00D9342F"/>
    <w:rsid w:val="00D94157"/>
    <w:rsid w:val="00D95F61"/>
    <w:rsid w:val="00DA17C9"/>
    <w:rsid w:val="00DA30A8"/>
    <w:rsid w:val="00DA4034"/>
    <w:rsid w:val="00DA467D"/>
    <w:rsid w:val="00DA4AD3"/>
    <w:rsid w:val="00DA4DF2"/>
    <w:rsid w:val="00DA4F6E"/>
    <w:rsid w:val="00DA56BA"/>
    <w:rsid w:val="00DA79D6"/>
    <w:rsid w:val="00DB164A"/>
    <w:rsid w:val="00DB2913"/>
    <w:rsid w:val="00DB5C89"/>
    <w:rsid w:val="00DB5EDB"/>
    <w:rsid w:val="00DB620A"/>
    <w:rsid w:val="00DB6231"/>
    <w:rsid w:val="00DB635C"/>
    <w:rsid w:val="00DB6BE3"/>
    <w:rsid w:val="00DC0DF6"/>
    <w:rsid w:val="00DC1960"/>
    <w:rsid w:val="00DC1BF4"/>
    <w:rsid w:val="00DC3A52"/>
    <w:rsid w:val="00DC6432"/>
    <w:rsid w:val="00DC64D3"/>
    <w:rsid w:val="00DC65C1"/>
    <w:rsid w:val="00DC6A79"/>
    <w:rsid w:val="00DC762D"/>
    <w:rsid w:val="00DC7B3D"/>
    <w:rsid w:val="00DD1689"/>
    <w:rsid w:val="00DD3311"/>
    <w:rsid w:val="00DD3897"/>
    <w:rsid w:val="00DD46FA"/>
    <w:rsid w:val="00DD5399"/>
    <w:rsid w:val="00DD6057"/>
    <w:rsid w:val="00DD6656"/>
    <w:rsid w:val="00DE1290"/>
    <w:rsid w:val="00DE2983"/>
    <w:rsid w:val="00DE2E26"/>
    <w:rsid w:val="00DE4C8A"/>
    <w:rsid w:val="00DE5B7E"/>
    <w:rsid w:val="00DE658D"/>
    <w:rsid w:val="00DE6BF8"/>
    <w:rsid w:val="00DE6F1B"/>
    <w:rsid w:val="00DE7079"/>
    <w:rsid w:val="00DF3396"/>
    <w:rsid w:val="00DF3AF8"/>
    <w:rsid w:val="00DF5811"/>
    <w:rsid w:val="00DF6630"/>
    <w:rsid w:val="00DF741C"/>
    <w:rsid w:val="00E008BB"/>
    <w:rsid w:val="00E0120F"/>
    <w:rsid w:val="00E0156D"/>
    <w:rsid w:val="00E016FD"/>
    <w:rsid w:val="00E01799"/>
    <w:rsid w:val="00E01D65"/>
    <w:rsid w:val="00E022B3"/>
    <w:rsid w:val="00E03330"/>
    <w:rsid w:val="00E10242"/>
    <w:rsid w:val="00E1044F"/>
    <w:rsid w:val="00E12E4D"/>
    <w:rsid w:val="00E1322F"/>
    <w:rsid w:val="00E14CCF"/>
    <w:rsid w:val="00E14D48"/>
    <w:rsid w:val="00E15986"/>
    <w:rsid w:val="00E1654F"/>
    <w:rsid w:val="00E17CC8"/>
    <w:rsid w:val="00E20FAA"/>
    <w:rsid w:val="00E22EDE"/>
    <w:rsid w:val="00E245B8"/>
    <w:rsid w:val="00E2534A"/>
    <w:rsid w:val="00E2541E"/>
    <w:rsid w:val="00E32CB0"/>
    <w:rsid w:val="00E33B6E"/>
    <w:rsid w:val="00E33B76"/>
    <w:rsid w:val="00E34A2D"/>
    <w:rsid w:val="00E354BB"/>
    <w:rsid w:val="00E359C2"/>
    <w:rsid w:val="00E367DF"/>
    <w:rsid w:val="00E36921"/>
    <w:rsid w:val="00E36C39"/>
    <w:rsid w:val="00E3701F"/>
    <w:rsid w:val="00E37498"/>
    <w:rsid w:val="00E378CD"/>
    <w:rsid w:val="00E406EC"/>
    <w:rsid w:val="00E4173D"/>
    <w:rsid w:val="00E426A6"/>
    <w:rsid w:val="00E4410E"/>
    <w:rsid w:val="00E44EC0"/>
    <w:rsid w:val="00E5040A"/>
    <w:rsid w:val="00E50B3C"/>
    <w:rsid w:val="00E50FB9"/>
    <w:rsid w:val="00E517A7"/>
    <w:rsid w:val="00E52F07"/>
    <w:rsid w:val="00E52F73"/>
    <w:rsid w:val="00E56141"/>
    <w:rsid w:val="00E5634D"/>
    <w:rsid w:val="00E574A2"/>
    <w:rsid w:val="00E618F6"/>
    <w:rsid w:val="00E61BCF"/>
    <w:rsid w:val="00E61DCD"/>
    <w:rsid w:val="00E633F4"/>
    <w:rsid w:val="00E63418"/>
    <w:rsid w:val="00E63627"/>
    <w:rsid w:val="00E649AA"/>
    <w:rsid w:val="00E6508D"/>
    <w:rsid w:val="00E65227"/>
    <w:rsid w:val="00E65485"/>
    <w:rsid w:val="00E65617"/>
    <w:rsid w:val="00E66337"/>
    <w:rsid w:val="00E67EAF"/>
    <w:rsid w:val="00E67F16"/>
    <w:rsid w:val="00E715BA"/>
    <w:rsid w:val="00E71697"/>
    <w:rsid w:val="00E719F3"/>
    <w:rsid w:val="00E72367"/>
    <w:rsid w:val="00E72581"/>
    <w:rsid w:val="00E72E6A"/>
    <w:rsid w:val="00E731E8"/>
    <w:rsid w:val="00E745F5"/>
    <w:rsid w:val="00E74649"/>
    <w:rsid w:val="00E76C9C"/>
    <w:rsid w:val="00E7775F"/>
    <w:rsid w:val="00E778A5"/>
    <w:rsid w:val="00E77C1F"/>
    <w:rsid w:val="00E77C8D"/>
    <w:rsid w:val="00E822B2"/>
    <w:rsid w:val="00E82BE7"/>
    <w:rsid w:val="00E82CDA"/>
    <w:rsid w:val="00E844A2"/>
    <w:rsid w:val="00E849AC"/>
    <w:rsid w:val="00E85445"/>
    <w:rsid w:val="00E85A5E"/>
    <w:rsid w:val="00E87E86"/>
    <w:rsid w:val="00E90C0C"/>
    <w:rsid w:val="00E93DFE"/>
    <w:rsid w:val="00E941CB"/>
    <w:rsid w:val="00E963B6"/>
    <w:rsid w:val="00E97252"/>
    <w:rsid w:val="00EA01DE"/>
    <w:rsid w:val="00EA16C3"/>
    <w:rsid w:val="00EA1800"/>
    <w:rsid w:val="00EA1C4F"/>
    <w:rsid w:val="00EA2627"/>
    <w:rsid w:val="00EA275B"/>
    <w:rsid w:val="00EA2A82"/>
    <w:rsid w:val="00EA2C0F"/>
    <w:rsid w:val="00EA3087"/>
    <w:rsid w:val="00EA6E35"/>
    <w:rsid w:val="00EA73ED"/>
    <w:rsid w:val="00EB0746"/>
    <w:rsid w:val="00EB1D06"/>
    <w:rsid w:val="00EB2D30"/>
    <w:rsid w:val="00EB2D78"/>
    <w:rsid w:val="00EB2E26"/>
    <w:rsid w:val="00EB356F"/>
    <w:rsid w:val="00EB492E"/>
    <w:rsid w:val="00EB69DC"/>
    <w:rsid w:val="00EB75EE"/>
    <w:rsid w:val="00EC0E60"/>
    <w:rsid w:val="00EC2756"/>
    <w:rsid w:val="00EC3BBF"/>
    <w:rsid w:val="00EC4252"/>
    <w:rsid w:val="00EC5243"/>
    <w:rsid w:val="00EC55A5"/>
    <w:rsid w:val="00EC6205"/>
    <w:rsid w:val="00EC6EB0"/>
    <w:rsid w:val="00ED0BAC"/>
    <w:rsid w:val="00ED12EC"/>
    <w:rsid w:val="00ED2319"/>
    <w:rsid w:val="00ED2FB0"/>
    <w:rsid w:val="00ED4667"/>
    <w:rsid w:val="00ED6D43"/>
    <w:rsid w:val="00ED7C22"/>
    <w:rsid w:val="00EE129D"/>
    <w:rsid w:val="00EE1B62"/>
    <w:rsid w:val="00EE2A46"/>
    <w:rsid w:val="00EE2F82"/>
    <w:rsid w:val="00EE550B"/>
    <w:rsid w:val="00EE5E89"/>
    <w:rsid w:val="00EE61D4"/>
    <w:rsid w:val="00EE6872"/>
    <w:rsid w:val="00EE703C"/>
    <w:rsid w:val="00EE785E"/>
    <w:rsid w:val="00EE7D09"/>
    <w:rsid w:val="00EE7D3B"/>
    <w:rsid w:val="00EF0959"/>
    <w:rsid w:val="00EF2570"/>
    <w:rsid w:val="00EF4836"/>
    <w:rsid w:val="00EF68A6"/>
    <w:rsid w:val="00EF6B9C"/>
    <w:rsid w:val="00EF6DBF"/>
    <w:rsid w:val="00F004A9"/>
    <w:rsid w:val="00F00F4B"/>
    <w:rsid w:val="00F011FE"/>
    <w:rsid w:val="00F04504"/>
    <w:rsid w:val="00F04A5A"/>
    <w:rsid w:val="00F055B1"/>
    <w:rsid w:val="00F05A1E"/>
    <w:rsid w:val="00F0633C"/>
    <w:rsid w:val="00F067BD"/>
    <w:rsid w:val="00F07B8E"/>
    <w:rsid w:val="00F10401"/>
    <w:rsid w:val="00F10A41"/>
    <w:rsid w:val="00F10E8E"/>
    <w:rsid w:val="00F118E7"/>
    <w:rsid w:val="00F128CB"/>
    <w:rsid w:val="00F12FC8"/>
    <w:rsid w:val="00F14648"/>
    <w:rsid w:val="00F1525B"/>
    <w:rsid w:val="00F16F17"/>
    <w:rsid w:val="00F1739A"/>
    <w:rsid w:val="00F20A7F"/>
    <w:rsid w:val="00F20C29"/>
    <w:rsid w:val="00F21C0B"/>
    <w:rsid w:val="00F21EDD"/>
    <w:rsid w:val="00F24C6A"/>
    <w:rsid w:val="00F25640"/>
    <w:rsid w:val="00F265B9"/>
    <w:rsid w:val="00F2680A"/>
    <w:rsid w:val="00F31624"/>
    <w:rsid w:val="00F32EBB"/>
    <w:rsid w:val="00F34D53"/>
    <w:rsid w:val="00F354C8"/>
    <w:rsid w:val="00F35CD3"/>
    <w:rsid w:val="00F40AA6"/>
    <w:rsid w:val="00F46DD4"/>
    <w:rsid w:val="00F476A8"/>
    <w:rsid w:val="00F5096C"/>
    <w:rsid w:val="00F50AD9"/>
    <w:rsid w:val="00F50CD1"/>
    <w:rsid w:val="00F5126D"/>
    <w:rsid w:val="00F51697"/>
    <w:rsid w:val="00F5188E"/>
    <w:rsid w:val="00F51CC5"/>
    <w:rsid w:val="00F524B1"/>
    <w:rsid w:val="00F53666"/>
    <w:rsid w:val="00F55DC7"/>
    <w:rsid w:val="00F61B1F"/>
    <w:rsid w:val="00F6260D"/>
    <w:rsid w:val="00F63983"/>
    <w:rsid w:val="00F6466F"/>
    <w:rsid w:val="00F6536D"/>
    <w:rsid w:val="00F65600"/>
    <w:rsid w:val="00F67259"/>
    <w:rsid w:val="00F7081F"/>
    <w:rsid w:val="00F715B8"/>
    <w:rsid w:val="00F71DD8"/>
    <w:rsid w:val="00F75DBF"/>
    <w:rsid w:val="00F7603B"/>
    <w:rsid w:val="00F76AE2"/>
    <w:rsid w:val="00F80CB6"/>
    <w:rsid w:val="00F80DF3"/>
    <w:rsid w:val="00F82FA5"/>
    <w:rsid w:val="00F83508"/>
    <w:rsid w:val="00F8401E"/>
    <w:rsid w:val="00F84CFA"/>
    <w:rsid w:val="00F85CC2"/>
    <w:rsid w:val="00F85DB0"/>
    <w:rsid w:val="00F86145"/>
    <w:rsid w:val="00F87CA1"/>
    <w:rsid w:val="00F907DE"/>
    <w:rsid w:val="00F91AB4"/>
    <w:rsid w:val="00F91DF8"/>
    <w:rsid w:val="00F92401"/>
    <w:rsid w:val="00F93B8A"/>
    <w:rsid w:val="00F93F3A"/>
    <w:rsid w:val="00F945A6"/>
    <w:rsid w:val="00FA0503"/>
    <w:rsid w:val="00FA25D4"/>
    <w:rsid w:val="00FA3E72"/>
    <w:rsid w:val="00FA5EE7"/>
    <w:rsid w:val="00FB04E6"/>
    <w:rsid w:val="00FB1286"/>
    <w:rsid w:val="00FB1F4E"/>
    <w:rsid w:val="00FB3FC1"/>
    <w:rsid w:val="00FB6AA9"/>
    <w:rsid w:val="00FC1677"/>
    <w:rsid w:val="00FC2F6A"/>
    <w:rsid w:val="00FC30CB"/>
    <w:rsid w:val="00FC3162"/>
    <w:rsid w:val="00FC394E"/>
    <w:rsid w:val="00FC5D74"/>
    <w:rsid w:val="00FD0A4A"/>
    <w:rsid w:val="00FD0E73"/>
    <w:rsid w:val="00FD0F83"/>
    <w:rsid w:val="00FD110D"/>
    <w:rsid w:val="00FD15E0"/>
    <w:rsid w:val="00FD33D7"/>
    <w:rsid w:val="00FD49DF"/>
    <w:rsid w:val="00FD50B1"/>
    <w:rsid w:val="00FD5C00"/>
    <w:rsid w:val="00FD5C08"/>
    <w:rsid w:val="00FD65BE"/>
    <w:rsid w:val="00FD6A4D"/>
    <w:rsid w:val="00FD702E"/>
    <w:rsid w:val="00FE07F7"/>
    <w:rsid w:val="00FE0F89"/>
    <w:rsid w:val="00FE1DB3"/>
    <w:rsid w:val="00FE23D6"/>
    <w:rsid w:val="00FE2676"/>
    <w:rsid w:val="00FE3ABB"/>
    <w:rsid w:val="00FE5EF2"/>
    <w:rsid w:val="00FE637B"/>
    <w:rsid w:val="00FE7989"/>
    <w:rsid w:val="00FE7C5E"/>
    <w:rsid w:val="00FF0006"/>
    <w:rsid w:val="00FF07B3"/>
    <w:rsid w:val="00FF12C3"/>
    <w:rsid w:val="00FF2198"/>
    <w:rsid w:val="00FF21B6"/>
    <w:rsid w:val="00FF2385"/>
    <w:rsid w:val="00FF2E8C"/>
    <w:rsid w:val="00FF3387"/>
    <w:rsid w:val="00FF396E"/>
    <w:rsid w:val="00FF49F1"/>
    <w:rsid w:val="00FF53B6"/>
    <w:rsid w:val="00FF57DE"/>
    <w:rsid w:val="00FF5B8E"/>
    <w:rsid w:val="00FF5ED3"/>
    <w:rsid w:val="00FF60BD"/>
    <w:rsid w:val="01774472"/>
    <w:rsid w:val="01B3F0C1"/>
    <w:rsid w:val="01E6776E"/>
    <w:rsid w:val="036F9D52"/>
    <w:rsid w:val="0386EFC7"/>
    <w:rsid w:val="03C2958D"/>
    <w:rsid w:val="03F81209"/>
    <w:rsid w:val="043B1CFF"/>
    <w:rsid w:val="0468368D"/>
    <w:rsid w:val="04847CC8"/>
    <w:rsid w:val="04D951BC"/>
    <w:rsid w:val="05A2B3CE"/>
    <w:rsid w:val="063BD63F"/>
    <w:rsid w:val="068F462B"/>
    <w:rsid w:val="06BFD786"/>
    <w:rsid w:val="06D2E4FD"/>
    <w:rsid w:val="074556BC"/>
    <w:rsid w:val="07916FB9"/>
    <w:rsid w:val="07E3102B"/>
    <w:rsid w:val="08F33124"/>
    <w:rsid w:val="091EB8B6"/>
    <w:rsid w:val="0936957B"/>
    <w:rsid w:val="09647D87"/>
    <w:rsid w:val="09857D54"/>
    <w:rsid w:val="09A4BDBC"/>
    <w:rsid w:val="0A394710"/>
    <w:rsid w:val="0A4C1AB1"/>
    <w:rsid w:val="0AE099F7"/>
    <w:rsid w:val="0B7C0D37"/>
    <w:rsid w:val="0BAAB149"/>
    <w:rsid w:val="0BC2D60A"/>
    <w:rsid w:val="0CBB79BF"/>
    <w:rsid w:val="0CCAE05D"/>
    <w:rsid w:val="0D08B5B6"/>
    <w:rsid w:val="0D2184E1"/>
    <w:rsid w:val="0DF26A83"/>
    <w:rsid w:val="0E994AEF"/>
    <w:rsid w:val="0EFD7242"/>
    <w:rsid w:val="0F016870"/>
    <w:rsid w:val="0F8A19EB"/>
    <w:rsid w:val="0FB45273"/>
    <w:rsid w:val="10158607"/>
    <w:rsid w:val="109F1042"/>
    <w:rsid w:val="1108C039"/>
    <w:rsid w:val="1153BDE2"/>
    <w:rsid w:val="115F5E4E"/>
    <w:rsid w:val="1187B00D"/>
    <w:rsid w:val="118BF207"/>
    <w:rsid w:val="11FD8910"/>
    <w:rsid w:val="123DC3BB"/>
    <w:rsid w:val="127224AD"/>
    <w:rsid w:val="1284E886"/>
    <w:rsid w:val="12E1D38D"/>
    <w:rsid w:val="13C80795"/>
    <w:rsid w:val="13ED39F4"/>
    <w:rsid w:val="1410E4A9"/>
    <w:rsid w:val="14137D54"/>
    <w:rsid w:val="144D7034"/>
    <w:rsid w:val="14D2D3E1"/>
    <w:rsid w:val="14E9FB81"/>
    <w:rsid w:val="15736CE2"/>
    <w:rsid w:val="15AF1AD4"/>
    <w:rsid w:val="1702D60F"/>
    <w:rsid w:val="17A51415"/>
    <w:rsid w:val="182E75D2"/>
    <w:rsid w:val="188C80FA"/>
    <w:rsid w:val="18D72620"/>
    <w:rsid w:val="1957A82F"/>
    <w:rsid w:val="196C6A53"/>
    <w:rsid w:val="19DF9145"/>
    <w:rsid w:val="1A2B80D2"/>
    <w:rsid w:val="1A534D69"/>
    <w:rsid w:val="1A6F648C"/>
    <w:rsid w:val="1AE476E7"/>
    <w:rsid w:val="1B0C5F6B"/>
    <w:rsid w:val="1B1C03DA"/>
    <w:rsid w:val="1B713A47"/>
    <w:rsid w:val="1BEA288F"/>
    <w:rsid w:val="1BEB619C"/>
    <w:rsid w:val="1C17D456"/>
    <w:rsid w:val="1CB3308C"/>
    <w:rsid w:val="1CBCF74B"/>
    <w:rsid w:val="1CCD9E0D"/>
    <w:rsid w:val="1D5AECC4"/>
    <w:rsid w:val="1D5D3BFE"/>
    <w:rsid w:val="1DABC5AF"/>
    <w:rsid w:val="1E163D6E"/>
    <w:rsid w:val="1E357C6F"/>
    <w:rsid w:val="1E96FE2D"/>
    <w:rsid w:val="1F683531"/>
    <w:rsid w:val="1F859B9B"/>
    <w:rsid w:val="1FAF1195"/>
    <w:rsid w:val="1FD9C24D"/>
    <w:rsid w:val="1FEDD46E"/>
    <w:rsid w:val="1FF6C36A"/>
    <w:rsid w:val="21BE9631"/>
    <w:rsid w:val="21F87770"/>
    <w:rsid w:val="2310465D"/>
    <w:rsid w:val="23147476"/>
    <w:rsid w:val="2390018F"/>
    <w:rsid w:val="23C5C473"/>
    <w:rsid w:val="241A0AC7"/>
    <w:rsid w:val="242F0118"/>
    <w:rsid w:val="24A3DAEC"/>
    <w:rsid w:val="24BA8102"/>
    <w:rsid w:val="25008C2C"/>
    <w:rsid w:val="25B97808"/>
    <w:rsid w:val="25C31846"/>
    <w:rsid w:val="2645E71C"/>
    <w:rsid w:val="266BF25D"/>
    <w:rsid w:val="26A7C31D"/>
    <w:rsid w:val="26E29194"/>
    <w:rsid w:val="26F5ACF0"/>
    <w:rsid w:val="26F9282D"/>
    <w:rsid w:val="278C7442"/>
    <w:rsid w:val="27BFAEC0"/>
    <w:rsid w:val="27D55F67"/>
    <w:rsid w:val="286E4642"/>
    <w:rsid w:val="28B95D08"/>
    <w:rsid w:val="290B3007"/>
    <w:rsid w:val="2986CB23"/>
    <w:rsid w:val="2B6808B1"/>
    <w:rsid w:val="2C0673C0"/>
    <w:rsid w:val="2C1DF161"/>
    <w:rsid w:val="2C467158"/>
    <w:rsid w:val="2D4B34C6"/>
    <w:rsid w:val="2D52AAFF"/>
    <w:rsid w:val="2D971BF0"/>
    <w:rsid w:val="2DA916DB"/>
    <w:rsid w:val="2DB8DEDF"/>
    <w:rsid w:val="2E089FCB"/>
    <w:rsid w:val="2E6A7E0B"/>
    <w:rsid w:val="2E987474"/>
    <w:rsid w:val="30A9ED44"/>
    <w:rsid w:val="3115719F"/>
    <w:rsid w:val="3172BCE4"/>
    <w:rsid w:val="32191C6E"/>
    <w:rsid w:val="3225950D"/>
    <w:rsid w:val="33679E8C"/>
    <w:rsid w:val="33D0C976"/>
    <w:rsid w:val="33D252DD"/>
    <w:rsid w:val="33F23378"/>
    <w:rsid w:val="342A4315"/>
    <w:rsid w:val="34D8EA7D"/>
    <w:rsid w:val="357EF2CB"/>
    <w:rsid w:val="35DDF028"/>
    <w:rsid w:val="36301457"/>
    <w:rsid w:val="363E6404"/>
    <w:rsid w:val="36E4B7CE"/>
    <w:rsid w:val="388F88CB"/>
    <w:rsid w:val="3B49E362"/>
    <w:rsid w:val="3B4AE031"/>
    <w:rsid w:val="3BC9DD77"/>
    <w:rsid w:val="3BF65106"/>
    <w:rsid w:val="3C29C7C7"/>
    <w:rsid w:val="3D170035"/>
    <w:rsid w:val="3D601B42"/>
    <w:rsid w:val="3DD0834E"/>
    <w:rsid w:val="403C8FCE"/>
    <w:rsid w:val="40FA481C"/>
    <w:rsid w:val="417C92A9"/>
    <w:rsid w:val="41D6BE2D"/>
    <w:rsid w:val="42631989"/>
    <w:rsid w:val="42A01DC8"/>
    <w:rsid w:val="42D61B2F"/>
    <w:rsid w:val="42DFE15A"/>
    <w:rsid w:val="43118B07"/>
    <w:rsid w:val="432628FE"/>
    <w:rsid w:val="43266DA8"/>
    <w:rsid w:val="44958D7E"/>
    <w:rsid w:val="44E0E360"/>
    <w:rsid w:val="44E0EA8C"/>
    <w:rsid w:val="45F3A586"/>
    <w:rsid w:val="4622F7A4"/>
    <w:rsid w:val="47928729"/>
    <w:rsid w:val="47B0C92B"/>
    <w:rsid w:val="47DF04E7"/>
    <w:rsid w:val="484C73F8"/>
    <w:rsid w:val="48859C9C"/>
    <w:rsid w:val="49363746"/>
    <w:rsid w:val="49366874"/>
    <w:rsid w:val="4A8BEA60"/>
    <w:rsid w:val="4B92C327"/>
    <w:rsid w:val="4BEA7498"/>
    <w:rsid w:val="4C94F8B6"/>
    <w:rsid w:val="4CCC9590"/>
    <w:rsid w:val="4D38EDEE"/>
    <w:rsid w:val="4E1B8517"/>
    <w:rsid w:val="4E38CB14"/>
    <w:rsid w:val="4E786DFE"/>
    <w:rsid w:val="4EC0DAEF"/>
    <w:rsid w:val="5275BF49"/>
    <w:rsid w:val="52BDC323"/>
    <w:rsid w:val="53C0C945"/>
    <w:rsid w:val="53C2962D"/>
    <w:rsid w:val="53EEBBDD"/>
    <w:rsid w:val="553E06A3"/>
    <w:rsid w:val="557E900B"/>
    <w:rsid w:val="55EF996C"/>
    <w:rsid w:val="561B5EA2"/>
    <w:rsid w:val="5626697D"/>
    <w:rsid w:val="56820592"/>
    <w:rsid w:val="57B85470"/>
    <w:rsid w:val="58C51A67"/>
    <w:rsid w:val="591FA02D"/>
    <w:rsid w:val="59610CFC"/>
    <w:rsid w:val="598B3791"/>
    <w:rsid w:val="5A83F2EE"/>
    <w:rsid w:val="5B1863DC"/>
    <w:rsid w:val="5B37C54C"/>
    <w:rsid w:val="5B753D20"/>
    <w:rsid w:val="5B9FA9E6"/>
    <w:rsid w:val="5BA64230"/>
    <w:rsid w:val="5BE40DEC"/>
    <w:rsid w:val="5D41A6D1"/>
    <w:rsid w:val="5DCE67C0"/>
    <w:rsid w:val="5DD54C3B"/>
    <w:rsid w:val="5EFE5BC6"/>
    <w:rsid w:val="5F1F8E7E"/>
    <w:rsid w:val="5F3B7A66"/>
    <w:rsid w:val="6044FDEF"/>
    <w:rsid w:val="606948BF"/>
    <w:rsid w:val="608A49C6"/>
    <w:rsid w:val="610398F9"/>
    <w:rsid w:val="61EAAF04"/>
    <w:rsid w:val="62071BB1"/>
    <w:rsid w:val="626D6C10"/>
    <w:rsid w:val="6345303F"/>
    <w:rsid w:val="635A6B38"/>
    <w:rsid w:val="6375FC7B"/>
    <w:rsid w:val="638F2029"/>
    <w:rsid w:val="644FEAA1"/>
    <w:rsid w:val="64D65DC8"/>
    <w:rsid w:val="64D832BE"/>
    <w:rsid w:val="65BFA400"/>
    <w:rsid w:val="65FAA14C"/>
    <w:rsid w:val="662C374C"/>
    <w:rsid w:val="67E98AB7"/>
    <w:rsid w:val="6818A328"/>
    <w:rsid w:val="68CEE131"/>
    <w:rsid w:val="6935950D"/>
    <w:rsid w:val="69A20F49"/>
    <w:rsid w:val="69E3BD89"/>
    <w:rsid w:val="69F14AC4"/>
    <w:rsid w:val="6A14D8D6"/>
    <w:rsid w:val="6A6FA421"/>
    <w:rsid w:val="6C8E8D5A"/>
    <w:rsid w:val="6CC530E6"/>
    <w:rsid w:val="6DA9A638"/>
    <w:rsid w:val="6DAA44B9"/>
    <w:rsid w:val="6DC35E57"/>
    <w:rsid w:val="6DC611E2"/>
    <w:rsid w:val="6DCBACDE"/>
    <w:rsid w:val="6DD87D07"/>
    <w:rsid w:val="6E058998"/>
    <w:rsid w:val="6E345102"/>
    <w:rsid w:val="6ECD9BD0"/>
    <w:rsid w:val="6EFEBBF3"/>
    <w:rsid w:val="6F952500"/>
    <w:rsid w:val="6F9890FC"/>
    <w:rsid w:val="6FF757B4"/>
    <w:rsid w:val="7231C4E0"/>
    <w:rsid w:val="72FC1E7E"/>
    <w:rsid w:val="73433D95"/>
    <w:rsid w:val="73943503"/>
    <w:rsid w:val="74870D58"/>
    <w:rsid w:val="7567A618"/>
    <w:rsid w:val="75ED7BDC"/>
    <w:rsid w:val="76E7C6DD"/>
    <w:rsid w:val="770B3244"/>
    <w:rsid w:val="776A666E"/>
    <w:rsid w:val="77CBFEB9"/>
    <w:rsid w:val="7812F1FA"/>
    <w:rsid w:val="7870BD18"/>
    <w:rsid w:val="78CD70A5"/>
    <w:rsid w:val="79464AF4"/>
    <w:rsid w:val="799CCFD1"/>
    <w:rsid w:val="7A2A909B"/>
    <w:rsid w:val="7A67AA6E"/>
    <w:rsid w:val="7B4B4740"/>
    <w:rsid w:val="7B69101C"/>
    <w:rsid w:val="7C33180B"/>
    <w:rsid w:val="7CC05015"/>
    <w:rsid w:val="7D12C860"/>
    <w:rsid w:val="7DE2FBDA"/>
    <w:rsid w:val="7DFD15D3"/>
    <w:rsid w:val="7E104116"/>
    <w:rsid w:val="7E3F67A2"/>
    <w:rsid w:val="7E6D45DE"/>
    <w:rsid w:val="7F10E61D"/>
    <w:rsid w:val="7F768FE5"/>
    <w:rsid w:val="7F84494B"/>
    <w:rsid w:val="7FFF74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06171E"/>
  <w15:docId w15:val="{E6CB9006-11DD-4855-BF4E-FA6DE332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link w:val="Ttulo1Car"/>
    <w:qFormat/>
    <w:pPr>
      <w:ind w:left="701" w:hanging="706"/>
      <w:outlineLvl w:val="0"/>
    </w:pPr>
    <w:rPr>
      <w:sz w:val="56"/>
      <w:szCs w:val="56"/>
    </w:rPr>
  </w:style>
  <w:style w:type="paragraph" w:styleId="Ttulo2">
    <w:name w:val="heading 2"/>
    <w:basedOn w:val="Normal"/>
    <w:link w:val="Ttulo2Car"/>
    <w:unhideWhenUsed/>
    <w:qFormat/>
    <w:pPr>
      <w:ind w:left="769" w:right="376" w:hanging="68"/>
      <w:jc w:val="both"/>
      <w:outlineLvl w:val="1"/>
    </w:pPr>
    <w:rPr>
      <w:b/>
      <w:bCs/>
      <w:sz w:val="32"/>
      <w:szCs w:val="32"/>
    </w:rPr>
  </w:style>
  <w:style w:type="paragraph" w:styleId="Ttulo3">
    <w:name w:val="heading 3"/>
    <w:basedOn w:val="Normal"/>
    <w:link w:val="Ttulo3Car"/>
    <w:unhideWhenUsed/>
    <w:qFormat/>
    <w:pPr>
      <w:spacing w:before="328"/>
      <w:ind w:left="490"/>
      <w:jc w:val="both"/>
      <w:outlineLvl w:val="2"/>
    </w:pPr>
    <w:rPr>
      <w:sz w:val="32"/>
      <w:szCs w:val="32"/>
    </w:rPr>
  </w:style>
  <w:style w:type="paragraph" w:styleId="Ttulo4">
    <w:name w:val="heading 4"/>
    <w:basedOn w:val="Normal"/>
    <w:link w:val="Ttulo4Car"/>
    <w:uiPriority w:val="9"/>
    <w:unhideWhenUsed/>
    <w:qFormat/>
    <w:pPr>
      <w:ind w:left="4" w:right="46"/>
      <w:jc w:val="center"/>
      <w:outlineLvl w:val="3"/>
    </w:pPr>
    <w:rPr>
      <w:b/>
      <w:bCs/>
      <w:sz w:val="24"/>
      <w:szCs w:val="24"/>
    </w:rPr>
  </w:style>
  <w:style w:type="paragraph" w:styleId="Ttulo5">
    <w:name w:val="heading 5"/>
    <w:basedOn w:val="Normal"/>
    <w:next w:val="Normal"/>
    <w:link w:val="Ttulo5Car"/>
    <w:uiPriority w:val="9"/>
    <w:unhideWhenUsed/>
    <w:qFormat/>
    <w:rsid w:val="00852C53"/>
    <w:pPr>
      <w:keepNext/>
      <w:keepLines/>
      <w:autoSpaceDE/>
      <w:autoSpaceDN/>
      <w:ind w:left="2285" w:hanging="1008"/>
      <w:jc w:val="both"/>
      <w:outlineLvl w:val="4"/>
    </w:pPr>
    <w:rPr>
      <w:rFonts w:ascii="Humanst521 BT" w:eastAsiaTheme="majorEastAsia" w:hAnsi="Humanst521 BT" w:cstheme="majorBidi"/>
      <w:b/>
      <w:lang w:val="es-CO"/>
    </w:rPr>
  </w:style>
  <w:style w:type="paragraph" w:styleId="Ttulo6">
    <w:name w:val="heading 6"/>
    <w:basedOn w:val="Normal"/>
    <w:next w:val="Normal"/>
    <w:link w:val="Ttulo6Car"/>
    <w:uiPriority w:val="9"/>
    <w:semiHidden/>
    <w:unhideWhenUsed/>
    <w:qFormat/>
    <w:rsid w:val="00852C53"/>
    <w:pPr>
      <w:keepNext/>
      <w:keepLines/>
      <w:autoSpaceDE/>
      <w:autoSpaceDN/>
      <w:spacing w:before="40"/>
      <w:ind w:left="1152" w:hanging="1152"/>
      <w:jc w:val="both"/>
      <w:outlineLvl w:val="5"/>
    </w:pPr>
    <w:rPr>
      <w:rFonts w:asciiTheme="majorHAnsi" w:eastAsiaTheme="majorEastAsia" w:hAnsiTheme="majorHAnsi" w:cstheme="majorBidi"/>
      <w:color w:val="1F3763" w:themeColor="accent1" w:themeShade="7F"/>
      <w:szCs w:val="24"/>
      <w:lang w:val="es-CO"/>
    </w:rPr>
  </w:style>
  <w:style w:type="paragraph" w:styleId="Ttulo7">
    <w:name w:val="heading 7"/>
    <w:basedOn w:val="Normal"/>
    <w:next w:val="Normal"/>
    <w:link w:val="Ttulo7Car"/>
    <w:uiPriority w:val="9"/>
    <w:semiHidden/>
    <w:unhideWhenUsed/>
    <w:qFormat/>
    <w:rsid w:val="00852C53"/>
    <w:pPr>
      <w:keepNext/>
      <w:keepLines/>
      <w:autoSpaceDE/>
      <w:autoSpaceDN/>
      <w:spacing w:before="40"/>
      <w:ind w:left="1296" w:hanging="1296"/>
      <w:jc w:val="both"/>
      <w:outlineLvl w:val="6"/>
    </w:pPr>
    <w:rPr>
      <w:rFonts w:asciiTheme="majorHAnsi" w:eastAsiaTheme="majorEastAsia" w:hAnsiTheme="majorHAnsi" w:cstheme="majorBidi"/>
      <w:i/>
      <w:iCs/>
      <w:color w:val="1F3763" w:themeColor="accent1" w:themeShade="7F"/>
      <w:szCs w:val="24"/>
      <w:lang w:val="es-CO"/>
    </w:rPr>
  </w:style>
  <w:style w:type="paragraph" w:styleId="Ttulo8">
    <w:name w:val="heading 8"/>
    <w:basedOn w:val="Normal"/>
    <w:next w:val="Normal"/>
    <w:link w:val="Ttulo8Car"/>
    <w:uiPriority w:val="9"/>
    <w:semiHidden/>
    <w:unhideWhenUsed/>
    <w:qFormat/>
    <w:rsid w:val="00852C53"/>
    <w:pPr>
      <w:keepNext/>
      <w:keepLines/>
      <w:autoSpaceDE/>
      <w:autoSpaceDN/>
      <w:spacing w:before="40"/>
      <w:ind w:left="1440" w:hanging="1440"/>
      <w:jc w:val="both"/>
      <w:outlineLvl w:val="7"/>
    </w:pPr>
    <w:rPr>
      <w:rFonts w:asciiTheme="majorHAnsi" w:eastAsiaTheme="majorEastAsia" w:hAnsiTheme="majorHAnsi" w:cstheme="majorBidi"/>
      <w:color w:val="272727" w:themeColor="text1" w:themeTint="D8"/>
      <w:sz w:val="21"/>
      <w:szCs w:val="21"/>
      <w:lang w:val="es-CO"/>
    </w:rPr>
  </w:style>
  <w:style w:type="paragraph" w:styleId="Ttulo9">
    <w:name w:val="heading 9"/>
    <w:basedOn w:val="Normal"/>
    <w:next w:val="Normal"/>
    <w:link w:val="Ttulo9Car"/>
    <w:uiPriority w:val="9"/>
    <w:semiHidden/>
    <w:unhideWhenUsed/>
    <w:qFormat/>
    <w:rsid w:val="00852C53"/>
    <w:pPr>
      <w:keepNext/>
      <w:keepLines/>
      <w:autoSpaceDE/>
      <w:autoSpaceDN/>
      <w:spacing w:before="40"/>
      <w:ind w:left="1584" w:hanging="1584"/>
      <w:jc w:val="both"/>
      <w:outlineLvl w:val="8"/>
    </w:pPr>
    <w:rPr>
      <w:rFonts w:asciiTheme="majorHAnsi" w:eastAsiaTheme="majorEastAsia" w:hAnsiTheme="majorHAnsi" w:cstheme="majorBidi"/>
      <w:i/>
      <w:iCs/>
      <w:color w:val="272727" w:themeColor="text1" w:themeTint="D8"/>
      <w:sz w:val="21"/>
      <w:szCs w:val="21"/>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360"/>
    </w:pPr>
    <w:rPr>
      <w:rFonts w:asciiTheme="majorHAnsi" w:hAnsiTheme="majorHAnsi"/>
      <w:b/>
      <w:bCs/>
      <w:caps/>
      <w:sz w:val="24"/>
      <w:szCs w:val="24"/>
    </w:rPr>
  </w:style>
  <w:style w:type="paragraph" w:styleId="TDC2">
    <w:name w:val="toc 2"/>
    <w:basedOn w:val="Normal"/>
    <w:uiPriority w:val="39"/>
    <w:qFormat/>
    <w:pPr>
      <w:spacing w:before="240"/>
    </w:pPr>
    <w:rPr>
      <w:rFonts w:asciiTheme="minorHAnsi" w:hAnsiTheme="minorHAnsi" w:cstheme="minorHAnsi"/>
      <w:b/>
      <w:bCs/>
      <w:sz w:val="20"/>
      <w:szCs w:val="20"/>
    </w:rPr>
  </w:style>
  <w:style w:type="paragraph" w:styleId="TDC3">
    <w:name w:val="toc 3"/>
    <w:basedOn w:val="Normal"/>
    <w:uiPriority w:val="39"/>
    <w:qFormat/>
    <w:pPr>
      <w:ind w:left="220"/>
    </w:pPr>
    <w:rPr>
      <w:rFonts w:asciiTheme="minorHAnsi" w:hAnsiTheme="minorHAnsi" w:cstheme="minorHAnsi"/>
      <w:sz w:val="20"/>
      <w:szCs w:val="20"/>
    </w:rPr>
  </w:style>
  <w:style w:type="paragraph" w:styleId="TDC4">
    <w:name w:val="toc 4"/>
    <w:basedOn w:val="Normal"/>
    <w:uiPriority w:val="39"/>
    <w:qFormat/>
    <w:pPr>
      <w:ind w:left="440"/>
    </w:pPr>
    <w:rPr>
      <w:rFonts w:asciiTheme="minorHAnsi" w:hAnsiTheme="minorHAnsi" w:cstheme="minorHAnsi"/>
      <w:sz w:val="20"/>
      <w:szCs w:val="20"/>
    </w:rPr>
  </w:style>
  <w:style w:type="paragraph" w:styleId="Textoindependiente">
    <w:name w:val="Body Text"/>
    <w:basedOn w:val="Normal"/>
    <w:link w:val="TextoindependienteCar"/>
    <w:qFormat/>
    <w:rPr>
      <w:sz w:val="24"/>
      <w:szCs w:val="24"/>
    </w:rPr>
  </w:style>
  <w:style w:type="paragraph" w:styleId="Ttulo">
    <w:name w:val="Title"/>
    <w:basedOn w:val="Normal"/>
    <w:link w:val="TtuloCar1"/>
    <w:uiPriority w:val="10"/>
    <w:qFormat/>
    <w:pPr>
      <w:ind w:left="490" w:right="1280"/>
      <w:jc w:val="both"/>
    </w:pPr>
    <w:rPr>
      <w:b/>
      <w:bCs/>
      <w:sz w:val="56"/>
      <w:szCs w:val="56"/>
    </w:rPr>
  </w:style>
  <w:style w:type="paragraph" w:styleId="Prrafodelista">
    <w:name w:val="List Paragraph"/>
    <w:basedOn w:val="Normal"/>
    <w:link w:val="PrrafodelistaCar"/>
    <w:uiPriority w:val="34"/>
    <w:qFormat/>
    <w:pPr>
      <w:ind w:left="701" w:hanging="360"/>
      <w:jc w:val="both"/>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410CA2"/>
    <w:rPr>
      <w:color w:val="0563C1" w:themeColor="hyperlink"/>
      <w:u w:val="single"/>
    </w:rPr>
  </w:style>
  <w:style w:type="character" w:styleId="Mencinsinresolver">
    <w:name w:val="Unresolved Mention"/>
    <w:basedOn w:val="Fuentedeprrafopredeter"/>
    <w:uiPriority w:val="99"/>
    <w:semiHidden/>
    <w:unhideWhenUsed/>
    <w:rsid w:val="00410CA2"/>
    <w:rPr>
      <w:color w:val="605E5C"/>
      <w:shd w:val="clear" w:color="auto" w:fill="E1DFDD"/>
    </w:rPr>
  </w:style>
  <w:style w:type="paragraph" w:styleId="Encabezado">
    <w:name w:val="header"/>
    <w:basedOn w:val="Normal"/>
    <w:link w:val="EncabezadoCar"/>
    <w:uiPriority w:val="99"/>
    <w:unhideWhenUsed/>
    <w:rsid w:val="00517D2A"/>
    <w:pPr>
      <w:tabs>
        <w:tab w:val="center" w:pos="4419"/>
        <w:tab w:val="right" w:pos="8838"/>
      </w:tabs>
    </w:pPr>
  </w:style>
  <w:style w:type="character" w:customStyle="1" w:styleId="EncabezadoCar">
    <w:name w:val="Encabezado Car"/>
    <w:basedOn w:val="Fuentedeprrafopredeter"/>
    <w:link w:val="Encabezado"/>
    <w:uiPriority w:val="99"/>
    <w:rsid w:val="00517D2A"/>
    <w:rPr>
      <w:rFonts w:ascii="Verdana" w:eastAsia="Verdana" w:hAnsi="Verdana" w:cs="Verdana"/>
      <w:lang w:val="es-ES"/>
    </w:rPr>
  </w:style>
  <w:style w:type="paragraph" w:styleId="Piedepgina">
    <w:name w:val="footer"/>
    <w:basedOn w:val="Normal"/>
    <w:link w:val="PiedepginaCar"/>
    <w:uiPriority w:val="99"/>
    <w:unhideWhenUsed/>
    <w:rsid w:val="00517D2A"/>
    <w:pPr>
      <w:tabs>
        <w:tab w:val="center" w:pos="4419"/>
        <w:tab w:val="right" w:pos="8838"/>
      </w:tabs>
    </w:pPr>
  </w:style>
  <w:style w:type="character" w:customStyle="1" w:styleId="PiedepginaCar">
    <w:name w:val="Pie de página Car"/>
    <w:basedOn w:val="Fuentedeprrafopredeter"/>
    <w:link w:val="Piedepgina"/>
    <w:uiPriority w:val="99"/>
    <w:rsid w:val="00517D2A"/>
    <w:rPr>
      <w:rFonts w:ascii="Verdana" w:eastAsia="Verdana" w:hAnsi="Verdana" w:cs="Verdana"/>
      <w:lang w:val="es-ES"/>
    </w:rPr>
  </w:style>
  <w:style w:type="paragraph" w:styleId="NormalWeb">
    <w:name w:val="Normal (Web)"/>
    <w:basedOn w:val="Normal"/>
    <w:uiPriority w:val="99"/>
    <w:unhideWhenUsed/>
    <w:rsid w:val="00F6260D"/>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B31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B5AE3"/>
    <w:rPr>
      <w:b/>
      <w:bCs/>
    </w:rPr>
  </w:style>
  <w:style w:type="character" w:styleId="Nmerodepgina">
    <w:name w:val="page number"/>
    <w:basedOn w:val="Fuentedeprrafopredeter"/>
    <w:uiPriority w:val="99"/>
    <w:unhideWhenUsed/>
    <w:rsid w:val="000C422A"/>
  </w:style>
  <w:style w:type="paragraph" w:styleId="TtuloTDC">
    <w:name w:val="TOC Heading"/>
    <w:basedOn w:val="Ttulo1"/>
    <w:next w:val="Normal"/>
    <w:uiPriority w:val="39"/>
    <w:unhideWhenUsed/>
    <w:qFormat/>
    <w:rsid w:val="00530E90"/>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val="es-CO" w:eastAsia="es-CO"/>
    </w:rPr>
  </w:style>
  <w:style w:type="paragraph" w:styleId="Descripcin">
    <w:name w:val="caption"/>
    <w:basedOn w:val="Normal"/>
    <w:next w:val="Normal"/>
    <w:uiPriority w:val="35"/>
    <w:unhideWhenUsed/>
    <w:qFormat/>
    <w:rsid w:val="00FE07F7"/>
    <w:pPr>
      <w:widowControl/>
      <w:autoSpaceDE/>
      <w:autoSpaceDN/>
      <w:spacing w:before="100" w:after="200" w:line="276" w:lineRule="auto"/>
    </w:pPr>
    <w:rPr>
      <w:rFonts w:asciiTheme="minorHAnsi" w:eastAsiaTheme="minorEastAsia" w:hAnsiTheme="minorHAnsi" w:cstheme="minorBidi"/>
      <w:b/>
      <w:bCs/>
      <w:color w:val="2F5496" w:themeColor="accent1" w:themeShade="BF"/>
      <w:sz w:val="16"/>
      <w:szCs w:val="16"/>
      <w:lang w:val="es-CO"/>
    </w:rPr>
  </w:style>
  <w:style w:type="paragraph" w:styleId="Tabladeilustraciones">
    <w:name w:val="table of figures"/>
    <w:aliases w:val="Figura"/>
    <w:basedOn w:val="Normal"/>
    <w:next w:val="Normal"/>
    <w:autoRedefine/>
    <w:uiPriority w:val="99"/>
    <w:unhideWhenUsed/>
    <w:qFormat/>
    <w:rsid w:val="00DA4AD3"/>
    <w:pPr>
      <w:widowControl/>
      <w:autoSpaceDE/>
      <w:autoSpaceDN/>
      <w:spacing w:before="100" w:after="200" w:line="276" w:lineRule="auto"/>
    </w:pPr>
    <w:rPr>
      <w:rFonts w:asciiTheme="minorHAnsi" w:eastAsia="Calibri" w:hAnsiTheme="minorHAnsi" w:cstheme="minorBidi"/>
      <w:sz w:val="20"/>
      <w:lang w:val="es-CO"/>
    </w:rPr>
  </w:style>
  <w:style w:type="table" w:styleId="Tablaconcuadrcula4-nfasis2">
    <w:name w:val="Grid Table 4 Accent 2"/>
    <w:basedOn w:val="Tablanormal"/>
    <w:uiPriority w:val="49"/>
    <w:rsid w:val="00256446"/>
    <w:pPr>
      <w:widowControl/>
      <w:autoSpaceDE/>
      <w:autoSpaceDN/>
      <w:spacing w:before="100"/>
      <w:jc w:val="center"/>
    </w:pPr>
    <w:rPr>
      <w:rFonts w:eastAsiaTheme="minorEastAsia"/>
      <w:sz w:val="20"/>
      <w:szCs w:val="20"/>
      <w:lang w:val="es-C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cPr>
      <w:vAlign w:val="center"/>
    </w:tc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Cita">
    <w:name w:val="Quote"/>
    <w:basedOn w:val="Normal"/>
    <w:next w:val="Normal"/>
    <w:link w:val="CitaCar"/>
    <w:uiPriority w:val="29"/>
    <w:qFormat/>
    <w:rsid w:val="00256446"/>
    <w:pPr>
      <w:widowControl/>
      <w:autoSpaceDE/>
      <w:autoSpaceDN/>
      <w:spacing w:before="100" w:after="200" w:line="276" w:lineRule="auto"/>
    </w:pPr>
    <w:rPr>
      <w:rFonts w:asciiTheme="minorHAnsi" w:eastAsiaTheme="minorEastAsia" w:hAnsiTheme="minorHAnsi" w:cstheme="minorBidi"/>
      <w:i/>
      <w:iCs/>
      <w:sz w:val="24"/>
      <w:szCs w:val="24"/>
      <w:lang w:val="es-CO"/>
    </w:rPr>
  </w:style>
  <w:style w:type="character" w:customStyle="1" w:styleId="CitaCar">
    <w:name w:val="Cita Car"/>
    <w:basedOn w:val="Fuentedeprrafopredeter"/>
    <w:link w:val="Cita"/>
    <w:uiPriority w:val="29"/>
    <w:rsid w:val="00256446"/>
    <w:rPr>
      <w:rFonts w:eastAsiaTheme="minorEastAsia"/>
      <w:i/>
      <w:iCs/>
      <w:sz w:val="24"/>
      <w:szCs w:val="24"/>
      <w:lang w:val="es-CO"/>
    </w:rPr>
  </w:style>
  <w:style w:type="table" w:styleId="Tablaconcuadrcula5oscura-nfasis6">
    <w:name w:val="Grid Table 5 Dark Accent 6"/>
    <w:basedOn w:val="Tablanormal"/>
    <w:uiPriority w:val="50"/>
    <w:rsid w:val="0025644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6">
    <w:name w:val="Grid Table 6 Colorful Accent 6"/>
    <w:basedOn w:val="Tablanormal"/>
    <w:uiPriority w:val="51"/>
    <w:rsid w:val="00F5366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2-nfasis6">
    <w:name w:val="Grid Table 2 Accent 6"/>
    <w:basedOn w:val="Tablanormal"/>
    <w:uiPriority w:val="47"/>
    <w:rsid w:val="00734C09"/>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nfasis5">
    <w:name w:val="Grid Table 6 Colorful Accent 5"/>
    <w:basedOn w:val="Tablanormal"/>
    <w:uiPriority w:val="51"/>
    <w:rsid w:val="00EC55A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5">
    <w:name w:val="Grid Table 2 Accent 5"/>
    <w:basedOn w:val="Tablanormal"/>
    <w:uiPriority w:val="47"/>
    <w:rsid w:val="00EC55A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6">
    <w:name w:val="Grid Table 4 Accent 6"/>
    <w:basedOn w:val="Tablanormal"/>
    <w:uiPriority w:val="49"/>
    <w:rsid w:val="005C41D2"/>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6">
    <w:name w:val="Grid Table 1 Light Accent 6"/>
    <w:basedOn w:val="Tablanormal"/>
    <w:uiPriority w:val="46"/>
    <w:rsid w:val="00AD1BFD"/>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extocomentario">
    <w:name w:val="annotation text"/>
    <w:basedOn w:val="Normal"/>
    <w:link w:val="TextocomentarioCar"/>
    <w:uiPriority w:val="99"/>
    <w:unhideWhenUsed/>
    <w:rsid w:val="00813D1C"/>
    <w:pPr>
      <w:widowControl/>
      <w:overflowPunct w:val="0"/>
      <w:adjustRightInd w:val="0"/>
      <w:textAlignment w:val="baseline"/>
    </w:pPr>
    <w:rPr>
      <w:rFonts w:ascii="Times New Roman" w:eastAsia="Times New Roman" w:hAnsi="Times New Roman" w:cs="Times New Roman"/>
      <w:sz w:val="20"/>
      <w:szCs w:val="20"/>
      <w:lang w:val="es-CO" w:eastAsia="es-CO"/>
    </w:rPr>
  </w:style>
  <w:style w:type="character" w:customStyle="1" w:styleId="TextocomentarioCar">
    <w:name w:val="Texto comentario Car"/>
    <w:basedOn w:val="Fuentedeprrafopredeter"/>
    <w:link w:val="Textocomentario"/>
    <w:uiPriority w:val="99"/>
    <w:rsid w:val="00813D1C"/>
    <w:rPr>
      <w:rFonts w:ascii="Times New Roman" w:eastAsia="Times New Roman" w:hAnsi="Times New Roman" w:cs="Times New Roman"/>
      <w:sz w:val="20"/>
      <w:szCs w:val="20"/>
      <w:lang w:val="es-CO" w:eastAsia="es-CO"/>
    </w:rPr>
  </w:style>
  <w:style w:type="table" w:styleId="Tablanormal3">
    <w:name w:val="Plain Table 3"/>
    <w:basedOn w:val="Tablanormal"/>
    <w:uiPriority w:val="43"/>
    <w:rsid w:val="0026114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3-nfasis6">
    <w:name w:val="Grid Table 3 Accent 6"/>
    <w:basedOn w:val="Tablanormal"/>
    <w:uiPriority w:val="48"/>
    <w:rsid w:val="0026114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concuadrcula6concolores-nfasis3">
    <w:name w:val="Grid Table 6 Colorful Accent 3"/>
    <w:basedOn w:val="Tablanormal"/>
    <w:uiPriority w:val="51"/>
    <w:rsid w:val="0078784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2-nfasis3">
    <w:name w:val="Grid Table 2 Accent 3"/>
    <w:basedOn w:val="Tablanormal"/>
    <w:uiPriority w:val="47"/>
    <w:rsid w:val="0078784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78784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
    <w:name w:val="Grid Table 2"/>
    <w:basedOn w:val="Tablanormal"/>
    <w:uiPriority w:val="47"/>
    <w:rsid w:val="0078784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
    <w:name w:val="Grid Table 1 Light"/>
    <w:basedOn w:val="Tablanormal"/>
    <w:uiPriority w:val="46"/>
    <w:rsid w:val="00400A3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F31624"/>
    <w:pPr>
      <w:widowControl/>
      <w:adjustRightInd w:val="0"/>
    </w:pPr>
    <w:rPr>
      <w:rFonts w:ascii="Verdana" w:hAnsi="Verdana" w:cs="Verdana"/>
      <w:color w:val="000000"/>
      <w:sz w:val="24"/>
      <w:szCs w:val="24"/>
      <w:lang w:val="es-CO"/>
    </w:rPr>
  </w:style>
  <w:style w:type="character" w:customStyle="1" w:styleId="overflow-hidden">
    <w:name w:val="overflow-hidden"/>
    <w:basedOn w:val="Fuentedeprrafopredeter"/>
    <w:rsid w:val="00E63627"/>
  </w:style>
  <w:style w:type="character" w:customStyle="1" w:styleId="PrrafodelistaCar">
    <w:name w:val="Párrafo de lista Car"/>
    <w:link w:val="Prrafodelista"/>
    <w:uiPriority w:val="34"/>
    <w:locked/>
    <w:rsid w:val="00446FB4"/>
    <w:rPr>
      <w:rFonts w:ascii="Verdana" w:eastAsia="Verdana" w:hAnsi="Verdana" w:cs="Verdana"/>
      <w:lang w:val="es-ES"/>
    </w:rPr>
  </w:style>
  <w:style w:type="paragraph" w:customStyle="1" w:styleId="Textopredeterminado1">
    <w:name w:val="Texto predeterminado:1"/>
    <w:basedOn w:val="Normal"/>
    <w:rsid w:val="007C7DE4"/>
    <w:pPr>
      <w:widowControl/>
      <w:overflowPunct w:val="0"/>
      <w:adjustRightInd w:val="0"/>
      <w:textAlignment w:val="baseline"/>
    </w:pPr>
    <w:rPr>
      <w:rFonts w:ascii="Times New Roman" w:eastAsia="Times New Roman" w:hAnsi="Times New Roman" w:cs="Times New Roman"/>
      <w:sz w:val="24"/>
      <w:szCs w:val="20"/>
      <w:lang w:val="es-CO" w:eastAsia="es-CO"/>
    </w:rPr>
  </w:style>
  <w:style w:type="character" w:styleId="nfasissutil">
    <w:name w:val="Subtle Emphasis"/>
    <w:basedOn w:val="Fuentedeprrafopredeter"/>
    <w:uiPriority w:val="19"/>
    <w:qFormat/>
    <w:rsid w:val="00B769E5"/>
    <w:rPr>
      <w:i/>
      <w:iCs/>
      <w:color w:val="404040" w:themeColor="text1" w:themeTint="BF"/>
    </w:rPr>
  </w:style>
  <w:style w:type="character" w:customStyle="1" w:styleId="Ttulo5Car">
    <w:name w:val="Título 5 Car"/>
    <w:basedOn w:val="Fuentedeprrafopredeter"/>
    <w:link w:val="Ttulo5"/>
    <w:uiPriority w:val="9"/>
    <w:rsid w:val="00852C53"/>
    <w:rPr>
      <w:rFonts w:ascii="Humanst521 BT" w:eastAsiaTheme="majorEastAsia" w:hAnsi="Humanst521 BT" w:cstheme="majorBidi"/>
      <w:b/>
      <w:lang w:val="es-CO"/>
    </w:rPr>
  </w:style>
  <w:style w:type="character" w:customStyle="1" w:styleId="Ttulo6Car">
    <w:name w:val="Título 6 Car"/>
    <w:basedOn w:val="Fuentedeprrafopredeter"/>
    <w:link w:val="Ttulo6"/>
    <w:uiPriority w:val="9"/>
    <w:semiHidden/>
    <w:rsid w:val="00852C53"/>
    <w:rPr>
      <w:rFonts w:asciiTheme="majorHAnsi" w:eastAsiaTheme="majorEastAsia" w:hAnsiTheme="majorHAnsi" w:cstheme="majorBidi"/>
      <w:color w:val="1F3763" w:themeColor="accent1" w:themeShade="7F"/>
      <w:szCs w:val="24"/>
      <w:lang w:val="es-CO"/>
    </w:rPr>
  </w:style>
  <w:style w:type="character" w:customStyle="1" w:styleId="Ttulo7Car">
    <w:name w:val="Título 7 Car"/>
    <w:basedOn w:val="Fuentedeprrafopredeter"/>
    <w:link w:val="Ttulo7"/>
    <w:uiPriority w:val="9"/>
    <w:semiHidden/>
    <w:rsid w:val="00852C53"/>
    <w:rPr>
      <w:rFonts w:asciiTheme="majorHAnsi" w:eastAsiaTheme="majorEastAsia" w:hAnsiTheme="majorHAnsi" w:cstheme="majorBidi"/>
      <w:i/>
      <w:iCs/>
      <w:color w:val="1F3763" w:themeColor="accent1" w:themeShade="7F"/>
      <w:szCs w:val="24"/>
      <w:lang w:val="es-CO"/>
    </w:rPr>
  </w:style>
  <w:style w:type="character" w:customStyle="1" w:styleId="Ttulo8Car">
    <w:name w:val="Título 8 Car"/>
    <w:basedOn w:val="Fuentedeprrafopredeter"/>
    <w:link w:val="Ttulo8"/>
    <w:uiPriority w:val="9"/>
    <w:semiHidden/>
    <w:rsid w:val="00852C53"/>
    <w:rPr>
      <w:rFonts w:asciiTheme="majorHAnsi" w:eastAsiaTheme="majorEastAsia" w:hAnsiTheme="majorHAnsi" w:cstheme="majorBidi"/>
      <w:color w:val="272727" w:themeColor="text1" w:themeTint="D8"/>
      <w:sz w:val="21"/>
      <w:szCs w:val="21"/>
      <w:lang w:val="es-CO"/>
    </w:rPr>
  </w:style>
  <w:style w:type="character" w:customStyle="1" w:styleId="Ttulo9Car">
    <w:name w:val="Título 9 Car"/>
    <w:basedOn w:val="Fuentedeprrafopredeter"/>
    <w:link w:val="Ttulo9"/>
    <w:uiPriority w:val="9"/>
    <w:semiHidden/>
    <w:rsid w:val="00852C53"/>
    <w:rPr>
      <w:rFonts w:asciiTheme="majorHAnsi" w:eastAsiaTheme="majorEastAsia" w:hAnsiTheme="majorHAnsi" w:cstheme="majorBidi"/>
      <w:i/>
      <w:iCs/>
      <w:color w:val="272727" w:themeColor="text1" w:themeTint="D8"/>
      <w:sz w:val="21"/>
      <w:szCs w:val="21"/>
      <w:lang w:val="es-CO"/>
    </w:rPr>
  </w:style>
  <w:style w:type="character" w:customStyle="1" w:styleId="Ttulo1Car">
    <w:name w:val="Título 1 Car"/>
    <w:basedOn w:val="Fuentedeprrafopredeter"/>
    <w:link w:val="Ttulo1"/>
    <w:rsid w:val="00852C53"/>
    <w:rPr>
      <w:rFonts w:ascii="Verdana" w:eastAsia="Verdana" w:hAnsi="Verdana" w:cs="Verdana"/>
      <w:sz w:val="56"/>
      <w:szCs w:val="56"/>
      <w:lang w:val="es-ES"/>
    </w:rPr>
  </w:style>
  <w:style w:type="character" w:customStyle="1" w:styleId="Ttulo2Car">
    <w:name w:val="Título 2 Car"/>
    <w:basedOn w:val="Fuentedeprrafopredeter"/>
    <w:link w:val="Ttulo2"/>
    <w:rsid w:val="00852C53"/>
    <w:rPr>
      <w:rFonts w:ascii="Verdana" w:eastAsia="Verdana" w:hAnsi="Verdana" w:cs="Verdana"/>
      <w:b/>
      <w:bCs/>
      <w:sz w:val="32"/>
      <w:szCs w:val="32"/>
      <w:lang w:val="es-ES"/>
    </w:rPr>
  </w:style>
  <w:style w:type="character" w:customStyle="1" w:styleId="Ttulo3Car">
    <w:name w:val="Título 3 Car"/>
    <w:basedOn w:val="Fuentedeprrafopredeter"/>
    <w:link w:val="Ttulo3"/>
    <w:rsid w:val="00852C53"/>
    <w:rPr>
      <w:rFonts w:ascii="Verdana" w:eastAsia="Verdana" w:hAnsi="Verdana" w:cs="Verdana"/>
      <w:sz w:val="32"/>
      <w:szCs w:val="32"/>
      <w:lang w:val="es-ES"/>
    </w:rPr>
  </w:style>
  <w:style w:type="character" w:customStyle="1" w:styleId="Ttulo4Car">
    <w:name w:val="Título 4 Car"/>
    <w:basedOn w:val="Fuentedeprrafopredeter"/>
    <w:link w:val="Ttulo4"/>
    <w:uiPriority w:val="9"/>
    <w:rsid w:val="00852C53"/>
    <w:rPr>
      <w:rFonts w:ascii="Verdana" w:eastAsia="Verdana" w:hAnsi="Verdana" w:cs="Verdana"/>
      <w:b/>
      <w:bCs/>
      <w:sz w:val="24"/>
      <w:szCs w:val="24"/>
      <w:lang w:val="es-ES"/>
    </w:rPr>
  </w:style>
  <w:style w:type="paragraph" w:styleId="Textodeglobo">
    <w:name w:val="Balloon Text"/>
    <w:basedOn w:val="Normal"/>
    <w:link w:val="TextodegloboCar"/>
    <w:uiPriority w:val="99"/>
    <w:semiHidden/>
    <w:unhideWhenUsed/>
    <w:rsid w:val="00852C53"/>
    <w:pPr>
      <w:autoSpaceDE/>
      <w:autoSpaceDN/>
      <w:jc w:val="both"/>
    </w:pPr>
    <w:rPr>
      <w:rFonts w:ascii="Tahoma" w:eastAsiaTheme="minorHAnsi" w:hAnsi="Tahoma" w:cs="Tahoma"/>
      <w:sz w:val="16"/>
      <w:szCs w:val="16"/>
      <w:lang w:val="es-CO"/>
    </w:rPr>
  </w:style>
  <w:style w:type="character" w:customStyle="1" w:styleId="TextodegloboCar">
    <w:name w:val="Texto de globo Car"/>
    <w:basedOn w:val="Fuentedeprrafopredeter"/>
    <w:link w:val="Textodeglobo"/>
    <w:uiPriority w:val="99"/>
    <w:semiHidden/>
    <w:rsid w:val="00852C53"/>
    <w:rPr>
      <w:rFonts w:ascii="Tahoma" w:hAnsi="Tahoma" w:cs="Tahoma"/>
      <w:sz w:val="16"/>
      <w:szCs w:val="16"/>
      <w:lang w:val="es-CO"/>
    </w:rPr>
  </w:style>
  <w:style w:type="character" w:styleId="Textodelmarcadordeposicin">
    <w:name w:val="Placeholder Text"/>
    <w:basedOn w:val="Fuentedeprrafopredeter"/>
    <w:uiPriority w:val="99"/>
    <w:semiHidden/>
    <w:rsid w:val="00852C53"/>
    <w:rPr>
      <w:color w:val="808080"/>
    </w:rPr>
  </w:style>
  <w:style w:type="paragraph" w:styleId="Textonotapie">
    <w:name w:val="footnote text"/>
    <w:aliases w:val="Footnote Text Char Char Char Char Char,Footnote Text Char Char Char Char,Ref. de nota al pie1,FA Fu,Footnote Text Char Char Char,texto de nota al pie,Footnote Text Char"/>
    <w:basedOn w:val="Normal"/>
    <w:link w:val="TextonotapieCar"/>
    <w:unhideWhenUsed/>
    <w:rsid w:val="00852C53"/>
    <w:pPr>
      <w:autoSpaceDE/>
      <w:autoSpaceDN/>
      <w:jc w:val="both"/>
    </w:pPr>
    <w:rPr>
      <w:rFonts w:ascii="Humanst521 BT" w:eastAsia="Calibri" w:hAnsi="Humanst521 BT" w:cs="Times New Roman"/>
      <w:sz w:val="18"/>
      <w:szCs w:val="20"/>
      <w:lang w:val="es-CO"/>
    </w:rPr>
  </w:style>
  <w:style w:type="character" w:customStyle="1" w:styleId="TextonotapieCar">
    <w:name w:val="Texto nota pie Car"/>
    <w:aliases w:val="Footnote Text Char Char Char Char Char Car,Footnote Text Char Char Char Char Car,Ref. de nota al pie1 Car,FA Fu Car,Footnote Text Char Char Char Car,texto de nota al pie Car,Footnote Text Char Car"/>
    <w:basedOn w:val="Fuentedeprrafopredeter"/>
    <w:link w:val="Textonotapie"/>
    <w:rsid w:val="00852C53"/>
    <w:rPr>
      <w:rFonts w:ascii="Humanst521 BT" w:eastAsia="Calibri" w:hAnsi="Humanst521 BT" w:cs="Times New Roman"/>
      <w:sz w:val="18"/>
      <w:szCs w:val="20"/>
      <w:lang w:val="es-CO"/>
    </w:rPr>
  </w:style>
  <w:style w:type="character" w:styleId="Refdenotaalpie">
    <w:name w:val="footnote reference"/>
    <w:basedOn w:val="Fuentedeprrafopredeter"/>
    <w:unhideWhenUsed/>
    <w:rsid w:val="00852C53"/>
    <w:rPr>
      <w:vertAlign w:val="superscript"/>
    </w:rPr>
  </w:style>
  <w:style w:type="character" w:styleId="Hipervnculovisitado">
    <w:name w:val="FollowedHyperlink"/>
    <w:basedOn w:val="Fuentedeprrafopredeter"/>
    <w:uiPriority w:val="99"/>
    <w:semiHidden/>
    <w:unhideWhenUsed/>
    <w:rsid w:val="00852C53"/>
    <w:rPr>
      <w:color w:val="954F72" w:themeColor="followedHyperlink"/>
      <w:u w:val="single"/>
    </w:rPr>
  </w:style>
  <w:style w:type="paragraph" w:customStyle="1" w:styleId="Pa10">
    <w:name w:val="Pa10"/>
    <w:basedOn w:val="Normal"/>
    <w:next w:val="Normal"/>
    <w:uiPriority w:val="99"/>
    <w:rsid w:val="00852C53"/>
    <w:pPr>
      <w:adjustRightInd w:val="0"/>
      <w:spacing w:line="161" w:lineRule="atLeast"/>
      <w:jc w:val="both"/>
    </w:pPr>
    <w:rPr>
      <w:rFonts w:ascii="Swis721 LtCn BT" w:eastAsia="Calibri" w:hAnsi="Swis721 LtCn BT" w:cs="Times New Roman"/>
      <w:szCs w:val="24"/>
      <w:lang w:val="es-CO"/>
    </w:rPr>
  </w:style>
  <w:style w:type="character" w:styleId="Refdecomentario">
    <w:name w:val="annotation reference"/>
    <w:uiPriority w:val="99"/>
    <w:semiHidden/>
    <w:unhideWhenUsed/>
    <w:rsid w:val="00852C53"/>
    <w:rPr>
      <w:sz w:val="16"/>
      <w:szCs w:val="16"/>
    </w:rPr>
  </w:style>
  <w:style w:type="table" w:customStyle="1" w:styleId="Sombreadoclaro-nfasis11">
    <w:name w:val="Sombreado claro - Énfasis 11"/>
    <w:basedOn w:val="Tablanormal"/>
    <w:uiPriority w:val="60"/>
    <w:rsid w:val="00852C53"/>
    <w:pPr>
      <w:widowControl/>
      <w:autoSpaceDE/>
      <w:autoSpaceDN/>
    </w:pPr>
    <w:rPr>
      <w:rFonts w:ascii="Calibri" w:eastAsia="Calibri" w:hAnsi="Calibri" w:cs="Times New Roman"/>
      <w:color w:val="365F91"/>
      <w:sz w:val="20"/>
      <w:szCs w:val="20"/>
      <w:lang w:val="es-CO"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uadrculaclara-nfasis11">
    <w:name w:val="Cuadrícula clara - Énfasis 11"/>
    <w:basedOn w:val="Tablanormal"/>
    <w:uiPriority w:val="62"/>
    <w:rsid w:val="00852C53"/>
    <w:pPr>
      <w:widowControl/>
      <w:autoSpaceDE/>
      <w:autoSpaceDN/>
    </w:pPr>
    <w:rPr>
      <w:rFonts w:ascii="Calibri" w:eastAsia="Calibri" w:hAnsi="Calibri" w:cs="Times New Roman"/>
      <w:sz w:val="20"/>
      <w:szCs w:val="20"/>
      <w:lang w:val="es-CO" w:eastAsia="es-C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wis721 LtCn BT" w:eastAsia="Times New Roman" w:hAnsi="Swis721 LtCn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wis721 LtCn BT" w:eastAsia="Times New Roman" w:hAnsi="Swis721 LtCn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wis721 LtCn BT" w:eastAsia="Times New Roman" w:hAnsi="Swis721 LtCn BT" w:cs="Times New Roman"/>
        <w:b/>
        <w:bCs/>
      </w:rPr>
    </w:tblStylePr>
    <w:tblStylePr w:type="lastCol">
      <w:rPr>
        <w:rFonts w:ascii="Swis721 LtCn BT" w:eastAsia="Times New Roman" w:hAnsi="Swis721 LtCn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
    <w:name w:val="Lista clara - Énfasis 11"/>
    <w:basedOn w:val="Tablanormal"/>
    <w:uiPriority w:val="61"/>
    <w:rsid w:val="00852C53"/>
    <w:pPr>
      <w:widowControl/>
      <w:autoSpaceDE/>
      <w:autoSpaceDN/>
    </w:pPr>
    <w:rPr>
      <w:rFonts w:ascii="Calibri" w:eastAsia="Calibri" w:hAnsi="Calibri" w:cs="Times New Roman"/>
      <w:sz w:val="20"/>
      <w:szCs w:val="20"/>
      <w:lang w:val="es-CO" w:eastAsia="es-C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uadrculaclara-nfasis12">
    <w:name w:val="Cuadrícula clara - Énfasis 12"/>
    <w:basedOn w:val="Tablanormal"/>
    <w:uiPriority w:val="62"/>
    <w:rsid w:val="00852C53"/>
    <w:pPr>
      <w:widowControl/>
      <w:autoSpaceDE/>
      <w:autoSpaceDN/>
    </w:pPr>
    <w:rPr>
      <w:rFonts w:ascii="Calibri" w:eastAsia="Calibri" w:hAnsi="Calibri" w:cs="Times New Roman"/>
      <w:sz w:val="20"/>
      <w:szCs w:val="20"/>
      <w:lang w:val="es-CO" w:eastAsia="es-C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wis721 LtCn BT" w:eastAsia="Times New Roman" w:hAnsi="Swis721 LtCn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wis721 LtCn BT" w:eastAsia="Times New Roman" w:hAnsi="Swis721 LtCn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wis721 LtCn BT" w:eastAsia="Times New Roman" w:hAnsi="Swis721 LtCn BT" w:cs="Times New Roman"/>
        <w:b/>
        <w:bCs/>
      </w:rPr>
    </w:tblStylePr>
    <w:tblStylePr w:type="lastCol">
      <w:rPr>
        <w:rFonts w:ascii="Swis721 LtCn BT" w:eastAsia="Times New Roman" w:hAnsi="Swis721 LtCn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ndice1">
    <w:name w:val="index 1"/>
    <w:basedOn w:val="Normal"/>
    <w:next w:val="Normal"/>
    <w:autoRedefine/>
    <w:uiPriority w:val="99"/>
    <w:semiHidden/>
    <w:unhideWhenUsed/>
    <w:rsid w:val="00852C53"/>
    <w:pPr>
      <w:autoSpaceDE/>
      <w:autoSpaceDN/>
      <w:ind w:left="220" w:hanging="220"/>
      <w:jc w:val="both"/>
    </w:pPr>
    <w:rPr>
      <w:rFonts w:ascii="Calibri" w:eastAsia="Calibri" w:hAnsi="Calibri" w:cs="Times New Roman"/>
      <w:lang w:val="es-CO"/>
    </w:rPr>
  </w:style>
  <w:style w:type="table" w:customStyle="1" w:styleId="Cuadrculaclara-nfasis13">
    <w:name w:val="Cuadrícula clara - Énfasis 13"/>
    <w:basedOn w:val="Tablanormal"/>
    <w:uiPriority w:val="62"/>
    <w:rsid w:val="00852C53"/>
    <w:pPr>
      <w:widowControl/>
      <w:autoSpaceDE/>
      <w:autoSpaceDN/>
    </w:pPr>
    <w:rPr>
      <w:rFonts w:ascii="Calibri" w:eastAsia="Calibri" w:hAnsi="Calibri" w:cs="Times New Roman"/>
      <w:sz w:val="20"/>
      <w:szCs w:val="20"/>
      <w:lang w:val="es-CO" w:eastAsia="es-C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wis721 LtCn BT" w:eastAsia="Times New Roman" w:hAnsi="Swis721 LtCn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wis721 LtCn BT" w:eastAsia="Times New Roman" w:hAnsi="Swis721 LtCn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wis721 LtCn BT" w:eastAsia="Times New Roman" w:hAnsi="Swis721 LtCn BT" w:cs="Times New Roman"/>
        <w:b/>
        <w:bCs/>
      </w:rPr>
    </w:tblStylePr>
    <w:tblStylePr w:type="lastCol">
      <w:rPr>
        <w:rFonts w:ascii="Swis721 LtCn BT" w:eastAsia="Times New Roman" w:hAnsi="Swis721 LtCn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suntodelcomentario">
    <w:name w:val="annotation subject"/>
    <w:basedOn w:val="Textocomentario"/>
    <w:next w:val="Textocomentario"/>
    <w:link w:val="AsuntodelcomentarioCar"/>
    <w:uiPriority w:val="99"/>
    <w:semiHidden/>
    <w:unhideWhenUsed/>
    <w:rsid w:val="00852C53"/>
    <w:pPr>
      <w:widowControl w:val="0"/>
      <w:overflowPunct/>
      <w:autoSpaceDE/>
      <w:autoSpaceDN/>
      <w:adjustRightInd/>
      <w:spacing w:after="200"/>
      <w:jc w:val="both"/>
      <w:textAlignment w:val="auto"/>
    </w:pPr>
    <w:rPr>
      <w:rFonts w:ascii="Calibri" w:eastAsia="Calibri" w:hAnsi="Calibri"/>
      <w:b/>
      <w:bCs/>
      <w:lang w:val="es-ES" w:eastAsia="x-none"/>
    </w:rPr>
  </w:style>
  <w:style w:type="character" w:customStyle="1" w:styleId="AsuntodelcomentarioCar">
    <w:name w:val="Asunto del comentario Car"/>
    <w:basedOn w:val="TextocomentarioCar"/>
    <w:link w:val="Asuntodelcomentario"/>
    <w:uiPriority w:val="99"/>
    <w:semiHidden/>
    <w:rsid w:val="00852C53"/>
    <w:rPr>
      <w:rFonts w:ascii="Calibri" w:eastAsia="Calibri" w:hAnsi="Calibri" w:cs="Times New Roman"/>
      <w:b/>
      <w:bCs/>
      <w:sz w:val="20"/>
      <w:szCs w:val="20"/>
      <w:lang w:val="es-ES" w:eastAsia="x-none"/>
    </w:rPr>
  </w:style>
  <w:style w:type="character" w:customStyle="1" w:styleId="verd11">
    <w:name w:val="verd11"/>
    <w:basedOn w:val="Fuentedeprrafopredeter"/>
    <w:rsid w:val="00852C53"/>
  </w:style>
  <w:style w:type="table" w:styleId="Cuadrculaclara-nfasis1">
    <w:name w:val="Light Grid Accent 1"/>
    <w:basedOn w:val="Tablanormal"/>
    <w:uiPriority w:val="62"/>
    <w:rsid w:val="00852C53"/>
    <w:pPr>
      <w:widowControl/>
      <w:autoSpaceDE/>
      <w:autoSpaceDN/>
    </w:pPr>
    <w:rPr>
      <w:rFonts w:ascii="Humanst521 BT" w:hAnsi="Humanst521 BT" w:cs="Times New Roman"/>
      <w:szCs w:val="24"/>
      <w:lang w:val="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TextoindependienteCar">
    <w:name w:val="Texto independiente Car"/>
    <w:basedOn w:val="Fuentedeprrafopredeter"/>
    <w:link w:val="Textoindependiente"/>
    <w:rsid w:val="00852C53"/>
    <w:rPr>
      <w:rFonts w:ascii="Verdana" w:eastAsia="Verdana" w:hAnsi="Verdana" w:cs="Verdana"/>
      <w:sz w:val="24"/>
      <w:szCs w:val="24"/>
      <w:lang w:val="es-ES"/>
    </w:rPr>
  </w:style>
  <w:style w:type="paragraph" w:customStyle="1" w:styleId="Titulo4">
    <w:name w:val="Titulo 4"/>
    <w:basedOn w:val="Normal"/>
    <w:rsid w:val="00852C53"/>
    <w:pPr>
      <w:keepNext/>
      <w:tabs>
        <w:tab w:val="left" w:pos="204"/>
        <w:tab w:val="left" w:pos="1104"/>
      </w:tabs>
      <w:autoSpaceDE/>
      <w:autoSpaceDN/>
      <w:snapToGrid w:val="0"/>
      <w:spacing w:line="413" w:lineRule="atLeast"/>
      <w:jc w:val="both"/>
      <w:outlineLvl w:val="2"/>
    </w:pPr>
    <w:rPr>
      <w:rFonts w:ascii="Arial" w:eastAsiaTheme="minorHAnsi" w:hAnsi="Arial" w:cs="Times New Roman"/>
      <w:sz w:val="20"/>
      <w:szCs w:val="20"/>
      <w:lang w:val="es-MX"/>
    </w:rPr>
  </w:style>
  <w:style w:type="character" w:customStyle="1" w:styleId="apple-converted-space">
    <w:name w:val="apple-converted-space"/>
    <w:basedOn w:val="Fuentedeprrafopredeter"/>
    <w:rsid w:val="00852C53"/>
  </w:style>
  <w:style w:type="paragraph" w:styleId="Sinespaciado">
    <w:name w:val="No Spacing"/>
    <w:link w:val="SinespaciadoCar"/>
    <w:uiPriority w:val="1"/>
    <w:qFormat/>
    <w:rsid w:val="00852C53"/>
    <w:pPr>
      <w:widowControl/>
      <w:autoSpaceDE/>
      <w:autoSpaceDN/>
    </w:pPr>
    <w:rPr>
      <w:rFonts w:ascii="Humanst521 BT" w:hAnsi="Humanst521 BT" w:cs="Times New Roman"/>
      <w:szCs w:val="24"/>
      <w:lang w:val="es-CO"/>
    </w:rPr>
  </w:style>
  <w:style w:type="table" w:customStyle="1" w:styleId="Cuadrculaclara-nfasis14">
    <w:name w:val="Cuadrícula clara - Énfasis 14"/>
    <w:basedOn w:val="Tablanormal"/>
    <w:uiPriority w:val="62"/>
    <w:rsid w:val="00852C53"/>
    <w:pPr>
      <w:widowControl/>
      <w:autoSpaceDE/>
      <w:autoSpaceDN/>
    </w:pPr>
    <w:rPr>
      <w:rFonts w:ascii="Humanst521 BT" w:hAnsi="Humanst521 BT" w:cs="Times New Roman"/>
      <w:szCs w:val="24"/>
      <w:lang w:val="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latitude">
    <w:name w:val="latitude"/>
    <w:basedOn w:val="Fuentedeprrafopredeter"/>
    <w:rsid w:val="00852C53"/>
  </w:style>
  <w:style w:type="character" w:customStyle="1" w:styleId="longitude">
    <w:name w:val="longitude"/>
    <w:basedOn w:val="Fuentedeprrafopredeter"/>
    <w:rsid w:val="00852C53"/>
  </w:style>
  <w:style w:type="character" w:customStyle="1" w:styleId="a26134b9beba74a54bb05a9a313e5a91411">
    <w:name w:val="a26134b9beba74a54bb05a9a313e5a91411"/>
    <w:basedOn w:val="Fuentedeprrafopredeter"/>
    <w:rsid w:val="00852C53"/>
  </w:style>
  <w:style w:type="character" w:customStyle="1" w:styleId="a26134b9beba74a54bb05a9a313e5a91412">
    <w:name w:val="a26134b9beba74a54bb05a9a313e5a91412"/>
    <w:basedOn w:val="Fuentedeprrafopredeter"/>
    <w:rsid w:val="00852C53"/>
  </w:style>
  <w:style w:type="character" w:customStyle="1" w:styleId="TextonotaalfinalCar">
    <w:name w:val="Texto nota al final Car"/>
    <w:basedOn w:val="Fuentedeprrafopredeter"/>
    <w:link w:val="Textonotaalfinal"/>
    <w:uiPriority w:val="99"/>
    <w:semiHidden/>
    <w:rsid w:val="00852C53"/>
    <w:rPr>
      <w:rFonts w:ascii="Calibri" w:eastAsia="Calibri" w:hAnsi="Calibri" w:cs="Times New Roman"/>
      <w:sz w:val="20"/>
      <w:szCs w:val="20"/>
    </w:rPr>
  </w:style>
  <w:style w:type="paragraph" w:styleId="Textonotaalfinal">
    <w:name w:val="endnote text"/>
    <w:basedOn w:val="Normal"/>
    <w:link w:val="TextonotaalfinalCar"/>
    <w:uiPriority w:val="99"/>
    <w:semiHidden/>
    <w:rsid w:val="00852C53"/>
    <w:pPr>
      <w:autoSpaceDE/>
      <w:autoSpaceDN/>
      <w:jc w:val="both"/>
    </w:pPr>
    <w:rPr>
      <w:rFonts w:ascii="Calibri" w:eastAsia="Calibri" w:hAnsi="Calibri" w:cs="Times New Roman"/>
      <w:sz w:val="20"/>
      <w:szCs w:val="20"/>
      <w:lang w:val="en-US"/>
    </w:rPr>
  </w:style>
  <w:style w:type="character" w:customStyle="1" w:styleId="TextonotaalfinalCar1">
    <w:name w:val="Texto nota al final Car1"/>
    <w:basedOn w:val="Fuentedeprrafopredeter"/>
    <w:uiPriority w:val="99"/>
    <w:semiHidden/>
    <w:rsid w:val="00852C53"/>
    <w:rPr>
      <w:rFonts w:ascii="Verdana" w:eastAsia="Verdana" w:hAnsi="Verdana" w:cs="Verdana"/>
      <w:sz w:val="20"/>
      <w:szCs w:val="20"/>
      <w:lang w:val="es-ES"/>
    </w:rPr>
  </w:style>
  <w:style w:type="table" w:styleId="Tablaconcuadrculaclara">
    <w:name w:val="Grid Table Light"/>
    <w:basedOn w:val="Tablanormal"/>
    <w:uiPriority w:val="40"/>
    <w:rsid w:val="00852C53"/>
    <w:pPr>
      <w:widowControl/>
      <w:autoSpaceDE/>
      <w:autoSpaceDN/>
    </w:pPr>
    <w:rPr>
      <w:rFonts w:ascii="Humanst521 BT" w:hAnsi="Humanst521 BT" w:cs="Times New Roman"/>
      <w:szCs w:val="24"/>
      <w:lang w:val="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nfasis3">
    <w:name w:val="Grid Table 1 Light Accent 3"/>
    <w:basedOn w:val="Tablanormal"/>
    <w:uiPriority w:val="46"/>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concuadrcula5oscura-nfasis3">
    <w:name w:val="Grid Table 5 Dark Accent 3"/>
    <w:basedOn w:val="Tablanormal"/>
    <w:uiPriority w:val="50"/>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3-nfasis3">
    <w:name w:val="Grid Table 3 Accent 3"/>
    <w:basedOn w:val="Tablanormal"/>
    <w:uiPriority w:val="48"/>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Mencinsinresolver1">
    <w:name w:val="Mención sin resolver1"/>
    <w:basedOn w:val="Fuentedeprrafopredeter"/>
    <w:uiPriority w:val="99"/>
    <w:semiHidden/>
    <w:unhideWhenUsed/>
    <w:rsid w:val="00852C53"/>
    <w:rPr>
      <w:color w:val="605E5C"/>
      <w:shd w:val="clear" w:color="auto" w:fill="E1DFDD"/>
    </w:rPr>
  </w:style>
  <w:style w:type="table" w:styleId="Tablaconcuadrcula2-nfasis2">
    <w:name w:val="Grid Table 2 Accent 2"/>
    <w:basedOn w:val="Tablanormal"/>
    <w:uiPriority w:val="47"/>
    <w:rsid w:val="00852C53"/>
    <w:pPr>
      <w:widowControl/>
      <w:autoSpaceDE/>
      <w:autoSpaceDN/>
    </w:pPr>
    <w:rPr>
      <w:rFonts w:ascii="Humanst521 BT" w:hAnsi="Humanst521 BT" w:cs="Times New Roman"/>
      <w:szCs w:val="24"/>
      <w:lang w:val="es-CO"/>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1clara-nfasis1">
    <w:name w:val="Grid Table 1 Light Accent 1"/>
    <w:basedOn w:val="Tablanormal"/>
    <w:uiPriority w:val="46"/>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lista1clara-nfasis2">
    <w:name w:val="List Table 1 Light Accent 2"/>
    <w:basedOn w:val="Tablanormal"/>
    <w:uiPriority w:val="46"/>
    <w:rsid w:val="00852C53"/>
    <w:pPr>
      <w:widowControl/>
      <w:autoSpaceDE/>
      <w:autoSpaceDN/>
    </w:pPr>
    <w:rPr>
      <w:rFonts w:ascii="Humanst521 BT" w:hAnsi="Humanst521 BT" w:cs="Times New Roman"/>
      <w:szCs w:val="24"/>
      <w:lang w:val="es-CO"/>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encinsinresolver2">
    <w:name w:val="Mención sin resolver2"/>
    <w:basedOn w:val="Fuentedeprrafopredeter"/>
    <w:uiPriority w:val="99"/>
    <w:semiHidden/>
    <w:unhideWhenUsed/>
    <w:rsid w:val="00852C53"/>
    <w:rPr>
      <w:color w:val="605E5C"/>
      <w:shd w:val="clear" w:color="auto" w:fill="E1DFDD"/>
    </w:rPr>
  </w:style>
  <w:style w:type="paragraph" w:customStyle="1" w:styleId="Textopredeterminado">
    <w:name w:val="Texto predeterminado"/>
    <w:basedOn w:val="Normal"/>
    <w:rsid w:val="00852C53"/>
    <w:pPr>
      <w:overflowPunct w:val="0"/>
      <w:adjustRightInd w:val="0"/>
      <w:jc w:val="both"/>
      <w:textAlignment w:val="baseline"/>
    </w:pPr>
    <w:rPr>
      <w:rFonts w:ascii="Humanst521 BT" w:eastAsiaTheme="minorHAnsi" w:hAnsi="Humanst521 BT" w:cs="Times New Roman"/>
      <w:szCs w:val="20"/>
      <w:lang w:val="es-CO" w:eastAsia="es-CO"/>
    </w:rPr>
  </w:style>
  <w:style w:type="paragraph" w:customStyle="1" w:styleId="300">
    <w:name w:val="300"/>
    <w:basedOn w:val="Normal"/>
    <w:rsid w:val="00852C53"/>
    <w:pPr>
      <w:tabs>
        <w:tab w:val="left" w:pos="0"/>
      </w:tabs>
      <w:suppressAutoHyphens/>
      <w:autoSpaceDN/>
      <w:jc w:val="both"/>
    </w:pPr>
    <w:rPr>
      <w:rFonts w:ascii="Calibri" w:eastAsia="Calibri" w:hAnsi="Calibri" w:cs="Calibri"/>
      <w:sz w:val="20"/>
      <w:szCs w:val="20"/>
      <w:lang w:val="es-CO" w:eastAsia="ar-SA"/>
    </w:rPr>
  </w:style>
  <w:style w:type="table" w:styleId="Tablanormal1">
    <w:name w:val="Plain Table 1"/>
    <w:basedOn w:val="Tablanormal"/>
    <w:uiPriority w:val="41"/>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5oscura-nfasis2">
    <w:name w:val="List Table 5 Dark Accent 2"/>
    <w:basedOn w:val="Tablanormal"/>
    <w:uiPriority w:val="50"/>
    <w:rsid w:val="00852C53"/>
    <w:pPr>
      <w:widowControl/>
      <w:autoSpaceDE/>
      <w:autoSpaceDN/>
    </w:pPr>
    <w:rPr>
      <w:rFonts w:ascii="Humanst521 BT" w:hAnsi="Humanst521 BT" w:cs="Times New Roman"/>
      <w:color w:val="FFFFFF" w:themeColor="background1"/>
      <w:szCs w:val="24"/>
      <w:lang w:val="es-CO"/>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4-nfasis2">
    <w:name w:val="List Table 4 Accent 2"/>
    <w:basedOn w:val="Tablanormal"/>
    <w:uiPriority w:val="49"/>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a">
    <w:name w:val="List"/>
    <w:basedOn w:val="Normal"/>
    <w:rsid w:val="00852C53"/>
    <w:pPr>
      <w:tabs>
        <w:tab w:val="left" w:pos="0"/>
        <w:tab w:val="left" w:pos="283"/>
      </w:tabs>
      <w:overflowPunct w:val="0"/>
      <w:adjustRightInd w:val="0"/>
      <w:ind w:left="283"/>
      <w:textAlignment w:val="baseline"/>
    </w:pPr>
    <w:rPr>
      <w:rFonts w:ascii="Tahoma" w:eastAsiaTheme="minorHAnsi" w:hAnsi="Tahoma" w:cs="Times New Roman"/>
      <w:sz w:val="24"/>
      <w:szCs w:val="20"/>
      <w:lang w:val="es-CO" w:eastAsia="es-CO"/>
    </w:rPr>
  </w:style>
  <w:style w:type="paragraph" w:styleId="Listaconvietas5">
    <w:name w:val="List Bullet 5"/>
    <w:basedOn w:val="Normal"/>
    <w:semiHidden/>
    <w:rsid w:val="00852C53"/>
    <w:pPr>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Standard">
    <w:name w:val="Standard"/>
    <w:basedOn w:val="Normal"/>
    <w:rsid w:val="00852C53"/>
    <w:pPr>
      <w:overflowPunct w:val="0"/>
      <w:adjustRightInd w:val="0"/>
      <w:textAlignment w:val="baseline"/>
    </w:pPr>
    <w:rPr>
      <w:rFonts w:ascii="Courier New" w:eastAsiaTheme="minorHAnsi" w:hAnsi="Courier New" w:cs="Times New Roman"/>
      <w:sz w:val="24"/>
      <w:szCs w:val="20"/>
      <w:lang w:val="es-CO" w:eastAsia="es-CO"/>
    </w:rPr>
  </w:style>
  <w:style w:type="paragraph" w:customStyle="1" w:styleId="Blockquote">
    <w:name w:val="Blockquote"/>
    <w:basedOn w:val="Normal"/>
    <w:rsid w:val="00852C53"/>
    <w:pPr>
      <w:overflowPunct w:val="0"/>
      <w:adjustRightInd w:val="0"/>
      <w:spacing w:before="100" w:after="100"/>
      <w:ind w:left="360" w:right="360"/>
      <w:textAlignment w:val="baseline"/>
    </w:pPr>
    <w:rPr>
      <w:rFonts w:ascii="Times New Roman" w:eastAsiaTheme="minorHAnsi" w:hAnsi="Times New Roman" w:cs="Times New Roman"/>
      <w:sz w:val="24"/>
      <w:szCs w:val="20"/>
      <w:lang w:val="es-CO" w:eastAsia="es-CO"/>
    </w:rPr>
  </w:style>
  <w:style w:type="paragraph" w:customStyle="1" w:styleId="H2">
    <w:name w:val="H2"/>
    <w:basedOn w:val="Normal"/>
    <w:rsid w:val="00852C53"/>
    <w:pPr>
      <w:keepNext/>
      <w:overflowPunct w:val="0"/>
      <w:adjustRightInd w:val="0"/>
      <w:spacing w:before="100" w:after="100"/>
      <w:textAlignment w:val="baseline"/>
    </w:pPr>
    <w:rPr>
      <w:rFonts w:ascii="Times New Roman" w:eastAsiaTheme="minorHAnsi" w:hAnsi="Times New Roman" w:cs="Times New Roman"/>
      <w:b/>
      <w:sz w:val="36"/>
      <w:szCs w:val="20"/>
      <w:lang w:val="es-CO" w:eastAsia="es-CO"/>
    </w:rPr>
  </w:style>
  <w:style w:type="paragraph" w:customStyle="1" w:styleId="H1">
    <w:name w:val="H1"/>
    <w:basedOn w:val="Normal"/>
    <w:rsid w:val="00852C53"/>
    <w:pPr>
      <w:keepNext/>
      <w:overflowPunct w:val="0"/>
      <w:adjustRightInd w:val="0"/>
      <w:spacing w:before="100" w:after="100"/>
      <w:textAlignment w:val="baseline"/>
    </w:pPr>
    <w:rPr>
      <w:rFonts w:ascii="Times New Roman" w:eastAsiaTheme="minorHAnsi" w:hAnsi="Times New Roman" w:cs="Times New Roman"/>
      <w:b/>
      <w:sz w:val="48"/>
      <w:szCs w:val="20"/>
      <w:lang w:val="es-CO" w:eastAsia="es-CO"/>
    </w:rPr>
  </w:style>
  <w:style w:type="paragraph" w:customStyle="1" w:styleId="Textocomentario1">
    <w:name w:val="Texto comentario1"/>
    <w:basedOn w:val="Normal"/>
    <w:rsid w:val="00852C53"/>
    <w:pPr>
      <w:overflowPunct w:val="0"/>
      <w:adjustRightInd w:val="0"/>
      <w:textAlignment w:val="baseline"/>
    </w:pPr>
    <w:rPr>
      <w:rFonts w:ascii="Times New Roman" w:eastAsiaTheme="minorHAnsi" w:hAnsi="Times New Roman" w:cs="Times New Roman"/>
      <w:sz w:val="20"/>
      <w:szCs w:val="20"/>
      <w:lang w:val="es-CO" w:eastAsia="es-CO"/>
    </w:rPr>
  </w:style>
  <w:style w:type="paragraph" w:customStyle="1" w:styleId="texto">
    <w:name w:val="texto"/>
    <w:basedOn w:val="Normal"/>
    <w:rsid w:val="00852C53"/>
    <w:pPr>
      <w:overflowPunct w:val="0"/>
      <w:adjustRightInd w:val="0"/>
      <w:spacing w:before="100" w:after="100"/>
      <w:textAlignment w:val="baseline"/>
    </w:pPr>
    <w:rPr>
      <w:rFonts w:ascii="Times New Roman" w:eastAsiaTheme="minorHAnsi" w:hAnsi="Times New Roman" w:cs="Times New Roman"/>
      <w:sz w:val="24"/>
      <w:szCs w:val="20"/>
      <w:lang w:val="es-CO" w:eastAsia="es-CO"/>
    </w:rPr>
  </w:style>
  <w:style w:type="paragraph" w:customStyle="1" w:styleId="Ttulo51">
    <w:name w:val="Título 51"/>
    <w:basedOn w:val="Normal"/>
    <w:rsid w:val="00852C53"/>
    <w:pPr>
      <w:overflowPunct w:val="0"/>
      <w:adjustRightInd w:val="0"/>
      <w:spacing w:before="240" w:after="60"/>
      <w:textAlignment w:val="baseline"/>
    </w:pPr>
    <w:rPr>
      <w:rFonts w:ascii="Calibri" w:eastAsiaTheme="minorHAnsi" w:hAnsi="Calibri" w:cs="Times New Roman"/>
      <w:b/>
      <w:i/>
      <w:sz w:val="26"/>
      <w:szCs w:val="20"/>
      <w:lang w:val="es-CO" w:eastAsia="es-CO"/>
    </w:rPr>
  </w:style>
  <w:style w:type="paragraph" w:customStyle="1" w:styleId="Ttulo61">
    <w:name w:val="Título 61"/>
    <w:basedOn w:val="Normal"/>
    <w:rsid w:val="00852C53"/>
    <w:pPr>
      <w:overflowPunct w:val="0"/>
      <w:adjustRightInd w:val="0"/>
      <w:spacing w:before="240" w:after="60"/>
      <w:textAlignment w:val="baseline"/>
    </w:pPr>
    <w:rPr>
      <w:rFonts w:ascii="Calibri" w:eastAsiaTheme="minorHAnsi" w:hAnsi="Calibri" w:cs="Times New Roman"/>
      <w:b/>
      <w:szCs w:val="20"/>
      <w:lang w:val="es-CO" w:eastAsia="es-CO"/>
    </w:rPr>
  </w:style>
  <w:style w:type="paragraph" w:customStyle="1" w:styleId="Textonotapie1">
    <w:name w:val="Texto nota pie1"/>
    <w:basedOn w:val="Normal"/>
    <w:rsid w:val="00852C53"/>
    <w:pPr>
      <w:overflowPunct w:val="0"/>
      <w:adjustRightInd w:val="0"/>
      <w:spacing w:after="200"/>
      <w:textAlignment w:val="baseline"/>
    </w:pPr>
    <w:rPr>
      <w:rFonts w:ascii="Calibri" w:eastAsiaTheme="minorHAnsi" w:hAnsi="Calibri" w:cs="Times New Roman"/>
      <w:sz w:val="20"/>
      <w:szCs w:val="20"/>
      <w:lang w:val="es-CO" w:eastAsia="es-CO"/>
    </w:rPr>
  </w:style>
  <w:style w:type="paragraph" w:customStyle="1" w:styleId="Notaalpie">
    <w:name w:val="Nota al pie"/>
    <w:basedOn w:val="Normal"/>
    <w:rsid w:val="00852C53"/>
    <w:pPr>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CM11">
    <w:name w:val="CM11"/>
    <w:basedOn w:val="Normal"/>
    <w:rsid w:val="00852C53"/>
    <w:pPr>
      <w:overflowPunct w:val="0"/>
      <w:adjustRightInd w:val="0"/>
      <w:textAlignment w:val="baseline"/>
    </w:pPr>
    <w:rPr>
      <w:rFonts w:ascii="Arial" w:eastAsiaTheme="minorHAnsi" w:hAnsi="Arial" w:cs="Times New Roman"/>
      <w:sz w:val="24"/>
      <w:szCs w:val="20"/>
      <w:lang w:val="es-CO" w:eastAsia="es-CO"/>
    </w:rPr>
  </w:style>
  <w:style w:type="paragraph" w:customStyle="1" w:styleId="Prrafodelista1">
    <w:name w:val="Párrafo de lista1"/>
    <w:basedOn w:val="Normal"/>
    <w:rsid w:val="00852C53"/>
    <w:pPr>
      <w:overflowPunct w:val="0"/>
      <w:adjustRightInd w:val="0"/>
      <w:spacing w:after="200" w:line="276" w:lineRule="exact"/>
      <w:ind w:left="720"/>
      <w:textAlignment w:val="baseline"/>
    </w:pPr>
    <w:rPr>
      <w:rFonts w:ascii="Calibri" w:eastAsiaTheme="minorHAnsi" w:hAnsi="Calibri" w:cs="Times New Roman"/>
      <w:szCs w:val="20"/>
      <w:lang w:val="es-CO" w:eastAsia="es-CO"/>
    </w:rPr>
  </w:style>
  <w:style w:type="paragraph" w:customStyle="1" w:styleId="Ttulo11">
    <w:name w:val="Título 11"/>
    <w:basedOn w:val="Normal"/>
    <w:rsid w:val="00852C53"/>
    <w:pPr>
      <w:keepNext/>
      <w:overflowPunct w:val="0"/>
      <w:adjustRightInd w:val="0"/>
      <w:jc w:val="both"/>
      <w:textAlignment w:val="baseline"/>
    </w:pPr>
    <w:rPr>
      <w:rFonts w:ascii="Arial" w:eastAsiaTheme="minorHAnsi" w:hAnsi="Arial" w:cs="Times New Roman"/>
      <w:b/>
      <w:sz w:val="24"/>
      <w:szCs w:val="20"/>
      <w:lang w:val="es-CO" w:eastAsia="es-CO"/>
    </w:rPr>
  </w:style>
  <w:style w:type="paragraph" w:customStyle="1" w:styleId="Textoindependiente1">
    <w:name w:val="Texto independiente1"/>
    <w:basedOn w:val="Normal"/>
    <w:rsid w:val="00852C53"/>
    <w:pPr>
      <w:overflowPunct w:val="0"/>
      <w:adjustRightInd w:val="0"/>
      <w:jc w:val="both"/>
      <w:textAlignment w:val="baseline"/>
    </w:pPr>
    <w:rPr>
      <w:rFonts w:ascii="Arial" w:eastAsiaTheme="minorHAnsi" w:hAnsi="Arial" w:cs="Times New Roman"/>
      <w:szCs w:val="20"/>
      <w:lang w:val="es-MX" w:eastAsia="es-CO"/>
    </w:rPr>
  </w:style>
  <w:style w:type="paragraph" w:customStyle="1" w:styleId="Textopredeterminado3">
    <w:name w:val="Texto predeterminado:3"/>
    <w:basedOn w:val="Normal"/>
    <w:rsid w:val="00852C53"/>
    <w:pPr>
      <w:overflowPunct w:val="0"/>
      <w:adjustRightInd w:val="0"/>
      <w:textAlignment w:val="baseline"/>
    </w:pPr>
    <w:rPr>
      <w:rFonts w:ascii="Times New Roman" w:eastAsiaTheme="minorHAnsi" w:hAnsi="Times New Roman" w:cs="Times New Roman"/>
      <w:sz w:val="24"/>
      <w:szCs w:val="20"/>
      <w:lang w:val="en-US" w:eastAsia="es-CO"/>
    </w:rPr>
  </w:style>
  <w:style w:type="paragraph" w:customStyle="1" w:styleId="Textopredeterminado2">
    <w:name w:val="Texto predeterminado:2"/>
    <w:basedOn w:val="Normal"/>
    <w:rsid w:val="00852C53"/>
    <w:pPr>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315">
    <w:name w:val="315"/>
    <w:basedOn w:val="Normal"/>
    <w:uiPriority w:val="99"/>
    <w:rsid w:val="00852C53"/>
    <w:pPr>
      <w:overflowPunct w:val="0"/>
      <w:adjustRightInd w:val="0"/>
      <w:textAlignment w:val="baseline"/>
    </w:pPr>
    <w:rPr>
      <w:rFonts w:ascii="Times New Roman" w:eastAsiaTheme="minorHAnsi" w:hAnsi="Times New Roman" w:cs="Times New Roman"/>
      <w:sz w:val="20"/>
      <w:szCs w:val="20"/>
      <w:lang w:val="es-CO" w:eastAsia="es-CO"/>
    </w:rPr>
  </w:style>
  <w:style w:type="paragraph" w:customStyle="1" w:styleId="296">
    <w:name w:val="296"/>
    <w:basedOn w:val="Normal"/>
    <w:rsid w:val="00852C53"/>
    <w:pPr>
      <w:overflowPunct w:val="0"/>
      <w:adjustRightInd w:val="0"/>
      <w:textAlignment w:val="baseline"/>
    </w:pPr>
    <w:rPr>
      <w:rFonts w:ascii="Times New Roman" w:eastAsiaTheme="minorHAnsi" w:hAnsi="Times New Roman" w:cs="Times New Roman"/>
      <w:sz w:val="20"/>
      <w:szCs w:val="20"/>
      <w:lang w:val="es-CO" w:eastAsia="es-CO"/>
    </w:rPr>
  </w:style>
  <w:style w:type="paragraph" w:customStyle="1" w:styleId="Predeterminado">
    <w:name w:val="Predeterminado"/>
    <w:basedOn w:val="Normal"/>
    <w:rsid w:val="00852C53"/>
    <w:pPr>
      <w:tabs>
        <w:tab w:val="left" w:pos="0"/>
      </w:tabs>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WW-Predeterminado">
    <w:name w:val="WW-Predeterminado"/>
    <w:basedOn w:val="Normal"/>
    <w:rsid w:val="00852C53"/>
    <w:pPr>
      <w:tabs>
        <w:tab w:val="left" w:pos="0"/>
      </w:tabs>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Textoindependiente21">
    <w:name w:val="Texto independiente 21"/>
    <w:basedOn w:val="Normal"/>
    <w:rsid w:val="00852C53"/>
    <w:pPr>
      <w:overflowPunct w:val="0"/>
      <w:adjustRightInd w:val="0"/>
      <w:jc w:val="center"/>
      <w:textAlignment w:val="baseline"/>
    </w:pPr>
    <w:rPr>
      <w:rFonts w:ascii="Times New Roman" w:eastAsiaTheme="minorHAnsi" w:hAnsi="Times New Roman" w:cs="Times New Roman"/>
      <w:b/>
      <w:szCs w:val="20"/>
      <w:lang w:val="es-ES_tradnl" w:eastAsia="es-CO"/>
    </w:rPr>
  </w:style>
  <w:style w:type="paragraph" w:customStyle="1" w:styleId="EsquemasNosangra">
    <w:name w:val="Esquemas (No sangría)"/>
    <w:basedOn w:val="Normal"/>
    <w:rsid w:val="00852C53"/>
    <w:pPr>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EsquemasSangra">
    <w:name w:val="Esquemas (Sangría)"/>
    <w:basedOn w:val="Normal"/>
    <w:rsid w:val="00852C53"/>
    <w:pPr>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Textodetabla">
    <w:name w:val="Texto de tabla"/>
    <w:basedOn w:val="Normal"/>
    <w:rsid w:val="00852C53"/>
    <w:pPr>
      <w:overflowPunct w:val="0"/>
      <w:adjustRightInd w:val="0"/>
      <w:jc w:val="right"/>
      <w:textAlignment w:val="baseline"/>
    </w:pPr>
    <w:rPr>
      <w:rFonts w:ascii="Times New Roman" w:eastAsiaTheme="minorHAnsi" w:hAnsi="Times New Roman" w:cs="Times New Roman"/>
      <w:sz w:val="24"/>
      <w:szCs w:val="20"/>
      <w:lang w:val="es-CO" w:eastAsia="es-CO"/>
    </w:rPr>
  </w:style>
  <w:style w:type="paragraph" w:customStyle="1" w:styleId="Sangraprimeralnea">
    <w:name w:val="Sangría  primera línea"/>
    <w:basedOn w:val="Normal"/>
    <w:rsid w:val="00852C53"/>
    <w:pPr>
      <w:overflowPunct w:val="0"/>
      <w:adjustRightInd w:val="0"/>
      <w:ind w:firstLine="720"/>
      <w:textAlignment w:val="baseline"/>
    </w:pPr>
    <w:rPr>
      <w:rFonts w:ascii="Times New Roman" w:eastAsiaTheme="minorHAnsi" w:hAnsi="Times New Roman" w:cs="Times New Roman"/>
      <w:sz w:val="24"/>
      <w:szCs w:val="20"/>
      <w:lang w:val="es-CO" w:eastAsia="es-CO"/>
    </w:rPr>
  </w:style>
  <w:style w:type="paragraph" w:customStyle="1" w:styleId="Vieta2">
    <w:name w:val="Viñeta 2"/>
    <w:basedOn w:val="Normal"/>
    <w:rsid w:val="00852C53"/>
    <w:pPr>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Vieta1">
    <w:name w:val="Viñeta 1"/>
    <w:basedOn w:val="Normal"/>
    <w:rsid w:val="00852C53"/>
    <w:pPr>
      <w:overflowPunct w:val="0"/>
      <w:adjustRightInd w:val="0"/>
      <w:textAlignment w:val="baseline"/>
    </w:pPr>
    <w:rPr>
      <w:rFonts w:ascii="Times New Roman" w:eastAsiaTheme="minorHAnsi" w:hAnsi="Times New Roman" w:cs="Times New Roman"/>
      <w:sz w:val="24"/>
      <w:szCs w:val="20"/>
      <w:lang w:val="es-CO" w:eastAsia="es-CO"/>
    </w:rPr>
  </w:style>
  <w:style w:type="paragraph" w:customStyle="1" w:styleId="Simple">
    <w:name w:val="Simple"/>
    <w:basedOn w:val="Normal"/>
    <w:rsid w:val="00852C53"/>
    <w:pPr>
      <w:overflowPunct w:val="0"/>
      <w:adjustRightInd w:val="0"/>
      <w:textAlignment w:val="baseline"/>
    </w:pPr>
    <w:rPr>
      <w:rFonts w:ascii="Times New Roman" w:eastAsiaTheme="minorHAnsi" w:hAnsi="Times New Roman" w:cs="Times New Roman"/>
      <w:sz w:val="24"/>
      <w:szCs w:val="20"/>
      <w:lang w:val="es-CO" w:eastAsia="es-CO"/>
    </w:rPr>
  </w:style>
  <w:style w:type="character" w:customStyle="1" w:styleId="nfasis1">
    <w:name w:val="Énfasis1"/>
    <w:rsid w:val="00852C53"/>
    <w:rPr>
      <w:i/>
      <w:color w:val="auto"/>
      <w:spacing w:val="0"/>
      <w:sz w:val="24"/>
    </w:rPr>
  </w:style>
  <w:style w:type="character" w:customStyle="1" w:styleId="Refdecomentario1">
    <w:name w:val="Ref. de comentario1"/>
    <w:rsid w:val="00852C53"/>
    <w:rPr>
      <w:color w:val="auto"/>
      <w:spacing w:val="0"/>
      <w:sz w:val="16"/>
    </w:rPr>
  </w:style>
  <w:style w:type="character" w:customStyle="1" w:styleId="Textoennegrita1">
    <w:name w:val="Texto en negrita1"/>
    <w:rsid w:val="00852C53"/>
    <w:rPr>
      <w:b/>
      <w:color w:val="auto"/>
      <w:spacing w:val="0"/>
      <w:sz w:val="24"/>
    </w:rPr>
  </w:style>
  <w:style w:type="character" w:customStyle="1" w:styleId="WW8Num37z0">
    <w:name w:val="WW8Num37z0"/>
    <w:rsid w:val="00852C53"/>
    <w:rPr>
      <w:sz w:val="24"/>
    </w:rPr>
  </w:style>
  <w:style w:type="character" w:customStyle="1" w:styleId="WW8Num29z0">
    <w:name w:val="WW8Num29z0"/>
    <w:rsid w:val="00852C53"/>
    <w:rPr>
      <w:sz w:val="24"/>
    </w:rPr>
  </w:style>
  <w:style w:type="character" w:customStyle="1" w:styleId="SinespaciadoCar">
    <w:name w:val="Sin espaciado Car"/>
    <w:basedOn w:val="Fuentedeprrafopredeter"/>
    <w:link w:val="Sinespaciado"/>
    <w:uiPriority w:val="1"/>
    <w:rsid w:val="00852C53"/>
    <w:rPr>
      <w:rFonts w:ascii="Humanst521 BT" w:hAnsi="Humanst521 BT" w:cs="Times New Roman"/>
      <w:szCs w:val="24"/>
      <w:lang w:val="es-CO"/>
    </w:rPr>
  </w:style>
  <w:style w:type="character" w:styleId="Refdenotaalfinal">
    <w:name w:val="endnote reference"/>
    <w:basedOn w:val="Fuentedeprrafopredeter"/>
    <w:uiPriority w:val="99"/>
    <w:semiHidden/>
    <w:unhideWhenUsed/>
    <w:rsid w:val="00852C53"/>
    <w:rPr>
      <w:vertAlign w:val="superscript"/>
    </w:rPr>
  </w:style>
  <w:style w:type="paragraph" w:styleId="TDC5">
    <w:name w:val="toc 5"/>
    <w:basedOn w:val="Normal"/>
    <w:next w:val="Normal"/>
    <w:autoRedefine/>
    <w:uiPriority w:val="39"/>
    <w:unhideWhenUsed/>
    <w:rsid w:val="00852C53"/>
    <w:pPr>
      <w:ind w:left="660"/>
    </w:pPr>
    <w:rPr>
      <w:rFonts w:asciiTheme="minorHAnsi" w:hAnsiTheme="minorHAnsi" w:cstheme="minorHAnsi"/>
      <w:sz w:val="20"/>
      <w:szCs w:val="20"/>
    </w:rPr>
  </w:style>
  <w:style w:type="paragraph" w:styleId="TDC6">
    <w:name w:val="toc 6"/>
    <w:basedOn w:val="Normal"/>
    <w:next w:val="Normal"/>
    <w:autoRedefine/>
    <w:uiPriority w:val="39"/>
    <w:unhideWhenUsed/>
    <w:rsid w:val="00852C53"/>
    <w:pPr>
      <w:ind w:left="880"/>
    </w:pPr>
    <w:rPr>
      <w:rFonts w:asciiTheme="minorHAnsi" w:hAnsiTheme="minorHAnsi" w:cstheme="minorHAnsi"/>
      <w:sz w:val="20"/>
      <w:szCs w:val="20"/>
    </w:rPr>
  </w:style>
  <w:style w:type="paragraph" w:styleId="TDC7">
    <w:name w:val="toc 7"/>
    <w:basedOn w:val="Normal"/>
    <w:next w:val="Normal"/>
    <w:autoRedefine/>
    <w:uiPriority w:val="39"/>
    <w:unhideWhenUsed/>
    <w:rsid w:val="00852C53"/>
    <w:pPr>
      <w:ind w:left="1100"/>
    </w:pPr>
    <w:rPr>
      <w:rFonts w:asciiTheme="minorHAnsi" w:hAnsiTheme="minorHAnsi" w:cstheme="minorHAnsi"/>
      <w:sz w:val="20"/>
      <w:szCs w:val="20"/>
    </w:rPr>
  </w:style>
  <w:style w:type="paragraph" w:styleId="TDC8">
    <w:name w:val="toc 8"/>
    <w:basedOn w:val="Normal"/>
    <w:next w:val="Normal"/>
    <w:autoRedefine/>
    <w:uiPriority w:val="39"/>
    <w:unhideWhenUsed/>
    <w:rsid w:val="00852C53"/>
    <w:pPr>
      <w:ind w:left="1320"/>
    </w:pPr>
    <w:rPr>
      <w:rFonts w:asciiTheme="minorHAnsi" w:hAnsiTheme="minorHAnsi" w:cstheme="minorHAnsi"/>
      <w:sz w:val="20"/>
      <w:szCs w:val="20"/>
    </w:rPr>
  </w:style>
  <w:style w:type="paragraph" w:styleId="TDC9">
    <w:name w:val="toc 9"/>
    <w:basedOn w:val="Normal"/>
    <w:next w:val="Normal"/>
    <w:autoRedefine/>
    <w:uiPriority w:val="39"/>
    <w:unhideWhenUsed/>
    <w:rsid w:val="00852C53"/>
    <w:pPr>
      <w:ind w:left="1540"/>
    </w:pPr>
    <w:rPr>
      <w:rFonts w:asciiTheme="minorHAnsi" w:hAnsiTheme="minorHAnsi" w:cstheme="minorHAnsi"/>
      <w:sz w:val="20"/>
      <w:szCs w:val="20"/>
    </w:rPr>
  </w:style>
  <w:style w:type="character" w:customStyle="1" w:styleId="TtuloCar">
    <w:name w:val="Título Car"/>
    <w:basedOn w:val="Fuentedeprrafopredeter"/>
    <w:uiPriority w:val="10"/>
    <w:rsid w:val="00852C53"/>
    <w:rPr>
      <w:rFonts w:asciiTheme="majorHAnsi" w:eastAsiaTheme="majorEastAsia" w:hAnsiTheme="majorHAnsi" w:cstheme="majorBidi"/>
      <w:spacing w:val="-10"/>
      <w:kern w:val="28"/>
      <w:sz w:val="56"/>
      <w:szCs w:val="56"/>
      <w:lang w:val="es-ES" w:eastAsia="es-ES"/>
    </w:rPr>
  </w:style>
  <w:style w:type="character" w:customStyle="1" w:styleId="TtuloCar1">
    <w:name w:val="Título Car1"/>
    <w:basedOn w:val="Fuentedeprrafopredeter"/>
    <w:link w:val="Ttulo"/>
    <w:uiPriority w:val="10"/>
    <w:rsid w:val="00852C53"/>
    <w:rPr>
      <w:rFonts w:ascii="Verdana" w:eastAsia="Verdana" w:hAnsi="Verdana" w:cs="Verdana"/>
      <w:b/>
      <w:bCs/>
      <w:sz w:val="56"/>
      <w:szCs w:val="56"/>
      <w:lang w:val="es-ES"/>
    </w:rPr>
  </w:style>
  <w:style w:type="paragraph" w:styleId="Subttulo">
    <w:name w:val="Subtitle"/>
    <w:basedOn w:val="Normal"/>
    <w:next w:val="Normal"/>
    <w:link w:val="SubttuloCar"/>
    <w:uiPriority w:val="11"/>
    <w:qFormat/>
    <w:rsid w:val="00852C53"/>
    <w:pPr>
      <w:numPr>
        <w:ilvl w:val="1"/>
      </w:numPr>
      <w:autoSpaceDE/>
      <w:autoSpaceDN/>
      <w:spacing w:after="200" w:line="276" w:lineRule="auto"/>
    </w:pPr>
    <w:rPr>
      <w:rFonts w:asciiTheme="majorHAnsi" w:eastAsiaTheme="majorEastAsia" w:hAnsiTheme="majorHAnsi" w:cstheme="majorBidi"/>
      <w:i/>
      <w:iCs/>
      <w:color w:val="4472C4" w:themeColor="accent1"/>
      <w:spacing w:val="15"/>
      <w:sz w:val="24"/>
      <w:szCs w:val="24"/>
      <w:lang w:val="es-CO" w:eastAsia="es-CO"/>
    </w:rPr>
  </w:style>
  <w:style w:type="character" w:customStyle="1" w:styleId="SubttuloCar">
    <w:name w:val="Subtítulo Car"/>
    <w:basedOn w:val="Fuentedeprrafopredeter"/>
    <w:link w:val="Subttulo"/>
    <w:uiPriority w:val="11"/>
    <w:rsid w:val="00852C53"/>
    <w:rPr>
      <w:rFonts w:asciiTheme="majorHAnsi" w:eastAsiaTheme="majorEastAsia" w:hAnsiTheme="majorHAnsi" w:cstheme="majorBidi"/>
      <w:i/>
      <w:iCs/>
      <w:color w:val="4472C4" w:themeColor="accent1"/>
      <w:spacing w:val="15"/>
      <w:sz w:val="24"/>
      <w:szCs w:val="24"/>
      <w:lang w:val="es-CO" w:eastAsia="es-CO"/>
    </w:rPr>
  </w:style>
  <w:style w:type="character" w:customStyle="1" w:styleId="st">
    <w:name w:val="st"/>
    <w:basedOn w:val="Fuentedeprrafopredeter"/>
    <w:rsid w:val="00852C53"/>
  </w:style>
  <w:style w:type="paragraph" w:styleId="Revisin">
    <w:name w:val="Revision"/>
    <w:hidden/>
    <w:uiPriority w:val="99"/>
    <w:semiHidden/>
    <w:rsid w:val="00852C53"/>
    <w:pPr>
      <w:widowControl/>
      <w:autoSpaceDE/>
      <w:autoSpaceDN/>
    </w:pPr>
    <w:rPr>
      <w:rFonts w:ascii="Times New Roman" w:eastAsia="Times New Roman" w:hAnsi="Times New Roman" w:cs="Times New Roman"/>
      <w:noProof/>
      <w:sz w:val="24"/>
      <w:szCs w:val="20"/>
      <w:lang w:val="es-CO" w:eastAsia="es-CO"/>
    </w:rPr>
  </w:style>
  <w:style w:type="character" w:styleId="nfasis">
    <w:name w:val="Emphasis"/>
    <w:basedOn w:val="Fuentedeprrafopredeter"/>
    <w:uiPriority w:val="20"/>
    <w:qFormat/>
    <w:rsid w:val="00852C53"/>
    <w:rPr>
      <w:i/>
      <w:iCs/>
    </w:rPr>
  </w:style>
  <w:style w:type="paragraph" w:customStyle="1" w:styleId="m-6474463142359513607textopredeterminado2">
    <w:name w:val="m_-6474463142359513607textopredeterminado2"/>
    <w:basedOn w:val="Normal"/>
    <w:rsid w:val="00852C53"/>
    <w:pPr>
      <w:autoSpaceDE/>
      <w:autoSpaceDN/>
      <w:spacing w:before="100" w:beforeAutospacing="1" w:after="100" w:afterAutospacing="1"/>
    </w:pPr>
    <w:rPr>
      <w:rFonts w:ascii="Times New Roman" w:eastAsiaTheme="minorHAnsi" w:hAnsi="Times New Roman" w:cs="Times New Roman"/>
      <w:sz w:val="24"/>
      <w:szCs w:val="24"/>
      <w:lang w:val="es-CO" w:eastAsia="es-CO"/>
    </w:rPr>
  </w:style>
  <w:style w:type="paragraph" w:customStyle="1" w:styleId="xmsonormal">
    <w:name w:val="x_msonormal"/>
    <w:basedOn w:val="Normal"/>
    <w:rsid w:val="00852C53"/>
    <w:pPr>
      <w:autoSpaceDE/>
      <w:autoSpaceDN/>
      <w:spacing w:before="100" w:beforeAutospacing="1" w:after="100" w:afterAutospacing="1"/>
    </w:pPr>
    <w:rPr>
      <w:rFonts w:ascii="Times New Roman" w:eastAsiaTheme="minorHAnsi" w:hAnsi="Times New Roman" w:cs="Times New Roman"/>
      <w:sz w:val="24"/>
      <w:szCs w:val="24"/>
      <w:lang w:val="es-CO" w:eastAsia="es-CO"/>
    </w:rPr>
  </w:style>
  <w:style w:type="character" w:customStyle="1" w:styleId="Fuentedeprrafopredeter1">
    <w:name w:val="Fuente de párrafo predeter.1"/>
    <w:rsid w:val="00852C53"/>
  </w:style>
  <w:style w:type="character" w:customStyle="1" w:styleId="Absatz-Standardschriftart">
    <w:name w:val="Absatz-Standardschriftart"/>
    <w:rsid w:val="00852C53"/>
  </w:style>
  <w:style w:type="character" w:customStyle="1" w:styleId="WW-Absatz-Standardschriftart">
    <w:name w:val="WW-Absatz-Standardschriftart"/>
    <w:rsid w:val="00852C53"/>
  </w:style>
  <w:style w:type="character" w:customStyle="1" w:styleId="WW-Absatz-Standardschriftart1">
    <w:name w:val="WW-Absatz-Standardschriftart1"/>
    <w:rsid w:val="00852C53"/>
  </w:style>
  <w:style w:type="character" w:customStyle="1" w:styleId="WW-Absatz-Standardschriftart11">
    <w:name w:val="WW-Absatz-Standardschriftart11"/>
    <w:rsid w:val="00852C53"/>
  </w:style>
  <w:style w:type="character" w:customStyle="1" w:styleId="WW-Absatz-Standardschriftart111">
    <w:name w:val="WW-Absatz-Standardschriftart111"/>
    <w:rsid w:val="00852C53"/>
  </w:style>
  <w:style w:type="character" w:customStyle="1" w:styleId="WW-Absatz-Standardschriftart1111">
    <w:name w:val="WW-Absatz-Standardschriftart1111"/>
    <w:rsid w:val="00852C53"/>
  </w:style>
  <w:style w:type="character" w:customStyle="1" w:styleId="WW-Absatz-Standardschriftart11111">
    <w:name w:val="WW-Absatz-Standardschriftart11111"/>
    <w:rsid w:val="00852C53"/>
  </w:style>
  <w:style w:type="character" w:customStyle="1" w:styleId="WW-Absatz-Standardschriftart111111">
    <w:name w:val="WW-Absatz-Standardschriftart111111"/>
    <w:rsid w:val="00852C53"/>
  </w:style>
  <w:style w:type="character" w:customStyle="1" w:styleId="WW-Absatz-Standardschriftart1111111">
    <w:name w:val="WW-Absatz-Standardschriftart1111111"/>
    <w:rsid w:val="00852C53"/>
  </w:style>
  <w:style w:type="character" w:customStyle="1" w:styleId="WW-Absatz-Standardschriftart11111111">
    <w:name w:val="WW-Absatz-Standardschriftart11111111"/>
    <w:rsid w:val="00852C53"/>
  </w:style>
  <w:style w:type="character" w:customStyle="1" w:styleId="WW-Absatz-Standardschriftart111111111">
    <w:name w:val="WW-Absatz-Standardschriftart111111111"/>
    <w:rsid w:val="00852C53"/>
  </w:style>
  <w:style w:type="character" w:customStyle="1" w:styleId="WW-Absatz-Standardschriftart1111111111">
    <w:name w:val="WW-Absatz-Standardschriftart1111111111"/>
    <w:rsid w:val="00852C53"/>
  </w:style>
  <w:style w:type="character" w:customStyle="1" w:styleId="WW-Absatz-Standardschriftart11111111111">
    <w:name w:val="WW-Absatz-Standardschriftart11111111111"/>
    <w:rsid w:val="00852C53"/>
  </w:style>
  <w:style w:type="character" w:customStyle="1" w:styleId="WW-Absatz-Standardschriftart111111111111">
    <w:name w:val="WW-Absatz-Standardschriftart111111111111"/>
    <w:rsid w:val="00852C53"/>
  </w:style>
  <w:style w:type="character" w:customStyle="1" w:styleId="WW-Absatz-Standardschriftart1111111111111">
    <w:name w:val="WW-Absatz-Standardschriftart1111111111111"/>
    <w:rsid w:val="00852C53"/>
  </w:style>
  <w:style w:type="character" w:customStyle="1" w:styleId="WW-Absatz-Standardschriftart11111111111111">
    <w:name w:val="WW-Absatz-Standardschriftart11111111111111"/>
    <w:rsid w:val="00852C53"/>
  </w:style>
  <w:style w:type="character" w:customStyle="1" w:styleId="WW-Absatz-Standardschriftart111111111111111">
    <w:name w:val="WW-Absatz-Standardschriftart111111111111111"/>
    <w:rsid w:val="00852C53"/>
  </w:style>
  <w:style w:type="character" w:customStyle="1" w:styleId="WW-Absatz-Standardschriftart1111111111111111">
    <w:name w:val="WW-Absatz-Standardschriftart1111111111111111"/>
    <w:rsid w:val="00852C53"/>
  </w:style>
  <w:style w:type="character" w:customStyle="1" w:styleId="WW-Absatz-Standardschriftart11111111111111111">
    <w:name w:val="WW-Absatz-Standardschriftart11111111111111111"/>
    <w:rsid w:val="00852C53"/>
  </w:style>
  <w:style w:type="character" w:customStyle="1" w:styleId="WW-Absatz-Standardschriftart111111111111111111">
    <w:name w:val="WW-Absatz-Standardschriftart111111111111111111"/>
    <w:rsid w:val="00852C53"/>
  </w:style>
  <w:style w:type="character" w:customStyle="1" w:styleId="WW-Absatz-Standardschriftart1111111111111111111">
    <w:name w:val="WW-Absatz-Standardschriftart1111111111111111111"/>
    <w:rsid w:val="00852C53"/>
  </w:style>
  <w:style w:type="character" w:customStyle="1" w:styleId="WW-Absatz-Standardschriftart11111111111111111111">
    <w:name w:val="WW-Absatz-Standardschriftart11111111111111111111"/>
    <w:rsid w:val="00852C53"/>
  </w:style>
  <w:style w:type="character" w:customStyle="1" w:styleId="WW-Absatz-Standardschriftart111111111111111111111">
    <w:name w:val="WW-Absatz-Standardschriftart111111111111111111111"/>
    <w:rsid w:val="00852C53"/>
  </w:style>
  <w:style w:type="character" w:customStyle="1" w:styleId="WW-Absatz-Standardschriftart1111111111111111111111">
    <w:name w:val="WW-Absatz-Standardschriftart1111111111111111111111"/>
    <w:rsid w:val="00852C53"/>
  </w:style>
  <w:style w:type="character" w:customStyle="1" w:styleId="WW-Absatz-Standardschriftart11111111111111111111111">
    <w:name w:val="WW-Absatz-Standardschriftart11111111111111111111111"/>
    <w:rsid w:val="00852C53"/>
  </w:style>
  <w:style w:type="character" w:customStyle="1" w:styleId="WW-Absatz-Standardschriftart111111111111111111111111">
    <w:name w:val="WW-Absatz-Standardschriftart111111111111111111111111"/>
    <w:rsid w:val="00852C53"/>
  </w:style>
  <w:style w:type="character" w:customStyle="1" w:styleId="WW-Absatz-Standardschriftart1111111111111111111111111">
    <w:name w:val="WW-Absatz-Standardschriftart1111111111111111111111111"/>
    <w:rsid w:val="00852C53"/>
  </w:style>
  <w:style w:type="character" w:customStyle="1" w:styleId="WW-Absatz-Standardschriftart11111111111111111111111111">
    <w:name w:val="WW-Absatz-Standardschriftart11111111111111111111111111"/>
    <w:rsid w:val="00852C53"/>
  </w:style>
  <w:style w:type="character" w:customStyle="1" w:styleId="WW-Absatz-Standardschriftart111111111111111111111111111">
    <w:name w:val="WW-Absatz-Standardschriftart111111111111111111111111111"/>
    <w:rsid w:val="00852C53"/>
  </w:style>
  <w:style w:type="character" w:customStyle="1" w:styleId="WW-Absatz-Standardschriftart1111111111111111111111111111">
    <w:name w:val="WW-Absatz-Standardschriftart1111111111111111111111111111"/>
    <w:rsid w:val="00852C53"/>
  </w:style>
  <w:style w:type="character" w:customStyle="1" w:styleId="WW-Absatz-Standardschriftart11111111111111111111111111111">
    <w:name w:val="WW-Absatz-Standardschriftart11111111111111111111111111111"/>
    <w:rsid w:val="00852C53"/>
  </w:style>
  <w:style w:type="character" w:customStyle="1" w:styleId="WW-Absatz-Standardschriftart111111111111111111111111111111">
    <w:name w:val="WW-Absatz-Standardschriftart111111111111111111111111111111"/>
    <w:rsid w:val="00852C53"/>
  </w:style>
  <w:style w:type="character" w:customStyle="1" w:styleId="WW-Absatz-Standardschriftart1111111111111111111111111111111">
    <w:name w:val="WW-Absatz-Standardschriftart1111111111111111111111111111111"/>
    <w:rsid w:val="00852C53"/>
  </w:style>
  <w:style w:type="character" w:customStyle="1" w:styleId="WW-Absatz-Standardschriftart11111111111111111111111111111111">
    <w:name w:val="WW-Absatz-Standardschriftart11111111111111111111111111111111"/>
    <w:rsid w:val="00852C53"/>
  </w:style>
  <w:style w:type="character" w:customStyle="1" w:styleId="WW-Absatz-Standardschriftart111111111111111111111111111111111">
    <w:name w:val="WW-Absatz-Standardschriftart111111111111111111111111111111111"/>
    <w:rsid w:val="00852C53"/>
  </w:style>
  <w:style w:type="character" w:customStyle="1" w:styleId="WW-Absatz-Standardschriftart1111111111111111111111111111111111">
    <w:name w:val="WW-Absatz-Standardschriftart1111111111111111111111111111111111"/>
    <w:rsid w:val="00852C53"/>
  </w:style>
  <w:style w:type="character" w:customStyle="1" w:styleId="WW-Absatz-Standardschriftart11111111111111111111111111111111111">
    <w:name w:val="WW-Absatz-Standardschriftart11111111111111111111111111111111111"/>
    <w:rsid w:val="00852C53"/>
  </w:style>
  <w:style w:type="character" w:customStyle="1" w:styleId="WW-Absatz-Standardschriftart111111111111111111111111111111111111">
    <w:name w:val="WW-Absatz-Standardschriftart111111111111111111111111111111111111"/>
    <w:rsid w:val="00852C53"/>
  </w:style>
  <w:style w:type="character" w:customStyle="1" w:styleId="WW-Absatz-Standardschriftart1111111111111111111111111111111111111">
    <w:name w:val="WW-Absatz-Standardschriftart1111111111111111111111111111111111111"/>
    <w:rsid w:val="00852C53"/>
  </w:style>
  <w:style w:type="character" w:customStyle="1" w:styleId="WW-Absatz-Standardschriftart11111111111111111111111111111111111111">
    <w:name w:val="WW-Absatz-Standardschriftart11111111111111111111111111111111111111"/>
    <w:rsid w:val="00852C53"/>
  </w:style>
  <w:style w:type="character" w:customStyle="1" w:styleId="WW-Absatz-Standardschriftart111111111111111111111111111111111111111">
    <w:name w:val="WW-Absatz-Standardschriftart111111111111111111111111111111111111111"/>
    <w:rsid w:val="00852C53"/>
  </w:style>
  <w:style w:type="character" w:customStyle="1" w:styleId="WW-Absatz-Standardschriftart1111111111111111111111111111111111111111">
    <w:name w:val="WW-Absatz-Standardschriftart1111111111111111111111111111111111111111"/>
    <w:rsid w:val="00852C53"/>
  </w:style>
  <w:style w:type="character" w:customStyle="1" w:styleId="WW-Absatz-Standardschriftart11111111111111111111111111111111111111111">
    <w:name w:val="WW-Absatz-Standardschriftart11111111111111111111111111111111111111111"/>
    <w:rsid w:val="00852C53"/>
  </w:style>
  <w:style w:type="character" w:customStyle="1" w:styleId="WW-Absatz-Standardschriftart111111111111111111111111111111111111111111">
    <w:name w:val="WW-Absatz-Standardschriftart111111111111111111111111111111111111111111"/>
    <w:rsid w:val="00852C53"/>
  </w:style>
  <w:style w:type="character" w:customStyle="1" w:styleId="WW-Absatz-Standardschriftart1111111111111111111111111111111111111111111">
    <w:name w:val="WW-Absatz-Standardschriftart1111111111111111111111111111111111111111111"/>
    <w:rsid w:val="00852C53"/>
  </w:style>
  <w:style w:type="character" w:customStyle="1" w:styleId="WW-Absatz-Standardschriftart11111111111111111111111111111111111111111111">
    <w:name w:val="WW-Absatz-Standardschriftart11111111111111111111111111111111111111111111"/>
    <w:rsid w:val="00852C53"/>
  </w:style>
  <w:style w:type="character" w:customStyle="1" w:styleId="WW-Absatz-Standardschriftart111111111111111111111111111111111111111111111">
    <w:name w:val="WW-Absatz-Standardschriftart111111111111111111111111111111111111111111111"/>
    <w:rsid w:val="00852C53"/>
  </w:style>
  <w:style w:type="character" w:customStyle="1" w:styleId="WW-Absatz-Standardschriftart1111111111111111111111111111111111111111111111">
    <w:name w:val="WW-Absatz-Standardschriftart1111111111111111111111111111111111111111111111"/>
    <w:rsid w:val="00852C53"/>
  </w:style>
  <w:style w:type="character" w:customStyle="1" w:styleId="WW-Absatz-Standardschriftart11111111111111111111111111111111111111111111111">
    <w:name w:val="WW-Absatz-Standardschriftart11111111111111111111111111111111111111111111111"/>
    <w:rsid w:val="00852C53"/>
  </w:style>
  <w:style w:type="character" w:customStyle="1" w:styleId="WW-Absatz-Standardschriftart111111111111111111111111111111111111111111111111">
    <w:name w:val="WW-Absatz-Standardschriftart111111111111111111111111111111111111111111111111"/>
    <w:rsid w:val="00852C53"/>
  </w:style>
  <w:style w:type="character" w:customStyle="1" w:styleId="WW-Absatz-Standardschriftart1111111111111111111111111111111111111111111111111">
    <w:name w:val="WW-Absatz-Standardschriftart1111111111111111111111111111111111111111111111111"/>
    <w:rsid w:val="00852C53"/>
  </w:style>
  <w:style w:type="character" w:customStyle="1" w:styleId="WW-Absatz-Standardschriftart11111111111111111111111111111111111111111111111111">
    <w:name w:val="WW-Absatz-Standardschriftart11111111111111111111111111111111111111111111111111"/>
    <w:rsid w:val="00852C53"/>
  </w:style>
  <w:style w:type="character" w:customStyle="1" w:styleId="WW-Absatz-Standardschriftart111111111111111111111111111111111111111111111111111">
    <w:name w:val="WW-Absatz-Standardschriftart111111111111111111111111111111111111111111111111111"/>
    <w:rsid w:val="00852C53"/>
  </w:style>
  <w:style w:type="character" w:customStyle="1" w:styleId="WW-Absatz-Standardschriftart1111111111111111111111111111111111111111111111111111">
    <w:name w:val="WW-Absatz-Standardschriftart1111111111111111111111111111111111111111111111111111"/>
    <w:rsid w:val="00852C53"/>
  </w:style>
  <w:style w:type="character" w:customStyle="1" w:styleId="WW-Absatz-Standardschriftart11111111111111111111111111111111111111111111111111111">
    <w:name w:val="WW-Absatz-Standardschriftart11111111111111111111111111111111111111111111111111111"/>
    <w:rsid w:val="00852C53"/>
  </w:style>
  <w:style w:type="character" w:customStyle="1" w:styleId="WW-Absatz-Standardschriftart111111111111111111111111111111111111111111111111111111">
    <w:name w:val="WW-Absatz-Standardschriftart111111111111111111111111111111111111111111111111111111"/>
    <w:rsid w:val="00852C53"/>
  </w:style>
  <w:style w:type="character" w:customStyle="1" w:styleId="WW-Absatz-Standardschriftart1111111111111111111111111111111111111111111111111111111">
    <w:name w:val="WW-Absatz-Standardschriftart1111111111111111111111111111111111111111111111111111111"/>
    <w:rsid w:val="00852C53"/>
  </w:style>
  <w:style w:type="character" w:customStyle="1" w:styleId="WW-Absatz-Standardschriftart11111111111111111111111111111111111111111111111111111111">
    <w:name w:val="WW-Absatz-Standardschriftart11111111111111111111111111111111111111111111111111111111"/>
    <w:rsid w:val="00852C53"/>
  </w:style>
  <w:style w:type="character" w:customStyle="1" w:styleId="WW-Absatz-Standardschriftart111111111111111111111111111111111111111111111111111111111">
    <w:name w:val="WW-Absatz-Standardschriftart111111111111111111111111111111111111111111111111111111111"/>
    <w:rsid w:val="00852C53"/>
  </w:style>
  <w:style w:type="character" w:customStyle="1" w:styleId="WW-Absatz-Standardschriftart1111111111111111111111111111111111111111111111111111111111">
    <w:name w:val="WW-Absatz-Standardschriftart1111111111111111111111111111111111111111111111111111111111"/>
    <w:rsid w:val="00852C53"/>
  </w:style>
  <w:style w:type="character" w:customStyle="1" w:styleId="WW-Absatz-Standardschriftart11111111111111111111111111111111111111111111111111111111111">
    <w:name w:val="WW-Absatz-Standardschriftart11111111111111111111111111111111111111111111111111111111111"/>
    <w:rsid w:val="00852C53"/>
  </w:style>
  <w:style w:type="character" w:customStyle="1" w:styleId="WW-Absatz-Standardschriftart111111111111111111111111111111111111111111111111111111111111">
    <w:name w:val="WW-Absatz-Standardschriftart111111111111111111111111111111111111111111111111111111111111"/>
    <w:rsid w:val="00852C53"/>
  </w:style>
  <w:style w:type="character" w:customStyle="1" w:styleId="WW-Absatz-Standardschriftart1111111111111111111111111111111111111111111111111111111111111">
    <w:name w:val="WW-Absatz-Standardschriftart1111111111111111111111111111111111111111111111111111111111111"/>
    <w:rsid w:val="00852C53"/>
  </w:style>
  <w:style w:type="character" w:customStyle="1" w:styleId="WW-Absatz-Standardschriftart11111111111111111111111111111111111111111111111111111111111111">
    <w:name w:val="WW-Absatz-Standardschriftart11111111111111111111111111111111111111111111111111111111111111"/>
    <w:rsid w:val="00852C53"/>
  </w:style>
  <w:style w:type="character" w:customStyle="1" w:styleId="WW-Absatz-Standardschriftart111111111111111111111111111111111111111111111111111111111111111">
    <w:name w:val="WW-Absatz-Standardschriftart111111111111111111111111111111111111111111111111111111111111111"/>
    <w:rsid w:val="00852C53"/>
  </w:style>
  <w:style w:type="character" w:customStyle="1" w:styleId="WW-Absatz-Standardschriftart1111111111111111111111111111111111111111111111111111111111111111">
    <w:name w:val="WW-Absatz-Standardschriftart1111111111111111111111111111111111111111111111111111111111111111"/>
    <w:rsid w:val="00852C53"/>
  </w:style>
  <w:style w:type="character" w:customStyle="1" w:styleId="WW-Absatz-Standardschriftart11111111111111111111111111111111111111111111111111111111111111111">
    <w:name w:val="WW-Absatz-Standardschriftart11111111111111111111111111111111111111111111111111111111111111111"/>
    <w:rsid w:val="00852C53"/>
  </w:style>
  <w:style w:type="character" w:customStyle="1" w:styleId="WW-Absatz-Standardschriftart111111111111111111111111111111111111111111111111111111111111111111">
    <w:name w:val="WW-Absatz-Standardschriftart111111111111111111111111111111111111111111111111111111111111111111"/>
    <w:rsid w:val="00852C53"/>
  </w:style>
  <w:style w:type="character" w:customStyle="1" w:styleId="WW-Absatz-Standardschriftart1111111111111111111111111111111111111111111111111111111111111111111">
    <w:name w:val="WW-Absatz-Standardschriftart1111111111111111111111111111111111111111111111111111111111111111111"/>
    <w:rsid w:val="00852C53"/>
  </w:style>
  <w:style w:type="character" w:customStyle="1" w:styleId="Vietas">
    <w:name w:val="Viñetas"/>
    <w:rsid w:val="00852C53"/>
    <w:rPr>
      <w:rFonts w:ascii="OpenSymbol" w:hAnsi="OpenSymbol" w:cs="OpenSymbol"/>
    </w:rPr>
  </w:style>
  <w:style w:type="paragraph" w:customStyle="1" w:styleId="Encabezado2">
    <w:name w:val="Encabezado2"/>
    <w:basedOn w:val="Normal"/>
    <w:next w:val="Textoindependiente"/>
    <w:rsid w:val="00852C53"/>
    <w:pPr>
      <w:keepNext/>
      <w:suppressAutoHyphens/>
      <w:autoSpaceDE/>
      <w:autoSpaceDN/>
      <w:spacing w:before="240" w:after="120"/>
    </w:pPr>
    <w:rPr>
      <w:rFonts w:ascii="Arial" w:eastAsia="Arial Unicode MS" w:hAnsi="Arial" w:cs="Mangal"/>
      <w:kern w:val="1"/>
      <w:sz w:val="28"/>
      <w:szCs w:val="28"/>
      <w:lang w:val="es-ES_tradnl" w:eastAsia="ar-SA"/>
    </w:rPr>
  </w:style>
  <w:style w:type="paragraph" w:customStyle="1" w:styleId="Etiqueta">
    <w:name w:val="Etiqueta"/>
    <w:basedOn w:val="Normal"/>
    <w:rsid w:val="00852C53"/>
    <w:pPr>
      <w:suppressLineNumbers/>
      <w:suppressAutoHyphens/>
      <w:autoSpaceDE/>
      <w:autoSpaceDN/>
      <w:spacing w:before="120" w:after="120"/>
    </w:pPr>
    <w:rPr>
      <w:rFonts w:ascii="Times New Roman" w:eastAsiaTheme="minorHAnsi" w:hAnsi="Times New Roman" w:cs="Times New Roman"/>
      <w:i/>
      <w:kern w:val="1"/>
      <w:sz w:val="24"/>
      <w:szCs w:val="20"/>
      <w:lang w:val="es-ES_tradnl" w:eastAsia="ar-SA"/>
    </w:rPr>
  </w:style>
  <w:style w:type="paragraph" w:customStyle="1" w:styleId="ndice">
    <w:name w:val="Índice"/>
    <w:basedOn w:val="Normal"/>
    <w:rsid w:val="00852C53"/>
    <w:pPr>
      <w:suppressLineNumbers/>
      <w:suppressAutoHyphens/>
      <w:autoSpaceDE/>
      <w:autoSpaceDN/>
    </w:pPr>
    <w:rPr>
      <w:rFonts w:ascii="Times New Roman" w:eastAsiaTheme="minorHAnsi" w:hAnsi="Times New Roman" w:cs="Times New Roman"/>
      <w:kern w:val="1"/>
      <w:sz w:val="20"/>
      <w:szCs w:val="20"/>
      <w:lang w:val="es-ES_tradnl" w:eastAsia="ar-SA"/>
    </w:rPr>
  </w:style>
  <w:style w:type="paragraph" w:customStyle="1" w:styleId="Encabezado1">
    <w:name w:val="Encabezado1"/>
    <w:basedOn w:val="Normal"/>
    <w:next w:val="Textoindependiente"/>
    <w:rsid w:val="00852C53"/>
    <w:pPr>
      <w:keepNext/>
      <w:suppressAutoHyphens/>
      <w:autoSpaceDE/>
      <w:autoSpaceDN/>
      <w:spacing w:before="240" w:after="120"/>
    </w:pPr>
    <w:rPr>
      <w:rFonts w:ascii="Arial" w:eastAsiaTheme="minorHAnsi" w:hAnsi="Arial" w:cs="Arial"/>
      <w:kern w:val="1"/>
      <w:sz w:val="28"/>
      <w:szCs w:val="20"/>
      <w:lang w:val="es-ES_tradnl" w:eastAsia="ar-SA"/>
    </w:rPr>
  </w:style>
  <w:style w:type="paragraph" w:customStyle="1" w:styleId="Textoindependiente2">
    <w:name w:val="Texto independiente2"/>
    <w:basedOn w:val="Normal"/>
    <w:rsid w:val="00852C53"/>
    <w:pPr>
      <w:suppressAutoHyphens/>
      <w:autoSpaceDE/>
      <w:autoSpaceDN/>
      <w:jc w:val="both"/>
    </w:pPr>
    <w:rPr>
      <w:rFonts w:ascii="Times New Roman" w:eastAsiaTheme="minorHAnsi" w:hAnsi="Times New Roman" w:cs="Times New Roman"/>
      <w:i/>
      <w:kern w:val="1"/>
      <w:sz w:val="24"/>
      <w:szCs w:val="20"/>
      <w:lang w:val="es-ES_tradnl" w:eastAsia="ar-SA"/>
    </w:rPr>
  </w:style>
  <w:style w:type="paragraph" w:customStyle="1" w:styleId="Contenidodelmarco">
    <w:name w:val="Contenido del marco"/>
    <w:basedOn w:val="Textoindependiente"/>
    <w:rsid w:val="00852C53"/>
    <w:pPr>
      <w:suppressAutoHyphens/>
      <w:autoSpaceDE/>
      <w:autoSpaceDN/>
      <w:spacing w:after="120"/>
    </w:pPr>
    <w:rPr>
      <w:rFonts w:ascii="Times New Roman" w:eastAsia="Times New Roman" w:hAnsi="Times New Roman" w:cs="Times New Roman"/>
      <w:kern w:val="1"/>
      <w:sz w:val="20"/>
      <w:szCs w:val="20"/>
      <w:lang w:val="es-ES_tradnl" w:eastAsia="ar-SA"/>
    </w:rPr>
  </w:style>
  <w:style w:type="character" w:customStyle="1" w:styleId="font321">
    <w:name w:val="font321"/>
    <w:rsid w:val="00852C53"/>
    <w:rPr>
      <w:rFonts w:ascii="Humanst521 BT" w:hAnsi="Humanst521 BT" w:hint="default"/>
      <w:b/>
      <w:bCs/>
      <w:i w:val="0"/>
      <w:iCs w:val="0"/>
      <w:strike w:val="0"/>
      <w:dstrike w:val="0"/>
      <w:color w:val="000000"/>
      <w:sz w:val="16"/>
      <w:szCs w:val="16"/>
      <w:u w:val="none"/>
      <w:effect w:val="none"/>
    </w:rPr>
  </w:style>
  <w:style w:type="character" w:customStyle="1" w:styleId="font231">
    <w:name w:val="font231"/>
    <w:rsid w:val="00852C53"/>
    <w:rPr>
      <w:rFonts w:ascii="Calibri" w:hAnsi="Calibri" w:hint="default"/>
      <w:b/>
      <w:bCs/>
      <w:i w:val="0"/>
      <w:iCs w:val="0"/>
      <w:strike w:val="0"/>
      <w:dstrike w:val="0"/>
      <w:color w:val="000000"/>
      <w:sz w:val="16"/>
      <w:szCs w:val="16"/>
      <w:u w:val="none"/>
      <w:effect w:val="none"/>
    </w:rPr>
  </w:style>
  <w:style w:type="character" w:customStyle="1" w:styleId="font431">
    <w:name w:val="font431"/>
    <w:rsid w:val="00852C53"/>
    <w:rPr>
      <w:rFonts w:ascii="MS Reference Sans Serif" w:hAnsi="MS Reference Sans Serif" w:hint="default"/>
      <w:b w:val="0"/>
      <w:bCs w:val="0"/>
      <w:i w:val="0"/>
      <w:iCs w:val="0"/>
      <w:strike w:val="0"/>
      <w:dstrike w:val="0"/>
      <w:color w:val="auto"/>
      <w:sz w:val="20"/>
      <w:szCs w:val="20"/>
      <w:u w:val="none"/>
      <w:effect w:val="none"/>
    </w:rPr>
  </w:style>
  <w:style w:type="character" w:customStyle="1" w:styleId="font811">
    <w:name w:val="font811"/>
    <w:rsid w:val="00852C53"/>
    <w:rPr>
      <w:rFonts w:ascii="Arial" w:hAnsi="Arial" w:cs="Arial" w:hint="default"/>
      <w:b w:val="0"/>
      <w:bCs w:val="0"/>
      <w:i w:val="0"/>
      <w:iCs w:val="0"/>
      <w:strike w:val="0"/>
      <w:dstrike w:val="0"/>
      <w:color w:val="auto"/>
      <w:sz w:val="20"/>
      <w:szCs w:val="20"/>
      <w:u w:val="none"/>
      <w:effect w:val="none"/>
    </w:rPr>
  </w:style>
  <w:style w:type="character" w:customStyle="1" w:styleId="font81">
    <w:name w:val="font81"/>
    <w:rsid w:val="00852C53"/>
    <w:rPr>
      <w:rFonts w:ascii="Calibri" w:hAnsi="Calibri" w:hint="default"/>
      <w:b/>
      <w:bCs/>
      <w:i w:val="0"/>
      <w:iCs w:val="0"/>
      <w:strike w:val="0"/>
      <w:dstrike w:val="0"/>
      <w:color w:val="000000"/>
      <w:sz w:val="16"/>
      <w:szCs w:val="16"/>
      <w:u w:val="none"/>
      <w:effect w:val="none"/>
    </w:rPr>
  </w:style>
  <w:style w:type="character" w:customStyle="1" w:styleId="font641">
    <w:name w:val="font641"/>
    <w:rsid w:val="00852C53"/>
    <w:rPr>
      <w:rFonts w:ascii="Arial" w:hAnsi="Arial" w:cs="Arial" w:hint="default"/>
      <w:b/>
      <w:bCs/>
      <w:i w:val="0"/>
      <w:iCs w:val="0"/>
      <w:strike w:val="0"/>
      <w:dstrike w:val="0"/>
      <w:color w:val="000000"/>
      <w:sz w:val="18"/>
      <w:szCs w:val="18"/>
      <w:u w:val="none"/>
      <w:effect w:val="none"/>
    </w:rPr>
  </w:style>
  <w:style w:type="character" w:customStyle="1" w:styleId="ms-pivot-text">
    <w:name w:val="ms-pivot-text"/>
    <w:basedOn w:val="Fuentedeprrafopredeter"/>
    <w:rsid w:val="00852C53"/>
  </w:style>
  <w:style w:type="character" w:customStyle="1" w:styleId="ms-button-label">
    <w:name w:val="ms-button-label"/>
    <w:basedOn w:val="Fuentedeprrafopredeter"/>
    <w:rsid w:val="00852C53"/>
  </w:style>
  <w:style w:type="character" w:customStyle="1" w:styleId="A1">
    <w:name w:val="A1"/>
    <w:uiPriority w:val="99"/>
    <w:rsid w:val="00852C53"/>
    <w:rPr>
      <w:color w:val="000000"/>
      <w:sz w:val="20"/>
      <w:szCs w:val="20"/>
    </w:rPr>
  </w:style>
  <w:style w:type="table" w:customStyle="1" w:styleId="Tabladecuadrcula2-nfasis41">
    <w:name w:val="Tabla de cuadrícula 2 - Énfasis 41"/>
    <w:basedOn w:val="Tablanormal"/>
    <w:uiPriority w:val="47"/>
    <w:rsid w:val="00852C53"/>
    <w:pPr>
      <w:widowControl/>
      <w:autoSpaceDE/>
      <w:autoSpaceDN/>
    </w:pPr>
    <w:rPr>
      <w:rFonts w:ascii="Times New Roman" w:eastAsia="Times New Roman" w:hAnsi="Times New Roman" w:cs="Times New Roman"/>
      <w:sz w:val="20"/>
      <w:szCs w:val="20"/>
      <w:lang w:val="es-ES" w:eastAsia="es-ES"/>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concuadrcula1">
    <w:name w:val="Tabla con cuadrícula1"/>
    <w:basedOn w:val="Tablanormal"/>
    <w:next w:val="Tablaconcuadrcula"/>
    <w:uiPriority w:val="39"/>
    <w:rsid w:val="00852C53"/>
    <w:pPr>
      <w:widowControl/>
      <w:autoSpaceDE/>
      <w:autoSpaceDN/>
    </w:pPr>
    <w:rPr>
      <w:rFonts w:ascii="Humanst521 BT" w:hAnsi="Humanst521 BT" w:cs="Times New Roman"/>
      <w:szCs w:val="24"/>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pbowbbv81">
    <w:name w:val="markpbowbbv81"/>
    <w:basedOn w:val="Fuentedeprrafopredeter"/>
    <w:rsid w:val="00852C53"/>
  </w:style>
  <w:style w:type="paragraph" w:customStyle="1" w:styleId="paragraph">
    <w:name w:val="paragraph"/>
    <w:basedOn w:val="Normal"/>
    <w:rsid w:val="00852C53"/>
    <w:pPr>
      <w:autoSpaceDE/>
      <w:autoSpaceDN/>
      <w:spacing w:before="100" w:beforeAutospacing="1" w:after="100" w:afterAutospacing="1"/>
    </w:pPr>
    <w:rPr>
      <w:rFonts w:ascii="Times New Roman" w:eastAsiaTheme="minorHAnsi" w:hAnsi="Times New Roman" w:cs="Times New Roman"/>
      <w:sz w:val="24"/>
      <w:szCs w:val="24"/>
      <w:lang w:val="es-CO" w:eastAsia="es-CO"/>
    </w:rPr>
  </w:style>
  <w:style w:type="character" w:customStyle="1" w:styleId="normaltextrun">
    <w:name w:val="normaltextrun"/>
    <w:basedOn w:val="Fuentedeprrafopredeter"/>
    <w:rsid w:val="00852C53"/>
  </w:style>
  <w:style w:type="character" w:customStyle="1" w:styleId="eop">
    <w:name w:val="eop"/>
    <w:basedOn w:val="Fuentedeprrafopredeter"/>
    <w:rsid w:val="00852C53"/>
  </w:style>
  <w:style w:type="character" w:styleId="Referenciasutil">
    <w:name w:val="Subtle Reference"/>
    <w:basedOn w:val="Fuentedeprrafopredeter"/>
    <w:uiPriority w:val="31"/>
    <w:qFormat/>
    <w:rsid w:val="00852C53"/>
    <w:rPr>
      <w:smallCaps/>
      <w:color w:val="5A5A5A" w:themeColor="text1" w:themeTint="A5"/>
    </w:rPr>
  </w:style>
  <w:style w:type="table" w:styleId="Tablaconcuadrcula4-nfasis1">
    <w:name w:val="Grid Table 4 Accent 1"/>
    <w:basedOn w:val="Tablanormal"/>
    <w:uiPriority w:val="49"/>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4">
    <w:name w:val="Grid Table 4 Accent 4"/>
    <w:basedOn w:val="Tablanormal"/>
    <w:uiPriority w:val="49"/>
    <w:rsid w:val="00852C53"/>
    <w:pPr>
      <w:widowControl/>
      <w:autoSpaceDE/>
      <w:autoSpaceDN/>
    </w:pPr>
    <w:rPr>
      <w:rFonts w:ascii="Humanst521 BT" w:hAnsi="Humanst521 BT" w:cs="Times New Roman"/>
      <w:szCs w:val="24"/>
      <w:lang w:val="es-CO"/>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852C53"/>
    <w:pPr>
      <w:widowControl/>
      <w:autoSpaceDE/>
      <w:autoSpaceDN/>
    </w:pPr>
    <w:rPr>
      <w:lang w:val="es-CO"/>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6concolores-nfasis3">
    <w:name w:val="List Table 6 Colorful Accent 3"/>
    <w:basedOn w:val="Tablanormal"/>
    <w:uiPriority w:val="51"/>
    <w:rsid w:val="00852C53"/>
    <w:pPr>
      <w:widowControl/>
      <w:autoSpaceDE/>
      <w:autoSpaceDN/>
    </w:pPr>
    <w:rPr>
      <w:color w:val="7B7B7B" w:themeColor="accent3" w:themeShade="BF"/>
      <w:lang w:val="es-CO"/>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o-nfasis2">
    <w:name w:val="Grid Table 1 Light Accent 2"/>
    <w:basedOn w:val="Tablanormal"/>
    <w:uiPriority w:val="46"/>
    <w:rsid w:val="00852C53"/>
    <w:pPr>
      <w:widowControl/>
      <w:autoSpaceDE/>
      <w:autoSpaceDN/>
    </w:pPr>
    <w:rPr>
      <w:lang w:val="es-CO"/>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3-nfasis2">
    <w:name w:val="Grid Table 3 Accent 2"/>
    <w:basedOn w:val="Tablanormal"/>
    <w:uiPriority w:val="48"/>
    <w:rsid w:val="00852C53"/>
    <w:pPr>
      <w:widowControl/>
      <w:autoSpaceDE/>
      <w:autoSpaceDN/>
    </w:pPr>
    <w:rPr>
      <w:lang w:val="es-C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3">
    <w:name w:val="Grid Table 3"/>
    <w:basedOn w:val="Tablanormal"/>
    <w:uiPriority w:val="48"/>
    <w:rsid w:val="0002442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font701">
    <w:name w:val="font701"/>
    <w:basedOn w:val="Fuentedeprrafopredeter"/>
    <w:rsid w:val="005F6DF6"/>
    <w:rPr>
      <w:rFonts w:ascii="Humanst521 BT" w:hAnsi="Humanst521 BT" w:hint="default"/>
      <w:b w:val="0"/>
      <w:bCs w:val="0"/>
      <w:i w:val="0"/>
      <w:iCs w:val="0"/>
      <w:strike w:val="0"/>
      <w:dstrike w:val="0"/>
      <w:color w:val="000000"/>
      <w:sz w:val="20"/>
      <w:szCs w:val="20"/>
      <w:u w:val="none"/>
      <w:effect w:val="none"/>
    </w:rPr>
  </w:style>
  <w:style w:type="character" w:customStyle="1" w:styleId="font881">
    <w:name w:val="font881"/>
    <w:basedOn w:val="Fuentedeprrafopredeter"/>
    <w:rsid w:val="005F6DF6"/>
    <w:rPr>
      <w:rFonts w:ascii="Humanst521 BT" w:hAnsi="Humanst521 BT" w:hint="default"/>
      <w:b/>
      <w:bCs/>
      <w:i w:val="0"/>
      <w:iCs w:val="0"/>
      <w:strike w:val="0"/>
      <w:dstrike w:val="0"/>
      <w:color w:val="000000"/>
      <w:sz w:val="20"/>
      <w:szCs w:val="20"/>
      <w:u w:val="none"/>
      <w:effect w:val="none"/>
    </w:rPr>
  </w:style>
  <w:style w:type="character" w:customStyle="1" w:styleId="font891">
    <w:name w:val="font891"/>
    <w:basedOn w:val="Fuentedeprrafopredeter"/>
    <w:rsid w:val="005F6DF6"/>
    <w:rPr>
      <w:rFonts w:ascii="Humanst521 BT" w:hAnsi="Humanst521 BT" w:hint="default"/>
      <w:b w:val="0"/>
      <w:bCs w:val="0"/>
      <w:i w:val="0"/>
      <w:iCs w:val="0"/>
      <w:strike w:val="0"/>
      <w:dstrike w:val="0"/>
      <w:color w:val="000000"/>
      <w:sz w:val="20"/>
      <w:szCs w:val="20"/>
      <w:u w:val="none"/>
      <w:effect w:val="none"/>
    </w:rPr>
  </w:style>
  <w:style w:type="character" w:customStyle="1" w:styleId="mark6tfr3n2cy">
    <w:name w:val="mark6tfr3n2cy"/>
    <w:basedOn w:val="Fuentedeprrafopredeter"/>
    <w:rsid w:val="00166D76"/>
  </w:style>
  <w:style w:type="paragraph" w:styleId="z-Principiodelformulario">
    <w:name w:val="HTML Top of Form"/>
    <w:basedOn w:val="Normal"/>
    <w:next w:val="Normal"/>
    <w:link w:val="z-PrincipiodelformularioCar"/>
    <w:hidden/>
    <w:uiPriority w:val="99"/>
    <w:semiHidden/>
    <w:unhideWhenUsed/>
    <w:rsid w:val="001A6203"/>
    <w:pPr>
      <w:widowControl/>
      <w:pBdr>
        <w:bottom w:val="single" w:sz="6" w:space="1" w:color="auto"/>
      </w:pBdr>
      <w:autoSpaceDE/>
      <w:autoSpaceDN/>
      <w:jc w:val="center"/>
    </w:pPr>
    <w:rPr>
      <w:rFonts w:ascii="Arial" w:eastAsia="Times New Roman" w:hAnsi="Arial" w:cs="Arial"/>
      <w:vanish/>
      <w:sz w:val="16"/>
      <w:szCs w:val="16"/>
      <w:lang w:val="es-CO" w:eastAsia="es-CO"/>
    </w:rPr>
  </w:style>
  <w:style w:type="character" w:customStyle="1" w:styleId="z-PrincipiodelformularioCar">
    <w:name w:val="z-Principio del formulario Car"/>
    <w:basedOn w:val="Fuentedeprrafopredeter"/>
    <w:link w:val="z-Principiodelformulario"/>
    <w:uiPriority w:val="99"/>
    <w:semiHidden/>
    <w:rsid w:val="001A6203"/>
    <w:rPr>
      <w:rFonts w:ascii="Arial" w:eastAsia="Times New Roman" w:hAnsi="Arial" w:cs="Arial"/>
      <w:vanish/>
      <w:sz w:val="16"/>
      <w:szCs w:val="16"/>
      <w:lang w:val="es-CO" w:eastAsia="es-CO"/>
    </w:rPr>
  </w:style>
  <w:style w:type="paragraph" w:styleId="z-Finaldelformulario">
    <w:name w:val="HTML Bottom of Form"/>
    <w:basedOn w:val="Normal"/>
    <w:next w:val="Normal"/>
    <w:link w:val="z-FinaldelformularioCar"/>
    <w:hidden/>
    <w:uiPriority w:val="99"/>
    <w:semiHidden/>
    <w:unhideWhenUsed/>
    <w:rsid w:val="001A6203"/>
    <w:pPr>
      <w:widowControl/>
      <w:pBdr>
        <w:top w:val="single" w:sz="6" w:space="1" w:color="auto"/>
      </w:pBdr>
      <w:autoSpaceDE/>
      <w:autoSpaceDN/>
      <w:jc w:val="center"/>
    </w:pPr>
    <w:rPr>
      <w:rFonts w:ascii="Arial" w:eastAsia="Times New Roman" w:hAnsi="Arial" w:cs="Arial"/>
      <w:vanish/>
      <w:sz w:val="16"/>
      <w:szCs w:val="16"/>
      <w:lang w:val="es-CO" w:eastAsia="es-CO"/>
    </w:rPr>
  </w:style>
  <w:style w:type="character" w:customStyle="1" w:styleId="z-FinaldelformularioCar">
    <w:name w:val="z-Final del formulario Car"/>
    <w:basedOn w:val="Fuentedeprrafopredeter"/>
    <w:link w:val="z-Finaldelformulario"/>
    <w:uiPriority w:val="99"/>
    <w:semiHidden/>
    <w:rsid w:val="001A6203"/>
    <w:rPr>
      <w:rFonts w:ascii="Arial" w:eastAsia="Times New Roman" w:hAnsi="Arial" w:cs="Arial"/>
      <w:vanish/>
      <w:sz w:val="16"/>
      <w:szCs w:val="16"/>
      <w:lang w:val="es-CO" w:eastAsia="es-CO"/>
    </w:rPr>
  </w:style>
  <w:style w:type="table" w:styleId="Tabladecuadrcula4">
    <w:name w:val="Grid Table 4"/>
    <w:basedOn w:val="Tablanormal"/>
    <w:uiPriority w:val="49"/>
    <w:rsid w:val="001D47E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3714A3"/>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g-star-inserted">
    <w:name w:val="ng-star-inserted"/>
    <w:basedOn w:val="Fuentedeprrafopredeter"/>
    <w:rsid w:val="00205B06"/>
  </w:style>
  <w:style w:type="character" w:customStyle="1" w:styleId="whitespace-normal">
    <w:name w:val="whitespace-normal"/>
    <w:basedOn w:val="Fuentedeprrafopredeter"/>
    <w:rsid w:val="00707A0B"/>
  </w:style>
  <w:style w:type="paragraph" w:customStyle="1" w:styleId="isselectedend">
    <w:name w:val="isselectedend"/>
    <w:basedOn w:val="Normal"/>
    <w:rsid w:val="007805F0"/>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paragraph" w:styleId="Listaconvietas">
    <w:name w:val="List Bullet"/>
    <w:basedOn w:val="Normal"/>
    <w:uiPriority w:val="99"/>
    <w:unhideWhenUsed/>
    <w:rsid w:val="00C47C20"/>
    <w:pPr>
      <w:widowControl/>
      <w:numPr>
        <w:numId w:val="15"/>
      </w:numPr>
      <w:autoSpaceDE/>
      <w:autoSpaceDN/>
      <w:spacing w:after="200" w:line="276" w:lineRule="auto"/>
      <w:contextualSpacing/>
    </w:pPr>
    <w:rPr>
      <w:rFonts w:asciiTheme="minorHAnsi" w:eastAsiaTheme="minorEastAsia" w:hAnsiTheme="minorHAnsi" w:cstheme="minorBidi"/>
      <w:lang w:val="en-US"/>
    </w:rPr>
  </w:style>
  <w:style w:type="paragraph" w:styleId="Listaconnmeros">
    <w:name w:val="List Number"/>
    <w:basedOn w:val="Normal"/>
    <w:uiPriority w:val="99"/>
    <w:unhideWhenUsed/>
    <w:rsid w:val="00C47C20"/>
    <w:pPr>
      <w:widowControl/>
      <w:numPr>
        <w:numId w:val="16"/>
      </w:numPr>
      <w:autoSpaceDE/>
      <w:autoSpaceDN/>
      <w:spacing w:after="200" w:line="276" w:lineRule="auto"/>
      <w:contextualSpacing/>
    </w:pPr>
    <w:rPr>
      <w:rFonts w:asciiTheme="minorHAnsi" w:eastAsiaTheme="minorEastAsia"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2078">
      <w:bodyDiv w:val="1"/>
      <w:marLeft w:val="0"/>
      <w:marRight w:val="0"/>
      <w:marTop w:val="0"/>
      <w:marBottom w:val="0"/>
      <w:divBdr>
        <w:top w:val="none" w:sz="0" w:space="0" w:color="auto"/>
        <w:left w:val="none" w:sz="0" w:space="0" w:color="auto"/>
        <w:bottom w:val="none" w:sz="0" w:space="0" w:color="auto"/>
        <w:right w:val="none" w:sz="0" w:space="0" w:color="auto"/>
      </w:divBdr>
      <w:divsChild>
        <w:div w:id="937325206">
          <w:marLeft w:val="0"/>
          <w:marRight w:val="0"/>
          <w:marTop w:val="0"/>
          <w:marBottom w:val="0"/>
          <w:divBdr>
            <w:top w:val="none" w:sz="0" w:space="0" w:color="auto"/>
            <w:left w:val="none" w:sz="0" w:space="0" w:color="auto"/>
            <w:bottom w:val="none" w:sz="0" w:space="0" w:color="auto"/>
            <w:right w:val="none" w:sz="0" w:space="0" w:color="auto"/>
          </w:divBdr>
        </w:div>
      </w:divsChild>
    </w:div>
    <w:div w:id="12921878">
      <w:bodyDiv w:val="1"/>
      <w:marLeft w:val="0"/>
      <w:marRight w:val="0"/>
      <w:marTop w:val="0"/>
      <w:marBottom w:val="0"/>
      <w:divBdr>
        <w:top w:val="none" w:sz="0" w:space="0" w:color="auto"/>
        <w:left w:val="none" w:sz="0" w:space="0" w:color="auto"/>
        <w:bottom w:val="none" w:sz="0" w:space="0" w:color="auto"/>
        <w:right w:val="none" w:sz="0" w:space="0" w:color="auto"/>
      </w:divBdr>
    </w:div>
    <w:div w:id="13463555">
      <w:bodyDiv w:val="1"/>
      <w:marLeft w:val="0"/>
      <w:marRight w:val="0"/>
      <w:marTop w:val="0"/>
      <w:marBottom w:val="0"/>
      <w:divBdr>
        <w:top w:val="none" w:sz="0" w:space="0" w:color="auto"/>
        <w:left w:val="none" w:sz="0" w:space="0" w:color="auto"/>
        <w:bottom w:val="none" w:sz="0" w:space="0" w:color="auto"/>
        <w:right w:val="none" w:sz="0" w:space="0" w:color="auto"/>
      </w:divBdr>
    </w:div>
    <w:div w:id="20866566">
      <w:bodyDiv w:val="1"/>
      <w:marLeft w:val="0"/>
      <w:marRight w:val="0"/>
      <w:marTop w:val="0"/>
      <w:marBottom w:val="0"/>
      <w:divBdr>
        <w:top w:val="none" w:sz="0" w:space="0" w:color="auto"/>
        <w:left w:val="none" w:sz="0" w:space="0" w:color="auto"/>
        <w:bottom w:val="none" w:sz="0" w:space="0" w:color="auto"/>
        <w:right w:val="none" w:sz="0" w:space="0" w:color="auto"/>
      </w:divBdr>
    </w:div>
    <w:div w:id="39987239">
      <w:bodyDiv w:val="1"/>
      <w:marLeft w:val="0"/>
      <w:marRight w:val="0"/>
      <w:marTop w:val="0"/>
      <w:marBottom w:val="0"/>
      <w:divBdr>
        <w:top w:val="none" w:sz="0" w:space="0" w:color="auto"/>
        <w:left w:val="none" w:sz="0" w:space="0" w:color="auto"/>
        <w:bottom w:val="none" w:sz="0" w:space="0" w:color="auto"/>
        <w:right w:val="none" w:sz="0" w:space="0" w:color="auto"/>
      </w:divBdr>
    </w:div>
    <w:div w:id="71515075">
      <w:bodyDiv w:val="1"/>
      <w:marLeft w:val="0"/>
      <w:marRight w:val="0"/>
      <w:marTop w:val="0"/>
      <w:marBottom w:val="0"/>
      <w:divBdr>
        <w:top w:val="none" w:sz="0" w:space="0" w:color="auto"/>
        <w:left w:val="none" w:sz="0" w:space="0" w:color="auto"/>
        <w:bottom w:val="none" w:sz="0" w:space="0" w:color="auto"/>
        <w:right w:val="none" w:sz="0" w:space="0" w:color="auto"/>
      </w:divBdr>
    </w:div>
    <w:div w:id="76169264">
      <w:bodyDiv w:val="1"/>
      <w:marLeft w:val="0"/>
      <w:marRight w:val="0"/>
      <w:marTop w:val="0"/>
      <w:marBottom w:val="0"/>
      <w:divBdr>
        <w:top w:val="none" w:sz="0" w:space="0" w:color="auto"/>
        <w:left w:val="none" w:sz="0" w:space="0" w:color="auto"/>
        <w:bottom w:val="none" w:sz="0" w:space="0" w:color="auto"/>
        <w:right w:val="none" w:sz="0" w:space="0" w:color="auto"/>
      </w:divBdr>
    </w:div>
    <w:div w:id="80029554">
      <w:bodyDiv w:val="1"/>
      <w:marLeft w:val="0"/>
      <w:marRight w:val="0"/>
      <w:marTop w:val="0"/>
      <w:marBottom w:val="0"/>
      <w:divBdr>
        <w:top w:val="none" w:sz="0" w:space="0" w:color="auto"/>
        <w:left w:val="none" w:sz="0" w:space="0" w:color="auto"/>
        <w:bottom w:val="none" w:sz="0" w:space="0" w:color="auto"/>
        <w:right w:val="none" w:sz="0" w:space="0" w:color="auto"/>
      </w:divBdr>
    </w:div>
    <w:div w:id="86192864">
      <w:bodyDiv w:val="1"/>
      <w:marLeft w:val="0"/>
      <w:marRight w:val="0"/>
      <w:marTop w:val="0"/>
      <w:marBottom w:val="0"/>
      <w:divBdr>
        <w:top w:val="none" w:sz="0" w:space="0" w:color="auto"/>
        <w:left w:val="none" w:sz="0" w:space="0" w:color="auto"/>
        <w:bottom w:val="none" w:sz="0" w:space="0" w:color="auto"/>
        <w:right w:val="none" w:sz="0" w:space="0" w:color="auto"/>
      </w:divBdr>
    </w:div>
    <w:div w:id="93794294">
      <w:bodyDiv w:val="1"/>
      <w:marLeft w:val="0"/>
      <w:marRight w:val="0"/>
      <w:marTop w:val="0"/>
      <w:marBottom w:val="0"/>
      <w:divBdr>
        <w:top w:val="none" w:sz="0" w:space="0" w:color="auto"/>
        <w:left w:val="none" w:sz="0" w:space="0" w:color="auto"/>
        <w:bottom w:val="none" w:sz="0" w:space="0" w:color="auto"/>
        <w:right w:val="none" w:sz="0" w:space="0" w:color="auto"/>
      </w:divBdr>
    </w:div>
    <w:div w:id="97257995">
      <w:bodyDiv w:val="1"/>
      <w:marLeft w:val="0"/>
      <w:marRight w:val="0"/>
      <w:marTop w:val="0"/>
      <w:marBottom w:val="0"/>
      <w:divBdr>
        <w:top w:val="none" w:sz="0" w:space="0" w:color="auto"/>
        <w:left w:val="none" w:sz="0" w:space="0" w:color="auto"/>
        <w:bottom w:val="none" w:sz="0" w:space="0" w:color="auto"/>
        <w:right w:val="none" w:sz="0" w:space="0" w:color="auto"/>
      </w:divBdr>
    </w:div>
    <w:div w:id="99105342">
      <w:bodyDiv w:val="1"/>
      <w:marLeft w:val="0"/>
      <w:marRight w:val="0"/>
      <w:marTop w:val="0"/>
      <w:marBottom w:val="0"/>
      <w:divBdr>
        <w:top w:val="none" w:sz="0" w:space="0" w:color="auto"/>
        <w:left w:val="none" w:sz="0" w:space="0" w:color="auto"/>
        <w:bottom w:val="none" w:sz="0" w:space="0" w:color="auto"/>
        <w:right w:val="none" w:sz="0" w:space="0" w:color="auto"/>
      </w:divBdr>
    </w:div>
    <w:div w:id="102967127">
      <w:bodyDiv w:val="1"/>
      <w:marLeft w:val="0"/>
      <w:marRight w:val="0"/>
      <w:marTop w:val="0"/>
      <w:marBottom w:val="0"/>
      <w:divBdr>
        <w:top w:val="none" w:sz="0" w:space="0" w:color="auto"/>
        <w:left w:val="none" w:sz="0" w:space="0" w:color="auto"/>
        <w:bottom w:val="none" w:sz="0" w:space="0" w:color="auto"/>
        <w:right w:val="none" w:sz="0" w:space="0" w:color="auto"/>
      </w:divBdr>
    </w:div>
    <w:div w:id="110563875">
      <w:marLeft w:val="0"/>
      <w:marRight w:val="0"/>
      <w:marTop w:val="0"/>
      <w:marBottom w:val="0"/>
      <w:divBdr>
        <w:top w:val="none" w:sz="0" w:space="0" w:color="auto"/>
        <w:left w:val="none" w:sz="0" w:space="0" w:color="auto"/>
        <w:bottom w:val="none" w:sz="0" w:space="0" w:color="auto"/>
        <w:right w:val="none" w:sz="0" w:space="0" w:color="auto"/>
      </w:divBdr>
    </w:div>
    <w:div w:id="126091797">
      <w:marLeft w:val="0"/>
      <w:marRight w:val="0"/>
      <w:marTop w:val="0"/>
      <w:marBottom w:val="0"/>
      <w:divBdr>
        <w:top w:val="none" w:sz="0" w:space="0" w:color="auto"/>
        <w:left w:val="none" w:sz="0" w:space="0" w:color="auto"/>
        <w:bottom w:val="none" w:sz="0" w:space="0" w:color="auto"/>
        <w:right w:val="none" w:sz="0" w:space="0" w:color="auto"/>
      </w:divBdr>
    </w:div>
    <w:div w:id="127162179">
      <w:bodyDiv w:val="1"/>
      <w:marLeft w:val="0"/>
      <w:marRight w:val="0"/>
      <w:marTop w:val="0"/>
      <w:marBottom w:val="0"/>
      <w:divBdr>
        <w:top w:val="none" w:sz="0" w:space="0" w:color="auto"/>
        <w:left w:val="none" w:sz="0" w:space="0" w:color="auto"/>
        <w:bottom w:val="none" w:sz="0" w:space="0" w:color="auto"/>
        <w:right w:val="none" w:sz="0" w:space="0" w:color="auto"/>
      </w:divBdr>
    </w:div>
    <w:div w:id="132063096">
      <w:bodyDiv w:val="1"/>
      <w:marLeft w:val="0"/>
      <w:marRight w:val="0"/>
      <w:marTop w:val="0"/>
      <w:marBottom w:val="0"/>
      <w:divBdr>
        <w:top w:val="none" w:sz="0" w:space="0" w:color="auto"/>
        <w:left w:val="none" w:sz="0" w:space="0" w:color="auto"/>
        <w:bottom w:val="none" w:sz="0" w:space="0" w:color="auto"/>
        <w:right w:val="none" w:sz="0" w:space="0" w:color="auto"/>
      </w:divBdr>
    </w:div>
    <w:div w:id="133255152">
      <w:bodyDiv w:val="1"/>
      <w:marLeft w:val="0"/>
      <w:marRight w:val="0"/>
      <w:marTop w:val="0"/>
      <w:marBottom w:val="0"/>
      <w:divBdr>
        <w:top w:val="none" w:sz="0" w:space="0" w:color="auto"/>
        <w:left w:val="none" w:sz="0" w:space="0" w:color="auto"/>
        <w:bottom w:val="none" w:sz="0" w:space="0" w:color="auto"/>
        <w:right w:val="none" w:sz="0" w:space="0" w:color="auto"/>
      </w:divBdr>
    </w:div>
    <w:div w:id="169031717">
      <w:bodyDiv w:val="1"/>
      <w:marLeft w:val="0"/>
      <w:marRight w:val="0"/>
      <w:marTop w:val="0"/>
      <w:marBottom w:val="0"/>
      <w:divBdr>
        <w:top w:val="none" w:sz="0" w:space="0" w:color="auto"/>
        <w:left w:val="none" w:sz="0" w:space="0" w:color="auto"/>
        <w:bottom w:val="none" w:sz="0" w:space="0" w:color="auto"/>
        <w:right w:val="none" w:sz="0" w:space="0" w:color="auto"/>
      </w:divBdr>
    </w:div>
    <w:div w:id="169413072">
      <w:bodyDiv w:val="1"/>
      <w:marLeft w:val="0"/>
      <w:marRight w:val="0"/>
      <w:marTop w:val="0"/>
      <w:marBottom w:val="0"/>
      <w:divBdr>
        <w:top w:val="none" w:sz="0" w:space="0" w:color="auto"/>
        <w:left w:val="none" w:sz="0" w:space="0" w:color="auto"/>
        <w:bottom w:val="none" w:sz="0" w:space="0" w:color="auto"/>
        <w:right w:val="none" w:sz="0" w:space="0" w:color="auto"/>
      </w:divBdr>
    </w:div>
    <w:div w:id="181941202">
      <w:bodyDiv w:val="1"/>
      <w:marLeft w:val="0"/>
      <w:marRight w:val="0"/>
      <w:marTop w:val="0"/>
      <w:marBottom w:val="0"/>
      <w:divBdr>
        <w:top w:val="none" w:sz="0" w:space="0" w:color="auto"/>
        <w:left w:val="none" w:sz="0" w:space="0" w:color="auto"/>
        <w:bottom w:val="none" w:sz="0" w:space="0" w:color="auto"/>
        <w:right w:val="none" w:sz="0" w:space="0" w:color="auto"/>
      </w:divBdr>
    </w:div>
    <w:div w:id="187258897">
      <w:bodyDiv w:val="1"/>
      <w:marLeft w:val="0"/>
      <w:marRight w:val="0"/>
      <w:marTop w:val="0"/>
      <w:marBottom w:val="0"/>
      <w:divBdr>
        <w:top w:val="none" w:sz="0" w:space="0" w:color="auto"/>
        <w:left w:val="none" w:sz="0" w:space="0" w:color="auto"/>
        <w:bottom w:val="none" w:sz="0" w:space="0" w:color="auto"/>
        <w:right w:val="none" w:sz="0" w:space="0" w:color="auto"/>
      </w:divBdr>
    </w:div>
    <w:div w:id="191503522">
      <w:bodyDiv w:val="1"/>
      <w:marLeft w:val="0"/>
      <w:marRight w:val="0"/>
      <w:marTop w:val="0"/>
      <w:marBottom w:val="0"/>
      <w:divBdr>
        <w:top w:val="none" w:sz="0" w:space="0" w:color="auto"/>
        <w:left w:val="none" w:sz="0" w:space="0" w:color="auto"/>
        <w:bottom w:val="none" w:sz="0" w:space="0" w:color="auto"/>
        <w:right w:val="none" w:sz="0" w:space="0" w:color="auto"/>
      </w:divBdr>
    </w:div>
    <w:div w:id="196309320">
      <w:bodyDiv w:val="1"/>
      <w:marLeft w:val="0"/>
      <w:marRight w:val="0"/>
      <w:marTop w:val="0"/>
      <w:marBottom w:val="0"/>
      <w:divBdr>
        <w:top w:val="none" w:sz="0" w:space="0" w:color="auto"/>
        <w:left w:val="none" w:sz="0" w:space="0" w:color="auto"/>
        <w:bottom w:val="none" w:sz="0" w:space="0" w:color="auto"/>
        <w:right w:val="none" w:sz="0" w:space="0" w:color="auto"/>
      </w:divBdr>
    </w:div>
    <w:div w:id="200828925">
      <w:bodyDiv w:val="1"/>
      <w:marLeft w:val="0"/>
      <w:marRight w:val="0"/>
      <w:marTop w:val="0"/>
      <w:marBottom w:val="0"/>
      <w:divBdr>
        <w:top w:val="none" w:sz="0" w:space="0" w:color="auto"/>
        <w:left w:val="none" w:sz="0" w:space="0" w:color="auto"/>
        <w:bottom w:val="none" w:sz="0" w:space="0" w:color="auto"/>
        <w:right w:val="none" w:sz="0" w:space="0" w:color="auto"/>
      </w:divBdr>
      <w:divsChild>
        <w:div w:id="2035763725">
          <w:marLeft w:val="0"/>
          <w:marRight w:val="0"/>
          <w:marTop w:val="0"/>
          <w:marBottom w:val="0"/>
          <w:divBdr>
            <w:top w:val="none" w:sz="0" w:space="0" w:color="auto"/>
            <w:left w:val="none" w:sz="0" w:space="0" w:color="auto"/>
            <w:bottom w:val="none" w:sz="0" w:space="0" w:color="auto"/>
            <w:right w:val="none" w:sz="0" w:space="0" w:color="auto"/>
          </w:divBdr>
          <w:divsChild>
            <w:div w:id="515458499">
              <w:marLeft w:val="0"/>
              <w:marRight w:val="0"/>
              <w:marTop w:val="0"/>
              <w:marBottom w:val="0"/>
              <w:divBdr>
                <w:top w:val="none" w:sz="0" w:space="0" w:color="auto"/>
                <w:left w:val="none" w:sz="0" w:space="0" w:color="auto"/>
                <w:bottom w:val="none" w:sz="0" w:space="0" w:color="auto"/>
                <w:right w:val="none" w:sz="0" w:space="0" w:color="auto"/>
              </w:divBdr>
            </w:div>
          </w:divsChild>
        </w:div>
        <w:div w:id="1952200396">
          <w:marLeft w:val="0"/>
          <w:marRight w:val="0"/>
          <w:marTop w:val="0"/>
          <w:marBottom w:val="0"/>
          <w:divBdr>
            <w:top w:val="none" w:sz="0" w:space="0" w:color="auto"/>
            <w:left w:val="none" w:sz="0" w:space="0" w:color="auto"/>
            <w:bottom w:val="none" w:sz="0" w:space="0" w:color="auto"/>
            <w:right w:val="none" w:sz="0" w:space="0" w:color="auto"/>
          </w:divBdr>
          <w:divsChild>
            <w:div w:id="1617832379">
              <w:marLeft w:val="0"/>
              <w:marRight w:val="0"/>
              <w:marTop w:val="0"/>
              <w:marBottom w:val="0"/>
              <w:divBdr>
                <w:top w:val="none" w:sz="0" w:space="0" w:color="auto"/>
                <w:left w:val="none" w:sz="0" w:space="0" w:color="auto"/>
                <w:bottom w:val="none" w:sz="0" w:space="0" w:color="auto"/>
                <w:right w:val="none" w:sz="0" w:space="0" w:color="auto"/>
              </w:divBdr>
            </w:div>
          </w:divsChild>
        </w:div>
        <w:div w:id="1221132976">
          <w:marLeft w:val="0"/>
          <w:marRight w:val="0"/>
          <w:marTop w:val="0"/>
          <w:marBottom w:val="0"/>
          <w:divBdr>
            <w:top w:val="none" w:sz="0" w:space="0" w:color="auto"/>
            <w:left w:val="none" w:sz="0" w:space="0" w:color="auto"/>
            <w:bottom w:val="none" w:sz="0" w:space="0" w:color="auto"/>
            <w:right w:val="none" w:sz="0" w:space="0" w:color="auto"/>
          </w:divBdr>
          <w:divsChild>
            <w:div w:id="919602241">
              <w:marLeft w:val="0"/>
              <w:marRight w:val="0"/>
              <w:marTop w:val="0"/>
              <w:marBottom w:val="0"/>
              <w:divBdr>
                <w:top w:val="none" w:sz="0" w:space="0" w:color="auto"/>
                <w:left w:val="none" w:sz="0" w:space="0" w:color="auto"/>
                <w:bottom w:val="none" w:sz="0" w:space="0" w:color="auto"/>
                <w:right w:val="none" w:sz="0" w:space="0" w:color="auto"/>
              </w:divBdr>
            </w:div>
          </w:divsChild>
        </w:div>
        <w:div w:id="1077247168">
          <w:marLeft w:val="0"/>
          <w:marRight w:val="0"/>
          <w:marTop w:val="0"/>
          <w:marBottom w:val="0"/>
          <w:divBdr>
            <w:top w:val="none" w:sz="0" w:space="0" w:color="auto"/>
            <w:left w:val="none" w:sz="0" w:space="0" w:color="auto"/>
            <w:bottom w:val="none" w:sz="0" w:space="0" w:color="auto"/>
            <w:right w:val="none" w:sz="0" w:space="0" w:color="auto"/>
          </w:divBdr>
          <w:divsChild>
            <w:div w:id="765854869">
              <w:marLeft w:val="0"/>
              <w:marRight w:val="0"/>
              <w:marTop w:val="0"/>
              <w:marBottom w:val="0"/>
              <w:divBdr>
                <w:top w:val="none" w:sz="0" w:space="0" w:color="auto"/>
                <w:left w:val="none" w:sz="0" w:space="0" w:color="auto"/>
                <w:bottom w:val="none" w:sz="0" w:space="0" w:color="auto"/>
                <w:right w:val="none" w:sz="0" w:space="0" w:color="auto"/>
              </w:divBdr>
            </w:div>
          </w:divsChild>
        </w:div>
        <w:div w:id="72363318">
          <w:marLeft w:val="0"/>
          <w:marRight w:val="0"/>
          <w:marTop w:val="0"/>
          <w:marBottom w:val="0"/>
          <w:divBdr>
            <w:top w:val="none" w:sz="0" w:space="0" w:color="auto"/>
            <w:left w:val="none" w:sz="0" w:space="0" w:color="auto"/>
            <w:bottom w:val="none" w:sz="0" w:space="0" w:color="auto"/>
            <w:right w:val="none" w:sz="0" w:space="0" w:color="auto"/>
          </w:divBdr>
          <w:divsChild>
            <w:div w:id="1918205479">
              <w:marLeft w:val="0"/>
              <w:marRight w:val="0"/>
              <w:marTop w:val="0"/>
              <w:marBottom w:val="0"/>
              <w:divBdr>
                <w:top w:val="none" w:sz="0" w:space="0" w:color="auto"/>
                <w:left w:val="none" w:sz="0" w:space="0" w:color="auto"/>
                <w:bottom w:val="none" w:sz="0" w:space="0" w:color="auto"/>
                <w:right w:val="none" w:sz="0" w:space="0" w:color="auto"/>
              </w:divBdr>
            </w:div>
            <w:div w:id="1294293715">
              <w:marLeft w:val="0"/>
              <w:marRight w:val="0"/>
              <w:marTop w:val="0"/>
              <w:marBottom w:val="0"/>
              <w:divBdr>
                <w:top w:val="none" w:sz="0" w:space="0" w:color="auto"/>
                <w:left w:val="none" w:sz="0" w:space="0" w:color="auto"/>
                <w:bottom w:val="none" w:sz="0" w:space="0" w:color="auto"/>
                <w:right w:val="none" w:sz="0" w:space="0" w:color="auto"/>
              </w:divBdr>
            </w:div>
          </w:divsChild>
        </w:div>
        <w:div w:id="780225085">
          <w:marLeft w:val="0"/>
          <w:marRight w:val="0"/>
          <w:marTop w:val="0"/>
          <w:marBottom w:val="0"/>
          <w:divBdr>
            <w:top w:val="none" w:sz="0" w:space="0" w:color="auto"/>
            <w:left w:val="none" w:sz="0" w:space="0" w:color="auto"/>
            <w:bottom w:val="none" w:sz="0" w:space="0" w:color="auto"/>
            <w:right w:val="none" w:sz="0" w:space="0" w:color="auto"/>
          </w:divBdr>
          <w:divsChild>
            <w:div w:id="2007437981">
              <w:marLeft w:val="0"/>
              <w:marRight w:val="0"/>
              <w:marTop w:val="0"/>
              <w:marBottom w:val="0"/>
              <w:divBdr>
                <w:top w:val="none" w:sz="0" w:space="0" w:color="auto"/>
                <w:left w:val="none" w:sz="0" w:space="0" w:color="auto"/>
                <w:bottom w:val="none" w:sz="0" w:space="0" w:color="auto"/>
                <w:right w:val="none" w:sz="0" w:space="0" w:color="auto"/>
              </w:divBdr>
            </w:div>
          </w:divsChild>
        </w:div>
        <w:div w:id="1409226239">
          <w:marLeft w:val="0"/>
          <w:marRight w:val="0"/>
          <w:marTop w:val="0"/>
          <w:marBottom w:val="0"/>
          <w:divBdr>
            <w:top w:val="none" w:sz="0" w:space="0" w:color="auto"/>
            <w:left w:val="none" w:sz="0" w:space="0" w:color="auto"/>
            <w:bottom w:val="none" w:sz="0" w:space="0" w:color="auto"/>
            <w:right w:val="none" w:sz="0" w:space="0" w:color="auto"/>
          </w:divBdr>
          <w:divsChild>
            <w:div w:id="1086075601">
              <w:marLeft w:val="0"/>
              <w:marRight w:val="0"/>
              <w:marTop w:val="0"/>
              <w:marBottom w:val="0"/>
              <w:divBdr>
                <w:top w:val="none" w:sz="0" w:space="0" w:color="auto"/>
                <w:left w:val="none" w:sz="0" w:space="0" w:color="auto"/>
                <w:bottom w:val="none" w:sz="0" w:space="0" w:color="auto"/>
                <w:right w:val="none" w:sz="0" w:space="0" w:color="auto"/>
              </w:divBdr>
            </w:div>
            <w:div w:id="2126464035">
              <w:marLeft w:val="0"/>
              <w:marRight w:val="0"/>
              <w:marTop w:val="0"/>
              <w:marBottom w:val="0"/>
              <w:divBdr>
                <w:top w:val="none" w:sz="0" w:space="0" w:color="auto"/>
                <w:left w:val="none" w:sz="0" w:space="0" w:color="auto"/>
                <w:bottom w:val="none" w:sz="0" w:space="0" w:color="auto"/>
                <w:right w:val="none" w:sz="0" w:space="0" w:color="auto"/>
              </w:divBdr>
            </w:div>
            <w:div w:id="849026226">
              <w:marLeft w:val="0"/>
              <w:marRight w:val="0"/>
              <w:marTop w:val="0"/>
              <w:marBottom w:val="0"/>
              <w:divBdr>
                <w:top w:val="none" w:sz="0" w:space="0" w:color="auto"/>
                <w:left w:val="none" w:sz="0" w:space="0" w:color="auto"/>
                <w:bottom w:val="none" w:sz="0" w:space="0" w:color="auto"/>
                <w:right w:val="none" w:sz="0" w:space="0" w:color="auto"/>
              </w:divBdr>
            </w:div>
            <w:div w:id="1731536232">
              <w:marLeft w:val="0"/>
              <w:marRight w:val="0"/>
              <w:marTop w:val="0"/>
              <w:marBottom w:val="0"/>
              <w:divBdr>
                <w:top w:val="none" w:sz="0" w:space="0" w:color="auto"/>
                <w:left w:val="none" w:sz="0" w:space="0" w:color="auto"/>
                <w:bottom w:val="none" w:sz="0" w:space="0" w:color="auto"/>
                <w:right w:val="none" w:sz="0" w:space="0" w:color="auto"/>
              </w:divBdr>
            </w:div>
            <w:div w:id="1450929802">
              <w:marLeft w:val="0"/>
              <w:marRight w:val="0"/>
              <w:marTop w:val="0"/>
              <w:marBottom w:val="0"/>
              <w:divBdr>
                <w:top w:val="none" w:sz="0" w:space="0" w:color="auto"/>
                <w:left w:val="none" w:sz="0" w:space="0" w:color="auto"/>
                <w:bottom w:val="none" w:sz="0" w:space="0" w:color="auto"/>
                <w:right w:val="none" w:sz="0" w:space="0" w:color="auto"/>
              </w:divBdr>
            </w:div>
          </w:divsChild>
        </w:div>
        <w:div w:id="1132746114">
          <w:marLeft w:val="0"/>
          <w:marRight w:val="0"/>
          <w:marTop w:val="0"/>
          <w:marBottom w:val="0"/>
          <w:divBdr>
            <w:top w:val="none" w:sz="0" w:space="0" w:color="auto"/>
            <w:left w:val="none" w:sz="0" w:space="0" w:color="auto"/>
            <w:bottom w:val="none" w:sz="0" w:space="0" w:color="auto"/>
            <w:right w:val="none" w:sz="0" w:space="0" w:color="auto"/>
          </w:divBdr>
          <w:divsChild>
            <w:div w:id="1564679118">
              <w:marLeft w:val="0"/>
              <w:marRight w:val="0"/>
              <w:marTop w:val="0"/>
              <w:marBottom w:val="0"/>
              <w:divBdr>
                <w:top w:val="none" w:sz="0" w:space="0" w:color="auto"/>
                <w:left w:val="none" w:sz="0" w:space="0" w:color="auto"/>
                <w:bottom w:val="none" w:sz="0" w:space="0" w:color="auto"/>
                <w:right w:val="none" w:sz="0" w:space="0" w:color="auto"/>
              </w:divBdr>
            </w:div>
            <w:div w:id="1241476938">
              <w:marLeft w:val="0"/>
              <w:marRight w:val="0"/>
              <w:marTop w:val="0"/>
              <w:marBottom w:val="0"/>
              <w:divBdr>
                <w:top w:val="none" w:sz="0" w:space="0" w:color="auto"/>
                <w:left w:val="none" w:sz="0" w:space="0" w:color="auto"/>
                <w:bottom w:val="none" w:sz="0" w:space="0" w:color="auto"/>
                <w:right w:val="none" w:sz="0" w:space="0" w:color="auto"/>
              </w:divBdr>
            </w:div>
            <w:div w:id="371271835">
              <w:marLeft w:val="0"/>
              <w:marRight w:val="0"/>
              <w:marTop w:val="0"/>
              <w:marBottom w:val="0"/>
              <w:divBdr>
                <w:top w:val="none" w:sz="0" w:space="0" w:color="auto"/>
                <w:left w:val="none" w:sz="0" w:space="0" w:color="auto"/>
                <w:bottom w:val="none" w:sz="0" w:space="0" w:color="auto"/>
                <w:right w:val="none" w:sz="0" w:space="0" w:color="auto"/>
              </w:divBdr>
            </w:div>
          </w:divsChild>
        </w:div>
        <w:div w:id="716323007">
          <w:marLeft w:val="0"/>
          <w:marRight w:val="0"/>
          <w:marTop w:val="0"/>
          <w:marBottom w:val="0"/>
          <w:divBdr>
            <w:top w:val="none" w:sz="0" w:space="0" w:color="auto"/>
            <w:left w:val="none" w:sz="0" w:space="0" w:color="auto"/>
            <w:bottom w:val="none" w:sz="0" w:space="0" w:color="auto"/>
            <w:right w:val="none" w:sz="0" w:space="0" w:color="auto"/>
          </w:divBdr>
          <w:divsChild>
            <w:div w:id="2120444227">
              <w:marLeft w:val="0"/>
              <w:marRight w:val="0"/>
              <w:marTop w:val="0"/>
              <w:marBottom w:val="0"/>
              <w:divBdr>
                <w:top w:val="none" w:sz="0" w:space="0" w:color="auto"/>
                <w:left w:val="none" w:sz="0" w:space="0" w:color="auto"/>
                <w:bottom w:val="none" w:sz="0" w:space="0" w:color="auto"/>
                <w:right w:val="none" w:sz="0" w:space="0" w:color="auto"/>
              </w:divBdr>
            </w:div>
            <w:div w:id="1515606913">
              <w:marLeft w:val="0"/>
              <w:marRight w:val="0"/>
              <w:marTop w:val="0"/>
              <w:marBottom w:val="0"/>
              <w:divBdr>
                <w:top w:val="none" w:sz="0" w:space="0" w:color="auto"/>
                <w:left w:val="none" w:sz="0" w:space="0" w:color="auto"/>
                <w:bottom w:val="none" w:sz="0" w:space="0" w:color="auto"/>
                <w:right w:val="none" w:sz="0" w:space="0" w:color="auto"/>
              </w:divBdr>
            </w:div>
          </w:divsChild>
        </w:div>
        <w:div w:id="958999211">
          <w:marLeft w:val="0"/>
          <w:marRight w:val="0"/>
          <w:marTop w:val="0"/>
          <w:marBottom w:val="0"/>
          <w:divBdr>
            <w:top w:val="none" w:sz="0" w:space="0" w:color="auto"/>
            <w:left w:val="none" w:sz="0" w:space="0" w:color="auto"/>
            <w:bottom w:val="none" w:sz="0" w:space="0" w:color="auto"/>
            <w:right w:val="none" w:sz="0" w:space="0" w:color="auto"/>
          </w:divBdr>
          <w:divsChild>
            <w:div w:id="184903381">
              <w:marLeft w:val="0"/>
              <w:marRight w:val="0"/>
              <w:marTop w:val="0"/>
              <w:marBottom w:val="0"/>
              <w:divBdr>
                <w:top w:val="none" w:sz="0" w:space="0" w:color="auto"/>
                <w:left w:val="none" w:sz="0" w:space="0" w:color="auto"/>
                <w:bottom w:val="none" w:sz="0" w:space="0" w:color="auto"/>
                <w:right w:val="none" w:sz="0" w:space="0" w:color="auto"/>
              </w:divBdr>
            </w:div>
            <w:div w:id="468015829">
              <w:marLeft w:val="0"/>
              <w:marRight w:val="0"/>
              <w:marTop w:val="0"/>
              <w:marBottom w:val="0"/>
              <w:divBdr>
                <w:top w:val="none" w:sz="0" w:space="0" w:color="auto"/>
                <w:left w:val="none" w:sz="0" w:space="0" w:color="auto"/>
                <w:bottom w:val="none" w:sz="0" w:space="0" w:color="auto"/>
                <w:right w:val="none" w:sz="0" w:space="0" w:color="auto"/>
              </w:divBdr>
            </w:div>
            <w:div w:id="988248834">
              <w:marLeft w:val="0"/>
              <w:marRight w:val="0"/>
              <w:marTop w:val="0"/>
              <w:marBottom w:val="0"/>
              <w:divBdr>
                <w:top w:val="none" w:sz="0" w:space="0" w:color="auto"/>
                <w:left w:val="none" w:sz="0" w:space="0" w:color="auto"/>
                <w:bottom w:val="none" w:sz="0" w:space="0" w:color="auto"/>
                <w:right w:val="none" w:sz="0" w:space="0" w:color="auto"/>
              </w:divBdr>
            </w:div>
          </w:divsChild>
        </w:div>
        <w:div w:id="1181311936">
          <w:marLeft w:val="0"/>
          <w:marRight w:val="0"/>
          <w:marTop w:val="0"/>
          <w:marBottom w:val="0"/>
          <w:divBdr>
            <w:top w:val="none" w:sz="0" w:space="0" w:color="auto"/>
            <w:left w:val="none" w:sz="0" w:space="0" w:color="auto"/>
            <w:bottom w:val="none" w:sz="0" w:space="0" w:color="auto"/>
            <w:right w:val="none" w:sz="0" w:space="0" w:color="auto"/>
          </w:divBdr>
          <w:divsChild>
            <w:div w:id="1929657587">
              <w:marLeft w:val="0"/>
              <w:marRight w:val="0"/>
              <w:marTop w:val="0"/>
              <w:marBottom w:val="0"/>
              <w:divBdr>
                <w:top w:val="none" w:sz="0" w:space="0" w:color="auto"/>
                <w:left w:val="none" w:sz="0" w:space="0" w:color="auto"/>
                <w:bottom w:val="none" w:sz="0" w:space="0" w:color="auto"/>
                <w:right w:val="none" w:sz="0" w:space="0" w:color="auto"/>
              </w:divBdr>
            </w:div>
            <w:div w:id="1448889134">
              <w:marLeft w:val="0"/>
              <w:marRight w:val="0"/>
              <w:marTop w:val="0"/>
              <w:marBottom w:val="0"/>
              <w:divBdr>
                <w:top w:val="none" w:sz="0" w:space="0" w:color="auto"/>
                <w:left w:val="none" w:sz="0" w:space="0" w:color="auto"/>
                <w:bottom w:val="none" w:sz="0" w:space="0" w:color="auto"/>
                <w:right w:val="none" w:sz="0" w:space="0" w:color="auto"/>
              </w:divBdr>
            </w:div>
          </w:divsChild>
        </w:div>
        <w:div w:id="1274442659">
          <w:marLeft w:val="0"/>
          <w:marRight w:val="0"/>
          <w:marTop w:val="0"/>
          <w:marBottom w:val="0"/>
          <w:divBdr>
            <w:top w:val="none" w:sz="0" w:space="0" w:color="auto"/>
            <w:left w:val="none" w:sz="0" w:space="0" w:color="auto"/>
            <w:bottom w:val="none" w:sz="0" w:space="0" w:color="auto"/>
            <w:right w:val="none" w:sz="0" w:space="0" w:color="auto"/>
          </w:divBdr>
          <w:divsChild>
            <w:div w:id="1466191859">
              <w:marLeft w:val="0"/>
              <w:marRight w:val="0"/>
              <w:marTop w:val="0"/>
              <w:marBottom w:val="0"/>
              <w:divBdr>
                <w:top w:val="none" w:sz="0" w:space="0" w:color="auto"/>
                <w:left w:val="none" w:sz="0" w:space="0" w:color="auto"/>
                <w:bottom w:val="none" w:sz="0" w:space="0" w:color="auto"/>
                <w:right w:val="none" w:sz="0" w:space="0" w:color="auto"/>
              </w:divBdr>
            </w:div>
          </w:divsChild>
        </w:div>
        <w:div w:id="593167034">
          <w:marLeft w:val="0"/>
          <w:marRight w:val="0"/>
          <w:marTop w:val="0"/>
          <w:marBottom w:val="0"/>
          <w:divBdr>
            <w:top w:val="none" w:sz="0" w:space="0" w:color="auto"/>
            <w:left w:val="none" w:sz="0" w:space="0" w:color="auto"/>
            <w:bottom w:val="none" w:sz="0" w:space="0" w:color="auto"/>
            <w:right w:val="none" w:sz="0" w:space="0" w:color="auto"/>
          </w:divBdr>
          <w:divsChild>
            <w:div w:id="1845321140">
              <w:marLeft w:val="0"/>
              <w:marRight w:val="0"/>
              <w:marTop w:val="0"/>
              <w:marBottom w:val="0"/>
              <w:divBdr>
                <w:top w:val="none" w:sz="0" w:space="0" w:color="auto"/>
                <w:left w:val="none" w:sz="0" w:space="0" w:color="auto"/>
                <w:bottom w:val="none" w:sz="0" w:space="0" w:color="auto"/>
                <w:right w:val="none" w:sz="0" w:space="0" w:color="auto"/>
              </w:divBdr>
            </w:div>
            <w:div w:id="1755664264">
              <w:marLeft w:val="0"/>
              <w:marRight w:val="0"/>
              <w:marTop w:val="0"/>
              <w:marBottom w:val="0"/>
              <w:divBdr>
                <w:top w:val="none" w:sz="0" w:space="0" w:color="auto"/>
                <w:left w:val="none" w:sz="0" w:space="0" w:color="auto"/>
                <w:bottom w:val="none" w:sz="0" w:space="0" w:color="auto"/>
                <w:right w:val="none" w:sz="0" w:space="0" w:color="auto"/>
              </w:divBdr>
            </w:div>
          </w:divsChild>
        </w:div>
        <w:div w:id="1312100423">
          <w:marLeft w:val="0"/>
          <w:marRight w:val="0"/>
          <w:marTop w:val="0"/>
          <w:marBottom w:val="0"/>
          <w:divBdr>
            <w:top w:val="none" w:sz="0" w:space="0" w:color="auto"/>
            <w:left w:val="none" w:sz="0" w:space="0" w:color="auto"/>
            <w:bottom w:val="none" w:sz="0" w:space="0" w:color="auto"/>
            <w:right w:val="none" w:sz="0" w:space="0" w:color="auto"/>
          </w:divBdr>
          <w:divsChild>
            <w:div w:id="486211663">
              <w:marLeft w:val="0"/>
              <w:marRight w:val="0"/>
              <w:marTop w:val="0"/>
              <w:marBottom w:val="0"/>
              <w:divBdr>
                <w:top w:val="none" w:sz="0" w:space="0" w:color="auto"/>
                <w:left w:val="none" w:sz="0" w:space="0" w:color="auto"/>
                <w:bottom w:val="none" w:sz="0" w:space="0" w:color="auto"/>
                <w:right w:val="none" w:sz="0" w:space="0" w:color="auto"/>
              </w:divBdr>
            </w:div>
          </w:divsChild>
        </w:div>
        <w:div w:id="88740203">
          <w:marLeft w:val="0"/>
          <w:marRight w:val="0"/>
          <w:marTop w:val="0"/>
          <w:marBottom w:val="0"/>
          <w:divBdr>
            <w:top w:val="none" w:sz="0" w:space="0" w:color="auto"/>
            <w:left w:val="none" w:sz="0" w:space="0" w:color="auto"/>
            <w:bottom w:val="none" w:sz="0" w:space="0" w:color="auto"/>
            <w:right w:val="none" w:sz="0" w:space="0" w:color="auto"/>
          </w:divBdr>
          <w:divsChild>
            <w:div w:id="88740031">
              <w:marLeft w:val="0"/>
              <w:marRight w:val="0"/>
              <w:marTop w:val="0"/>
              <w:marBottom w:val="0"/>
              <w:divBdr>
                <w:top w:val="none" w:sz="0" w:space="0" w:color="auto"/>
                <w:left w:val="none" w:sz="0" w:space="0" w:color="auto"/>
                <w:bottom w:val="none" w:sz="0" w:space="0" w:color="auto"/>
                <w:right w:val="none" w:sz="0" w:space="0" w:color="auto"/>
              </w:divBdr>
            </w:div>
            <w:div w:id="111368535">
              <w:marLeft w:val="0"/>
              <w:marRight w:val="0"/>
              <w:marTop w:val="0"/>
              <w:marBottom w:val="0"/>
              <w:divBdr>
                <w:top w:val="none" w:sz="0" w:space="0" w:color="auto"/>
                <w:left w:val="none" w:sz="0" w:space="0" w:color="auto"/>
                <w:bottom w:val="none" w:sz="0" w:space="0" w:color="auto"/>
                <w:right w:val="none" w:sz="0" w:space="0" w:color="auto"/>
              </w:divBdr>
            </w:div>
          </w:divsChild>
        </w:div>
        <w:div w:id="1841653611">
          <w:marLeft w:val="0"/>
          <w:marRight w:val="0"/>
          <w:marTop w:val="0"/>
          <w:marBottom w:val="0"/>
          <w:divBdr>
            <w:top w:val="none" w:sz="0" w:space="0" w:color="auto"/>
            <w:left w:val="none" w:sz="0" w:space="0" w:color="auto"/>
            <w:bottom w:val="none" w:sz="0" w:space="0" w:color="auto"/>
            <w:right w:val="none" w:sz="0" w:space="0" w:color="auto"/>
          </w:divBdr>
          <w:divsChild>
            <w:div w:id="1082261730">
              <w:marLeft w:val="0"/>
              <w:marRight w:val="0"/>
              <w:marTop w:val="0"/>
              <w:marBottom w:val="0"/>
              <w:divBdr>
                <w:top w:val="none" w:sz="0" w:space="0" w:color="auto"/>
                <w:left w:val="none" w:sz="0" w:space="0" w:color="auto"/>
                <w:bottom w:val="none" w:sz="0" w:space="0" w:color="auto"/>
                <w:right w:val="none" w:sz="0" w:space="0" w:color="auto"/>
              </w:divBdr>
            </w:div>
          </w:divsChild>
        </w:div>
        <w:div w:id="752312858">
          <w:marLeft w:val="0"/>
          <w:marRight w:val="0"/>
          <w:marTop w:val="0"/>
          <w:marBottom w:val="0"/>
          <w:divBdr>
            <w:top w:val="none" w:sz="0" w:space="0" w:color="auto"/>
            <w:left w:val="none" w:sz="0" w:space="0" w:color="auto"/>
            <w:bottom w:val="none" w:sz="0" w:space="0" w:color="auto"/>
            <w:right w:val="none" w:sz="0" w:space="0" w:color="auto"/>
          </w:divBdr>
          <w:divsChild>
            <w:div w:id="396821805">
              <w:marLeft w:val="0"/>
              <w:marRight w:val="0"/>
              <w:marTop w:val="0"/>
              <w:marBottom w:val="0"/>
              <w:divBdr>
                <w:top w:val="none" w:sz="0" w:space="0" w:color="auto"/>
                <w:left w:val="none" w:sz="0" w:space="0" w:color="auto"/>
                <w:bottom w:val="none" w:sz="0" w:space="0" w:color="auto"/>
                <w:right w:val="none" w:sz="0" w:space="0" w:color="auto"/>
              </w:divBdr>
            </w:div>
            <w:div w:id="153301043">
              <w:marLeft w:val="0"/>
              <w:marRight w:val="0"/>
              <w:marTop w:val="0"/>
              <w:marBottom w:val="0"/>
              <w:divBdr>
                <w:top w:val="none" w:sz="0" w:space="0" w:color="auto"/>
                <w:left w:val="none" w:sz="0" w:space="0" w:color="auto"/>
                <w:bottom w:val="none" w:sz="0" w:space="0" w:color="auto"/>
                <w:right w:val="none" w:sz="0" w:space="0" w:color="auto"/>
              </w:divBdr>
            </w:div>
          </w:divsChild>
        </w:div>
        <w:div w:id="1986886366">
          <w:marLeft w:val="0"/>
          <w:marRight w:val="0"/>
          <w:marTop w:val="0"/>
          <w:marBottom w:val="0"/>
          <w:divBdr>
            <w:top w:val="none" w:sz="0" w:space="0" w:color="auto"/>
            <w:left w:val="none" w:sz="0" w:space="0" w:color="auto"/>
            <w:bottom w:val="none" w:sz="0" w:space="0" w:color="auto"/>
            <w:right w:val="none" w:sz="0" w:space="0" w:color="auto"/>
          </w:divBdr>
          <w:divsChild>
            <w:div w:id="884176827">
              <w:marLeft w:val="0"/>
              <w:marRight w:val="0"/>
              <w:marTop w:val="0"/>
              <w:marBottom w:val="0"/>
              <w:divBdr>
                <w:top w:val="none" w:sz="0" w:space="0" w:color="auto"/>
                <w:left w:val="none" w:sz="0" w:space="0" w:color="auto"/>
                <w:bottom w:val="none" w:sz="0" w:space="0" w:color="auto"/>
                <w:right w:val="none" w:sz="0" w:space="0" w:color="auto"/>
              </w:divBdr>
            </w:div>
            <w:div w:id="1988633672">
              <w:marLeft w:val="0"/>
              <w:marRight w:val="0"/>
              <w:marTop w:val="0"/>
              <w:marBottom w:val="0"/>
              <w:divBdr>
                <w:top w:val="none" w:sz="0" w:space="0" w:color="auto"/>
                <w:left w:val="none" w:sz="0" w:space="0" w:color="auto"/>
                <w:bottom w:val="none" w:sz="0" w:space="0" w:color="auto"/>
                <w:right w:val="none" w:sz="0" w:space="0" w:color="auto"/>
              </w:divBdr>
            </w:div>
          </w:divsChild>
        </w:div>
        <w:div w:id="1808669262">
          <w:marLeft w:val="0"/>
          <w:marRight w:val="0"/>
          <w:marTop w:val="0"/>
          <w:marBottom w:val="0"/>
          <w:divBdr>
            <w:top w:val="none" w:sz="0" w:space="0" w:color="auto"/>
            <w:left w:val="none" w:sz="0" w:space="0" w:color="auto"/>
            <w:bottom w:val="none" w:sz="0" w:space="0" w:color="auto"/>
            <w:right w:val="none" w:sz="0" w:space="0" w:color="auto"/>
          </w:divBdr>
          <w:divsChild>
            <w:div w:id="854491001">
              <w:marLeft w:val="0"/>
              <w:marRight w:val="0"/>
              <w:marTop w:val="0"/>
              <w:marBottom w:val="0"/>
              <w:divBdr>
                <w:top w:val="none" w:sz="0" w:space="0" w:color="auto"/>
                <w:left w:val="none" w:sz="0" w:space="0" w:color="auto"/>
                <w:bottom w:val="none" w:sz="0" w:space="0" w:color="auto"/>
                <w:right w:val="none" w:sz="0" w:space="0" w:color="auto"/>
              </w:divBdr>
            </w:div>
            <w:div w:id="1743601034">
              <w:marLeft w:val="0"/>
              <w:marRight w:val="0"/>
              <w:marTop w:val="0"/>
              <w:marBottom w:val="0"/>
              <w:divBdr>
                <w:top w:val="none" w:sz="0" w:space="0" w:color="auto"/>
                <w:left w:val="none" w:sz="0" w:space="0" w:color="auto"/>
                <w:bottom w:val="none" w:sz="0" w:space="0" w:color="auto"/>
                <w:right w:val="none" w:sz="0" w:space="0" w:color="auto"/>
              </w:divBdr>
            </w:div>
          </w:divsChild>
        </w:div>
        <w:div w:id="1920139828">
          <w:marLeft w:val="0"/>
          <w:marRight w:val="0"/>
          <w:marTop w:val="0"/>
          <w:marBottom w:val="0"/>
          <w:divBdr>
            <w:top w:val="none" w:sz="0" w:space="0" w:color="auto"/>
            <w:left w:val="none" w:sz="0" w:space="0" w:color="auto"/>
            <w:bottom w:val="none" w:sz="0" w:space="0" w:color="auto"/>
            <w:right w:val="none" w:sz="0" w:space="0" w:color="auto"/>
          </w:divBdr>
          <w:divsChild>
            <w:div w:id="930092020">
              <w:marLeft w:val="0"/>
              <w:marRight w:val="0"/>
              <w:marTop w:val="0"/>
              <w:marBottom w:val="0"/>
              <w:divBdr>
                <w:top w:val="none" w:sz="0" w:space="0" w:color="auto"/>
                <w:left w:val="none" w:sz="0" w:space="0" w:color="auto"/>
                <w:bottom w:val="none" w:sz="0" w:space="0" w:color="auto"/>
                <w:right w:val="none" w:sz="0" w:space="0" w:color="auto"/>
              </w:divBdr>
            </w:div>
          </w:divsChild>
        </w:div>
        <w:div w:id="2031830618">
          <w:marLeft w:val="0"/>
          <w:marRight w:val="0"/>
          <w:marTop w:val="0"/>
          <w:marBottom w:val="0"/>
          <w:divBdr>
            <w:top w:val="none" w:sz="0" w:space="0" w:color="auto"/>
            <w:left w:val="none" w:sz="0" w:space="0" w:color="auto"/>
            <w:bottom w:val="none" w:sz="0" w:space="0" w:color="auto"/>
            <w:right w:val="none" w:sz="0" w:space="0" w:color="auto"/>
          </w:divBdr>
          <w:divsChild>
            <w:div w:id="2063557301">
              <w:marLeft w:val="0"/>
              <w:marRight w:val="0"/>
              <w:marTop w:val="0"/>
              <w:marBottom w:val="0"/>
              <w:divBdr>
                <w:top w:val="none" w:sz="0" w:space="0" w:color="auto"/>
                <w:left w:val="none" w:sz="0" w:space="0" w:color="auto"/>
                <w:bottom w:val="none" w:sz="0" w:space="0" w:color="auto"/>
                <w:right w:val="none" w:sz="0" w:space="0" w:color="auto"/>
              </w:divBdr>
            </w:div>
            <w:div w:id="1899777730">
              <w:marLeft w:val="0"/>
              <w:marRight w:val="0"/>
              <w:marTop w:val="0"/>
              <w:marBottom w:val="0"/>
              <w:divBdr>
                <w:top w:val="none" w:sz="0" w:space="0" w:color="auto"/>
                <w:left w:val="none" w:sz="0" w:space="0" w:color="auto"/>
                <w:bottom w:val="none" w:sz="0" w:space="0" w:color="auto"/>
                <w:right w:val="none" w:sz="0" w:space="0" w:color="auto"/>
              </w:divBdr>
            </w:div>
          </w:divsChild>
        </w:div>
        <w:div w:id="1350521397">
          <w:marLeft w:val="0"/>
          <w:marRight w:val="0"/>
          <w:marTop w:val="0"/>
          <w:marBottom w:val="0"/>
          <w:divBdr>
            <w:top w:val="none" w:sz="0" w:space="0" w:color="auto"/>
            <w:left w:val="none" w:sz="0" w:space="0" w:color="auto"/>
            <w:bottom w:val="none" w:sz="0" w:space="0" w:color="auto"/>
            <w:right w:val="none" w:sz="0" w:space="0" w:color="auto"/>
          </w:divBdr>
          <w:divsChild>
            <w:div w:id="1347562651">
              <w:marLeft w:val="0"/>
              <w:marRight w:val="0"/>
              <w:marTop w:val="0"/>
              <w:marBottom w:val="0"/>
              <w:divBdr>
                <w:top w:val="none" w:sz="0" w:space="0" w:color="auto"/>
                <w:left w:val="none" w:sz="0" w:space="0" w:color="auto"/>
                <w:bottom w:val="none" w:sz="0" w:space="0" w:color="auto"/>
                <w:right w:val="none" w:sz="0" w:space="0" w:color="auto"/>
              </w:divBdr>
            </w:div>
            <w:div w:id="1878158891">
              <w:marLeft w:val="0"/>
              <w:marRight w:val="0"/>
              <w:marTop w:val="0"/>
              <w:marBottom w:val="0"/>
              <w:divBdr>
                <w:top w:val="none" w:sz="0" w:space="0" w:color="auto"/>
                <w:left w:val="none" w:sz="0" w:space="0" w:color="auto"/>
                <w:bottom w:val="none" w:sz="0" w:space="0" w:color="auto"/>
                <w:right w:val="none" w:sz="0" w:space="0" w:color="auto"/>
              </w:divBdr>
            </w:div>
            <w:div w:id="157430567">
              <w:marLeft w:val="0"/>
              <w:marRight w:val="0"/>
              <w:marTop w:val="0"/>
              <w:marBottom w:val="0"/>
              <w:divBdr>
                <w:top w:val="none" w:sz="0" w:space="0" w:color="auto"/>
                <w:left w:val="none" w:sz="0" w:space="0" w:color="auto"/>
                <w:bottom w:val="none" w:sz="0" w:space="0" w:color="auto"/>
                <w:right w:val="none" w:sz="0" w:space="0" w:color="auto"/>
              </w:divBdr>
            </w:div>
            <w:div w:id="1586957345">
              <w:marLeft w:val="0"/>
              <w:marRight w:val="0"/>
              <w:marTop w:val="0"/>
              <w:marBottom w:val="0"/>
              <w:divBdr>
                <w:top w:val="none" w:sz="0" w:space="0" w:color="auto"/>
                <w:left w:val="none" w:sz="0" w:space="0" w:color="auto"/>
                <w:bottom w:val="none" w:sz="0" w:space="0" w:color="auto"/>
                <w:right w:val="none" w:sz="0" w:space="0" w:color="auto"/>
              </w:divBdr>
            </w:div>
          </w:divsChild>
        </w:div>
        <w:div w:id="1122843553">
          <w:marLeft w:val="0"/>
          <w:marRight w:val="0"/>
          <w:marTop w:val="0"/>
          <w:marBottom w:val="0"/>
          <w:divBdr>
            <w:top w:val="none" w:sz="0" w:space="0" w:color="auto"/>
            <w:left w:val="none" w:sz="0" w:space="0" w:color="auto"/>
            <w:bottom w:val="none" w:sz="0" w:space="0" w:color="auto"/>
            <w:right w:val="none" w:sz="0" w:space="0" w:color="auto"/>
          </w:divBdr>
          <w:divsChild>
            <w:div w:id="1541746513">
              <w:marLeft w:val="0"/>
              <w:marRight w:val="0"/>
              <w:marTop w:val="0"/>
              <w:marBottom w:val="0"/>
              <w:divBdr>
                <w:top w:val="none" w:sz="0" w:space="0" w:color="auto"/>
                <w:left w:val="none" w:sz="0" w:space="0" w:color="auto"/>
                <w:bottom w:val="none" w:sz="0" w:space="0" w:color="auto"/>
                <w:right w:val="none" w:sz="0" w:space="0" w:color="auto"/>
              </w:divBdr>
            </w:div>
          </w:divsChild>
        </w:div>
        <w:div w:id="851837606">
          <w:marLeft w:val="0"/>
          <w:marRight w:val="0"/>
          <w:marTop w:val="0"/>
          <w:marBottom w:val="0"/>
          <w:divBdr>
            <w:top w:val="none" w:sz="0" w:space="0" w:color="auto"/>
            <w:left w:val="none" w:sz="0" w:space="0" w:color="auto"/>
            <w:bottom w:val="none" w:sz="0" w:space="0" w:color="auto"/>
            <w:right w:val="none" w:sz="0" w:space="0" w:color="auto"/>
          </w:divBdr>
          <w:divsChild>
            <w:div w:id="96724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88112">
      <w:bodyDiv w:val="1"/>
      <w:marLeft w:val="0"/>
      <w:marRight w:val="0"/>
      <w:marTop w:val="0"/>
      <w:marBottom w:val="0"/>
      <w:divBdr>
        <w:top w:val="none" w:sz="0" w:space="0" w:color="auto"/>
        <w:left w:val="none" w:sz="0" w:space="0" w:color="auto"/>
        <w:bottom w:val="none" w:sz="0" w:space="0" w:color="auto"/>
        <w:right w:val="none" w:sz="0" w:space="0" w:color="auto"/>
      </w:divBdr>
    </w:div>
    <w:div w:id="206646856">
      <w:bodyDiv w:val="1"/>
      <w:marLeft w:val="0"/>
      <w:marRight w:val="0"/>
      <w:marTop w:val="0"/>
      <w:marBottom w:val="0"/>
      <w:divBdr>
        <w:top w:val="none" w:sz="0" w:space="0" w:color="auto"/>
        <w:left w:val="none" w:sz="0" w:space="0" w:color="auto"/>
        <w:bottom w:val="none" w:sz="0" w:space="0" w:color="auto"/>
        <w:right w:val="none" w:sz="0" w:space="0" w:color="auto"/>
      </w:divBdr>
    </w:div>
    <w:div w:id="210655152">
      <w:bodyDiv w:val="1"/>
      <w:marLeft w:val="0"/>
      <w:marRight w:val="0"/>
      <w:marTop w:val="0"/>
      <w:marBottom w:val="0"/>
      <w:divBdr>
        <w:top w:val="none" w:sz="0" w:space="0" w:color="auto"/>
        <w:left w:val="none" w:sz="0" w:space="0" w:color="auto"/>
        <w:bottom w:val="none" w:sz="0" w:space="0" w:color="auto"/>
        <w:right w:val="none" w:sz="0" w:space="0" w:color="auto"/>
      </w:divBdr>
    </w:div>
    <w:div w:id="214313490">
      <w:bodyDiv w:val="1"/>
      <w:marLeft w:val="0"/>
      <w:marRight w:val="0"/>
      <w:marTop w:val="0"/>
      <w:marBottom w:val="0"/>
      <w:divBdr>
        <w:top w:val="none" w:sz="0" w:space="0" w:color="auto"/>
        <w:left w:val="none" w:sz="0" w:space="0" w:color="auto"/>
        <w:bottom w:val="none" w:sz="0" w:space="0" w:color="auto"/>
        <w:right w:val="none" w:sz="0" w:space="0" w:color="auto"/>
      </w:divBdr>
    </w:div>
    <w:div w:id="226888057">
      <w:bodyDiv w:val="1"/>
      <w:marLeft w:val="0"/>
      <w:marRight w:val="0"/>
      <w:marTop w:val="0"/>
      <w:marBottom w:val="0"/>
      <w:divBdr>
        <w:top w:val="none" w:sz="0" w:space="0" w:color="auto"/>
        <w:left w:val="none" w:sz="0" w:space="0" w:color="auto"/>
        <w:bottom w:val="none" w:sz="0" w:space="0" w:color="auto"/>
        <w:right w:val="none" w:sz="0" w:space="0" w:color="auto"/>
      </w:divBdr>
    </w:div>
    <w:div w:id="238172867">
      <w:bodyDiv w:val="1"/>
      <w:marLeft w:val="0"/>
      <w:marRight w:val="0"/>
      <w:marTop w:val="0"/>
      <w:marBottom w:val="0"/>
      <w:divBdr>
        <w:top w:val="none" w:sz="0" w:space="0" w:color="auto"/>
        <w:left w:val="none" w:sz="0" w:space="0" w:color="auto"/>
        <w:bottom w:val="none" w:sz="0" w:space="0" w:color="auto"/>
        <w:right w:val="none" w:sz="0" w:space="0" w:color="auto"/>
      </w:divBdr>
    </w:div>
    <w:div w:id="242381019">
      <w:bodyDiv w:val="1"/>
      <w:marLeft w:val="0"/>
      <w:marRight w:val="0"/>
      <w:marTop w:val="0"/>
      <w:marBottom w:val="0"/>
      <w:divBdr>
        <w:top w:val="none" w:sz="0" w:space="0" w:color="auto"/>
        <w:left w:val="none" w:sz="0" w:space="0" w:color="auto"/>
        <w:bottom w:val="none" w:sz="0" w:space="0" w:color="auto"/>
        <w:right w:val="none" w:sz="0" w:space="0" w:color="auto"/>
      </w:divBdr>
    </w:div>
    <w:div w:id="254947638">
      <w:bodyDiv w:val="1"/>
      <w:marLeft w:val="0"/>
      <w:marRight w:val="0"/>
      <w:marTop w:val="0"/>
      <w:marBottom w:val="0"/>
      <w:divBdr>
        <w:top w:val="none" w:sz="0" w:space="0" w:color="auto"/>
        <w:left w:val="none" w:sz="0" w:space="0" w:color="auto"/>
        <w:bottom w:val="none" w:sz="0" w:space="0" w:color="auto"/>
        <w:right w:val="none" w:sz="0" w:space="0" w:color="auto"/>
      </w:divBdr>
    </w:div>
    <w:div w:id="256446933">
      <w:marLeft w:val="0"/>
      <w:marRight w:val="0"/>
      <w:marTop w:val="0"/>
      <w:marBottom w:val="0"/>
      <w:divBdr>
        <w:top w:val="none" w:sz="0" w:space="0" w:color="auto"/>
        <w:left w:val="none" w:sz="0" w:space="0" w:color="auto"/>
        <w:bottom w:val="none" w:sz="0" w:space="0" w:color="auto"/>
        <w:right w:val="none" w:sz="0" w:space="0" w:color="auto"/>
      </w:divBdr>
    </w:div>
    <w:div w:id="262081238">
      <w:bodyDiv w:val="1"/>
      <w:marLeft w:val="0"/>
      <w:marRight w:val="0"/>
      <w:marTop w:val="0"/>
      <w:marBottom w:val="0"/>
      <w:divBdr>
        <w:top w:val="none" w:sz="0" w:space="0" w:color="auto"/>
        <w:left w:val="none" w:sz="0" w:space="0" w:color="auto"/>
        <w:bottom w:val="none" w:sz="0" w:space="0" w:color="auto"/>
        <w:right w:val="none" w:sz="0" w:space="0" w:color="auto"/>
      </w:divBdr>
    </w:div>
    <w:div w:id="264507936">
      <w:bodyDiv w:val="1"/>
      <w:marLeft w:val="0"/>
      <w:marRight w:val="0"/>
      <w:marTop w:val="0"/>
      <w:marBottom w:val="0"/>
      <w:divBdr>
        <w:top w:val="none" w:sz="0" w:space="0" w:color="auto"/>
        <w:left w:val="none" w:sz="0" w:space="0" w:color="auto"/>
        <w:bottom w:val="none" w:sz="0" w:space="0" w:color="auto"/>
        <w:right w:val="none" w:sz="0" w:space="0" w:color="auto"/>
      </w:divBdr>
    </w:div>
    <w:div w:id="265189111">
      <w:bodyDiv w:val="1"/>
      <w:marLeft w:val="0"/>
      <w:marRight w:val="0"/>
      <w:marTop w:val="0"/>
      <w:marBottom w:val="0"/>
      <w:divBdr>
        <w:top w:val="none" w:sz="0" w:space="0" w:color="auto"/>
        <w:left w:val="none" w:sz="0" w:space="0" w:color="auto"/>
        <w:bottom w:val="none" w:sz="0" w:space="0" w:color="auto"/>
        <w:right w:val="none" w:sz="0" w:space="0" w:color="auto"/>
      </w:divBdr>
    </w:div>
    <w:div w:id="270473910">
      <w:bodyDiv w:val="1"/>
      <w:marLeft w:val="0"/>
      <w:marRight w:val="0"/>
      <w:marTop w:val="0"/>
      <w:marBottom w:val="0"/>
      <w:divBdr>
        <w:top w:val="none" w:sz="0" w:space="0" w:color="auto"/>
        <w:left w:val="none" w:sz="0" w:space="0" w:color="auto"/>
        <w:bottom w:val="none" w:sz="0" w:space="0" w:color="auto"/>
        <w:right w:val="none" w:sz="0" w:space="0" w:color="auto"/>
      </w:divBdr>
    </w:div>
    <w:div w:id="274404267">
      <w:bodyDiv w:val="1"/>
      <w:marLeft w:val="0"/>
      <w:marRight w:val="0"/>
      <w:marTop w:val="0"/>
      <w:marBottom w:val="0"/>
      <w:divBdr>
        <w:top w:val="none" w:sz="0" w:space="0" w:color="auto"/>
        <w:left w:val="none" w:sz="0" w:space="0" w:color="auto"/>
        <w:bottom w:val="none" w:sz="0" w:space="0" w:color="auto"/>
        <w:right w:val="none" w:sz="0" w:space="0" w:color="auto"/>
      </w:divBdr>
    </w:div>
    <w:div w:id="282855911">
      <w:bodyDiv w:val="1"/>
      <w:marLeft w:val="0"/>
      <w:marRight w:val="0"/>
      <w:marTop w:val="0"/>
      <w:marBottom w:val="0"/>
      <w:divBdr>
        <w:top w:val="none" w:sz="0" w:space="0" w:color="auto"/>
        <w:left w:val="none" w:sz="0" w:space="0" w:color="auto"/>
        <w:bottom w:val="none" w:sz="0" w:space="0" w:color="auto"/>
        <w:right w:val="none" w:sz="0" w:space="0" w:color="auto"/>
      </w:divBdr>
    </w:div>
    <w:div w:id="285433178">
      <w:marLeft w:val="0"/>
      <w:marRight w:val="0"/>
      <w:marTop w:val="0"/>
      <w:marBottom w:val="0"/>
      <w:divBdr>
        <w:top w:val="none" w:sz="0" w:space="0" w:color="auto"/>
        <w:left w:val="none" w:sz="0" w:space="0" w:color="auto"/>
        <w:bottom w:val="none" w:sz="0" w:space="0" w:color="auto"/>
        <w:right w:val="none" w:sz="0" w:space="0" w:color="auto"/>
      </w:divBdr>
    </w:div>
    <w:div w:id="291064245">
      <w:bodyDiv w:val="1"/>
      <w:marLeft w:val="0"/>
      <w:marRight w:val="0"/>
      <w:marTop w:val="0"/>
      <w:marBottom w:val="0"/>
      <w:divBdr>
        <w:top w:val="none" w:sz="0" w:space="0" w:color="auto"/>
        <w:left w:val="none" w:sz="0" w:space="0" w:color="auto"/>
        <w:bottom w:val="none" w:sz="0" w:space="0" w:color="auto"/>
        <w:right w:val="none" w:sz="0" w:space="0" w:color="auto"/>
      </w:divBdr>
    </w:div>
    <w:div w:id="295843466">
      <w:bodyDiv w:val="1"/>
      <w:marLeft w:val="0"/>
      <w:marRight w:val="0"/>
      <w:marTop w:val="0"/>
      <w:marBottom w:val="0"/>
      <w:divBdr>
        <w:top w:val="none" w:sz="0" w:space="0" w:color="auto"/>
        <w:left w:val="none" w:sz="0" w:space="0" w:color="auto"/>
        <w:bottom w:val="none" w:sz="0" w:space="0" w:color="auto"/>
        <w:right w:val="none" w:sz="0" w:space="0" w:color="auto"/>
      </w:divBdr>
    </w:div>
    <w:div w:id="309403956">
      <w:bodyDiv w:val="1"/>
      <w:marLeft w:val="0"/>
      <w:marRight w:val="0"/>
      <w:marTop w:val="0"/>
      <w:marBottom w:val="0"/>
      <w:divBdr>
        <w:top w:val="none" w:sz="0" w:space="0" w:color="auto"/>
        <w:left w:val="none" w:sz="0" w:space="0" w:color="auto"/>
        <w:bottom w:val="none" w:sz="0" w:space="0" w:color="auto"/>
        <w:right w:val="none" w:sz="0" w:space="0" w:color="auto"/>
      </w:divBdr>
    </w:div>
    <w:div w:id="314653618">
      <w:bodyDiv w:val="1"/>
      <w:marLeft w:val="0"/>
      <w:marRight w:val="0"/>
      <w:marTop w:val="0"/>
      <w:marBottom w:val="0"/>
      <w:divBdr>
        <w:top w:val="none" w:sz="0" w:space="0" w:color="auto"/>
        <w:left w:val="none" w:sz="0" w:space="0" w:color="auto"/>
        <w:bottom w:val="none" w:sz="0" w:space="0" w:color="auto"/>
        <w:right w:val="none" w:sz="0" w:space="0" w:color="auto"/>
      </w:divBdr>
    </w:div>
    <w:div w:id="336418826">
      <w:bodyDiv w:val="1"/>
      <w:marLeft w:val="0"/>
      <w:marRight w:val="0"/>
      <w:marTop w:val="0"/>
      <w:marBottom w:val="0"/>
      <w:divBdr>
        <w:top w:val="none" w:sz="0" w:space="0" w:color="auto"/>
        <w:left w:val="none" w:sz="0" w:space="0" w:color="auto"/>
        <w:bottom w:val="none" w:sz="0" w:space="0" w:color="auto"/>
        <w:right w:val="none" w:sz="0" w:space="0" w:color="auto"/>
      </w:divBdr>
    </w:div>
    <w:div w:id="346061418">
      <w:bodyDiv w:val="1"/>
      <w:marLeft w:val="0"/>
      <w:marRight w:val="0"/>
      <w:marTop w:val="0"/>
      <w:marBottom w:val="0"/>
      <w:divBdr>
        <w:top w:val="none" w:sz="0" w:space="0" w:color="auto"/>
        <w:left w:val="none" w:sz="0" w:space="0" w:color="auto"/>
        <w:bottom w:val="none" w:sz="0" w:space="0" w:color="auto"/>
        <w:right w:val="none" w:sz="0" w:space="0" w:color="auto"/>
      </w:divBdr>
    </w:div>
    <w:div w:id="347608540">
      <w:bodyDiv w:val="1"/>
      <w:marLeft w:val="0"/>
      <w:marRight w:val="0"/>
      <w:marTop w:val="0"/>
      <w:marBottom w:val="0"/>
      <w:divBdr>
        <w:top w:val="none" w:sz="0" w:space="0" w:color="auto"/>
        <w:left w:val="none" w:sz="0" w:space="0" w:color="auto"/>
        <w:bottom w:val="none" w:sz="0" w:space="0" w:color="auto"/>
        <w:right w:val="none" w:sz="0" w:space="0" w:color="auto"/>
      </w:divBdr>
    </w:div>
    <w:div w:id="356128147">
      <w:bodyDiv w:val="1"/>
      <w:marLeft w:val="0"/>
      <w:marRight w:val="0"/>
      <w:marTop w:val="0"/>
      <w:marBottom w:val="0"/>
      <w:divBdr>
        <w:top w:val="none" w:sz="0" w:space="0" w:color="auto"/>
        <w:left w:val="none" w:sz="0" w:space="0" w:color="auto"/>
        <w:bottom w:val="none" w:sz="0" w:space="0" w:color="auto"/>
        <w:right w:val="none" w:sz="0" w:space="0" w:color="auto"/>
      </w:divBdr>
    </w:div>
    <w:div w:id="362177278">
      <w:bodyDiv w:val="1"/>
      <w:marLeft w:val="0"/>
      <w:marRight w:val="0"/>
      <w:marTop w:val="0"/>
      <w:marBottom w:val="0"/>
      <w:divBdr>
        <w:top w:val="none" w:sz="0" w:space="0" w:color="auto"/>
        <w:left w:val="none" w:sz="0" w:space="0" w:color="auto"/>
        <w:bottom w:val="none" w:sz="0" w:space="0" w:color="auto"/>
        <w:right w:val="none" w:sz="0" w:space="0" w:color="auto"/>
      </w:divBdr>
    </w:div>
    <w:div w:id="372468150">
      <w:bodyDiv w:val="1"/>
      <w:marLeft w:val="0"/>
      <w:marRight w:val="0"/>
      <w:marTop w:val="0"/>
      <w:marBottom w:val="0"/>
      <w:divBdr>
        <w:top w:val="none" w:sz="0" w:space="0" w:color="auto"/>
        <w:left w:val="none" w:sz="0" w:space="0" w:color="auto"/>
        <w:bottom w:val="none" w:sz="0" w:space="0" w:color="auto"/>
        <w:right w:val="none" w:sz="0" w:space="0" w:color="auto"/>
      </w:divBdr>
      <w:divsChild>
        <w:div w:id="1132210225">
          <w:marLeft w:val="0"/>
          <w:marRight w:val="0"/>
          <w:marTop w:val="0"/>
          <w:marBottom w:val="0"/>
          <w:divBdr>
            <w:top w:val="none" w:sz="0" w:space="0" w:color="auto"/>
            <w:left w:val="none" w:sz="0" w:space="0" w:color="auto"/>
            <w:bottom w:val="none" w:sz="0" w:space="0" w:color="auto"/>
            <w:right w:val="none" w:sz="0" w:space="0" w:color="auto"/>
          </w:divBdr>
        </w:div>
        <w:div w:id="1685863713">
          <w:marLeft w:val="0"/>
          <w:marRight w:val="0"/>
          <w:marTop w:val="0"/>
          <w:marBottom w:val="0"/>
          <w:divBdr>
            <w:top w:val="none" w:sz="0" w:space="0" w:color="auto"/>
            <w:left w:val="none" w:sz="0" w:space="0" w:color="auto"/>
            <w:bottom w:val="none" w:sz="0" w:space="0" w:color="auto"/>
            <w:right w:val="none" w:sz="0" w:space="0" w:color="auto"/>
          </w:divBdr>
        </w:div>
        <w:div w:id="1048916940">
          <w:marLeft w:val="0"/>
          <w:marRight w:val="0"/>
          <w:marTop w:val="0"/>
          <w:marBottom w:val="0"/>
          <w:divBdr>
            <w:top w:val="none" w:sz="0" w:space="0" w:color="auto"/>
            <w:left w:val="none" w:sz="0" w:space="0" w:color="auto"/>
            <w:bottom w:val="none" w:sz="0" w:space="0" w:color="auto"/>
            <w:right w:val="none" w:sz="0" w:space="0" w:color="auto"/>
          </w:divBdr>
        </w:div>
        <w:div w:id="690449016">
          <w:marLeft w:val="0"/>
          <w:marRight w:val="0"/>
          <w:marTop w:val="0"/>
          <w:marBottom w:val="0"/>
          <w:divBdr>
            <w:top w:val="none" w:sz="0" w:space="0" w:color="auto"/>
            <w:left w:val="none" w:sz="0" w:space="0" w:color="auto"/>
            <w:bottom w:val="none" w:sz="0" w:space="0" w:color="auto"/>
            <w:right w:val="none" w:sz="0" w:space="0" w:color="auto"/>
          </w:divBdr>
        </w:div>
        <w:div w:id="588200334">
          <w:marLeft w:val="0"/>
          <w:marRight w:val="0"/>
          <w:marTop w:val="0"/>
          <w:marBottom w:val="0"/>
          <w:divBdr>
            <w:top w:val="none" w:sz="0" w:space="0" w:color="auto"/>
            <w:left w:val="none" w:sz="0" w:space="0" w:color="auto"/>
            <w:bottom w:val="none" w:sz="0" w:space="0" w:color="auto"/>
            <w:right w:val="none" w:sz="0" w:space="0" w:color="auto"/>
          </w:divBdr>
        </w:div>
        <w:div w:id="192110985">
          <w:marLeft w:val="0"/>
          <w:marRight w:val="0"/>
          <w:marTop w:val="0"/>
          <w:marBottom w:val="0"/>
          <w:divBdr>
            <w:top w:val="none" w:sz="0" w:space="0" w:color="auto"/>
            <w:left w:val="none" w:sz="0" w:space="0" w:color="auto"/>
            <w:bottom w:val="none" w:sz="0" w:space="0" w:color="auto"/>
            <w:right w:val="none" w:sz="0" w:space="0" w:color="auto"/>
          </w:divBdr>
        </w:div>
        <w:div w:id="1811245806">
          <w:marLeft w:val="0"/>
          <w:marRight w:val="0"/>
          <w:marTop w:val="0"/>
          <w:marBottom w:val="0"/>
          <w:divBdr>
            <w:top w:val="none" w:sz="0" w:space="0" w:color="auto"/>
            <w:left w:val="none" w:sz="0" w:space="0" w:color="auto"/>
            <w:bottom w:val="none" w:sz="0" w:space="0" w:color="auto"/>
            <w:right w:val="none" w:sz="0" w:space="0" w:color="auto"/>
          </w:divBdr>
        </w:div>
        <w:div w:id="1339114042">
          <w:marLeft w:val="0"/>
          <w:marRight w:val="0"/>
          <w:marTop w:val="0"/>
          <w:marBottom w:val="0"/>
          <w:divBdr>
            <w:top w:val="none" w:sz="0" w:space="0" w:color="auto"/>
            <w:left w:val="none" w:sz="0" w:space="0" w:color="auto"/>
            <w:bottom w:val="none" w:sz="0" w:space="0" w:color="auto"/>
            <w:right w:val="none" w:sz="0" w:space="0" w:color="auto"/>
          </w:divBdr>
        </w:div>
        <w:div w:id="1244755835">
          <w:marLeft w:val="0"/>
          <w:marRight w:val="0"/>
          <w:marTop w:val="0"/>
          <w:marBottom w:val="0"/>
          <w:divBdr>
            <w:top w:val="none" w:sz="0" w:space="0" w:color="auto"/>
            <w:left w:val="none" w:sz="0" w:space="0" w:color="auto"/>
            <w:bottom w:val="none" w:sz="0" w:space="0" w:color="auto"/>
            <w:right w:val="none" w:sz="0" w:space="0" w:color="auto"/>
          </w:divBdr>
        </w:div>
        <w:div w:id="1277176877">
          <w:marLeft w:val="0"/>
          <w:marRight w:val="0"/>
          <w:marTop w:val="0"/>
          <w:marBottom w:val="0"/>
          <w:divBdr>
            <w:top w:val="none" w:sz="0" w:space="0" w:color="auto"/>
            <w:left w:val="none" w:sz="0" w:space="0" w:color="auto"/>
            <w:bottom w:val="none" w:sz="0" w:space="0" w:color="auto"/>
            <w:right w:val="none" w:sz="0" w:space="0" w:color="auto"/>
          </w:divBdr>
        </w:div>
        <w:div w:id="1135176032">
          <w:marLeft w:val="0"/>
          <w:marRight w:val="0"/>
          <w:marTop w:val="0"/>
          <w:marBottom w:val="0"/>
          <w:divBdr>
            <w:top w:val="none" w:sz="0" w:space="0" w:color="auto"/>
            <w:left w:val="none" w:sz="0" w:space="0" w:color="auto"/>
            <w:bottom w:val="none" w:sz="0" w:space="0" w:color="auto"/>
            <w:right w:val="none" w:sz="0" w:space="0" w:color="auto"/>
          </w:divBdr>
        </w:div>
        <w:div w:id="499808347">
          <w:marLeft w:val="0"/>
          <w:marRight w:val="0"/>
          <w:marTop w:val="0"/>
          <w:marBottom w:val="0"/>
          <w:divBdr>
            <w:top w:val="none" w:sz="0" w:space="0" w:color="auto"/>
            <w:left w:val="none" w:sz="0" w:space="0" w:color="auto"/>
            <w:bottom w:val="none" w:sz="0" w:space="0" w:color="auto"/>
            <w:right w:val="none" w:sz="0" w:space="0" w:color="auto"/>
          </w:divBdr>
        </w:div>
        <w:div w:id="1766611758">
          <w:marLeft w:val="0"/>
          <w:marRight w:val="0"/>
          <w:marTop w:val="0"/>
          <w:marBottom w:val="0"/>
          <w:divBdr>
            <w:top w:val="none" w:sz="0" w:space="0" w:color="auto"/>
            <w:left w:val="none" w:sz="0" w:space="0" w:color="auto"/>
            <w:bottom w:val="none" w:sz="0" w:space="0" w:color="auto"/>
            <w:right w:val="none" w:sz="0" w:space="0" w:color="auto"/>
          </w:divBdr>
        </w:div>
        <w:div w:id="666976809">
          <w:marLeft w:val="0"/>
          <w:marRight w:val="0"/>
          <w:marTop w:val="0"/>
          <w:marBottom w:val="0"/>
          <w:divBdr>
            <w:top w:val="none" w:sz="0" w:space="0" w:color="auto"/>
            <w:left w:val="none" w:sz="0" w:space="0" w:color="auto"/>
            <w:bottom w:val="none" w:sz="0" w:space="0" w:color="auto"/>
            <w:right w:val="none" w:sz="0" w:space="0" w:color="auto"/>
          </w:divBdr>
        </w:div>
        <w:div w:id="1036615533">
          <w:marLeft w:val="0"/>
          <w:marRight w:val="0"/>
          <w:marTop w:val="0"/>
          <w:marBottom w:val="0"/>
          <w:divBdr>
            <w:top w:val="none" w:sz="0" w:space="0" w:color="auto"/>
            <w:left w:val="none" w:sz="0" w:space="0" w:color="auto"/>
            <w:bottom w:val="none" w:sz="0" w:space="0" w:color="auto"/>
            <w:right w:val="none" w:sz="0" w:space="0" w:color="auto"/>
          </w:divBdr>
        </w:div>
        <w:div w:id="689182772">
          <w:marLeft w:val="0"/>
          <w:marRight w:val="0"/>
          <w:marTop w:val="0"/>
          <w:marBottom w:val="0"/>
          <w:divBdr>
            <w:top w:val="none" w:sz="0" w:space="0" w:color="auto"/>
            <w:left w:val="none" w:sz="0" w:space="0" w:color="auto"/>
            <w:bottom w:val="none" w:sz="0" w:space="0" w:color="auto"/>
            <w:right w:val="none" w:sz="0" w:space="0" w:color="auto"/>
          </w:divBdr>
        </w:div>
        <w:div w:id="57293450">
          <w:marLeft w:val="0"/>
          <w:marRight w:val="0"/>
          <w:marTop w:val="0"/>
          <w:marBottom w:val="0"/>
          <w:divBdr>
            <w:top w:val="none" w:sz="0" w:space="0" w:color="auto"/>
            <w:left w:val="none" w:sz="0" w:space="0" w:color="auto"/>
            <w:bottom w:val="none" w:sz="0" w:space="0" w:color="auto"/>
            <w:right w:val="none" w:sz="0" w:space="0" w:color="auto"/>
          </w:divBdr>
        </w:div>
        <w:div w:id="1699163018">
          <w:marLeft w:val="0"/>
          <w:marRight w:val="0"/>
          <w:marTop w:val="0"/>
          <w:marBottom w:val="0"/>
          <w:divBdr>
            <w:top w:val="none" w:sz="0" w:space="0" w:color="auto"/>
            <w:left w:val="none" w:sz="0" w:space="0" w:color="auto"/>
            <w:bottom w:val="none" w:sz="0" w:space="0" w:color="auto"/>
            <w:right w:val="none" w:sz="0" w:space="0" w:color="auto"/>
          </w:divBdr>
        </w:div>
        <w:div w:id="1638606835">
          <w:marLeft w:val="0"/>
          <w:marRight w:val="0"/>
          <w:marTop w:val="0"/>
          <w:marBottom w:val="0"/>
          <w:divBdr>
            <w:top w:val="none" w:sz="0" w:space="0" w:color="auto"/>
            <w:left w:val="none" w:sz="0" w:space="0" w:color="auto"/>
            <w:bottom w:val="none" w:sz="0" w:space="0" w:color="auto"/>
            <w:right w:val="none" w:sz="0" w:space="0" w:color="auto"/>
          </w:divBdr>
        </w:div>
        <w:div w:id="842010285">
          <w:marLeft w:val="0"/>
          <w:marRight w:val="0"/>
          <w:marTop w:val="0"/>
          <w:marBottom w:val="0"/>
          <w:divBdr>
            <w:top w:val="none" w:sz="0" w:space="0" w:color="auto"/>
            <w:left w:val="none" w:sz="0" w:space="0" w:color="auto"/>
            <w:bottom w:val="none" w:sz="0" w:space="0" w:color="auto"/>
            <w:right w:val="none" w:sz="0" w:space="0" w:color="auto"/>
          </w:divBdr>
        </w:div>
        <w:div w:id="67776951">
          <w:marLeft w:val="0"/>
          <w:marRight w:val="0"/>
          <w:marTop w:val="0"/>
          <w:marBottom w:val="0"/>
          <w:divBdr>
            <w:top w:val="none" w:sz="0" w:space="0" w:color="auto"/>
            <w:left w:val="none" w:sz="0" w:space="0" w:color="auto"/>
            <w:bottom w:val="none" w:sz="0" w:space="0" w:color="auto"/>
            <w:right w:val="none" w:sz="0" w:space="0" w:color="auto"/>
          </w:divBdr>
        </w:div>
        <w:div w:id="1579486686">
          <w:marLeft w:val="0"/>
          <w:marRight w:val="0"/>
          <w:marTop w:val="0"/>
          <w:marBottom w:val="0"/>
          <w:divBdr>
            <w:top w:val="none" w:sz="0" w:space="0" w:color="auto"/>
            <w:left w:val="none" w:sz="0" w:space="0" w:color="auto"/>
            <w:bottom w:val="none" w:sz="0" w:space="0" w:color="auto"/>
            <w:right w:val="none" w:sz="0" w:space="0" w:color="auto"/>
          </w:divBdr>
        </w:div>
        <w:div w:id="332071909">
          <w:marLeft w:val="0"/>
          <w:marRight w:val="0"/>
          <w:marTop w:val="0"/>
          <w:marBottom w:val="0"/>
          <w:divBdr>
            <w:top w:val="none" w:sz="0" w:space="0" w:color="auto"/>
            <w:left w:val="none" w:sz="0" w:space="0" w:color="auto"/>
            <w:bottom w:val="none" w:sz="0" w:space="0" w:color="auto"/>
            <w:right w:val="none" w:sz="0" w:space="0" w:color="auto"/>
          </w:divBdr>
        </w:div>
        <w:div w:id="1618677502">
          <w:marLeft w:val="0"/>
          <w:marRight w:val="0"/>
          <w:marTop w:val="0"/>
          <w:marBottom w:val="0"/>
          <w:divBdr>
            <w:top w:val="none" w:sz="0" w:space="0" w:color="auto"/>
            <w:left w:val="none" w:sz="0" w:space="0" w:color="auto"/>
            <w:bottom w:val="none" w:sz="0" w:space="0" w:color="auto"/>
            <w:right w:val="none" w:sz="0" w:space="0" w:color="auto"/>
          </w:divBdr>
        </w:div>
        <w:div w:id="1059860377">
          <w:marLeft w:val="0"/>
          <w:marRight w:val="0"/>
          <w:marTop w:val="0"/>
          <w:marBottom w:val="0"/>
          <w:divBdr>
            <w:top w:val="none" w:sz="0" w:space="0" w:color="auto"/>
            <w:left w:val="none" w:sz="0" w:space="0" w:color="auto"/>
            <w:bottom w:val="none" w:sz="0" w:space="0" w:color="auto"/>
            <w:right w:val="none" w:sz="0" w:space="0" w:color="auto"/>
          </w:divBdr>
        </w:div>
        <w:div w:id="213393843">
          <w:marLeft w:val="0"/>
          <w:marRight w:val="0"/>
          <w:marTop w:val="0"/>
          <w:marBottom w:val="0"/>
          <w:divBdr>
            <w:top w:val="none" w:sz="0" w:space="0" w:color="auto"/>
            <w:left w:val="none" w:sz="0" w:space="0" w:color="auto"/>
            <w:bottom w:val="none" w:sz="0" w:space="0" w:color="auto"/>
            <w:right w:val="none" w:sz="0" w:space="0" w:color="auto"/>
          </w:divBdr>
        </w:div>
        <w:div w:id="1324771283">
          <w:marLeft w:val="0"/>
          <w:marRight w:val="0"/>
          <w:marTop w:val="0"/>
          <w:marBottom w:val="0"/>
          <w:divBdr>
            <w:top w:val="none" w:sz="0" w:space="0" w:color="auto"/>
            <w:left w:val="none" w:sz="0" w:space="0" w:color="auto"/>
            <w:bottom w:val="none" w:sz="0" w:space="0" w:color="auto"/>
            <w:right w:val="none" w:sz="0" w:space="0" w:color="auto"/>
          </w:divBdr>
        </w:div>
        <w:div w:id="1136412744">
          <w:marLeft w:val="0"/>
          <w:marRight w:val="0"/>
          <w:marTop w:val="0"/>
          <w:marBottom w:val="0"/>
          <w:divBdr>
            <w:top w:val="none" w:sz="0" w:space="0" w:color="auto"/>
            <w:left w:val="none" w:sz="0" w:space="0" w:color="auto"/>
            <w:bottom w:val="none" w:sz="0" w:space="0" w:color="auto"/>
            <w:right w:val="none" w:sz="0" w:space="0" w:color="auto"/>
          </w:divBdr>
        </w:div>
        <w:div w:id="89282731">
          <w:marLeft w:val="0"/>
          <w:marRight w:val="0"/>
          <w:marTop w:val="0"/>
          <w:marBottom w:val="0"/>
          <w:divBdr>
            <w:top w:val="none" w:sz="0" w:space="0" w:color="auto"/>
            <w:left w:val="none" w:sz="0" w:space="0" w:color="auto"/>
            <w:bottom w:val="none" w:sz="0" w:space="0" w:color="auto"/>
            <w:right w:val="none" w:sz="0" w:space="0" w:color="auto"/>
          </w:divBdr>
        </w:div>
        <w:div w:id="829832181">
          <w:marLeft w:val="0"/>
          <w:marRight w:val="0"/>
          <w:marTop w:val="0"/>
          <w:marBottom w:val="0"/>
          <w:divBdr>
            <w:top w:val="none" w:sz="0" w:space="0" w:color="auto"/>
            <w:left w:val="none" w:sz="0" w:space="0" w:color="auto"/>
            <w:bottom w:val="none" w:sz="0" w:space="0" w:color="auto"/>
            <w:right w:val="none" w:sz="0" w:space="0" w:color="auto"/>
          </w:divBdr>
        </w:div>
        <w:div w:id="967471714">
          <w:marLeft w:val="0"/>
          <w:marRight w:val="0"/>
          <w:marTop w:val="0"/>
          <w:marBottom w:val="0"/>
          <w:divBdr>
            <w:top w:val="none" w:sz="0" w:space="0" w:color="auto"/>
            <w:left w:val="none" w:sz="0" w:space="0" w:color="auto"/>
            <w:bottom w:val="none" w:sz="0" w:space="0" w:color="auto"/>
            <w:right w:val="none" w:sz="0" w:space="0" w:color="auto"/>
          </w:divBdr>
        </w:div>
        <w:div w:id="880508742">
          <w:marLeft w:val="0"/>
          <w:marRight w:val="0"/>
          <w:marTop w:val="0"/>
          <w:marBottom w:val="0"/>
          <w:divBdr>
            <w:top w:val="none" w:sz="0" w:space="0" w:color="auto"/>
            <w:left w:val="none" w:sz="0" w:space="0" w:color="auto"/>
            <w:bottom w:val="none" w:sz="0" w:space="0" w:color="auto"/>
            <w:right w:val="none" w:sz="0" w:space="0" w:color="auto"/>
          </w:divBdr>
        </w:div>
        <w:div w:id="1089620736">
          <w:marLeft w:val="0"/>
          <w:marRight w:val="0"/>
          <w:marTop w:val="0"/>
          <w:marBottom w:val="0"/>
          <w:divBdr>
            <w:top w:val="none" w:sz="0" w:space="0" w:color="auto"/>
            <w:left w:val="none" w:sz="0" w:space="0" w:color="auto"/>
            <w:bottom w:val="none" w:sz="0" w:space="0" w:color="auto"/>
            <w:right w:val="none" w:sz="0" w:space="0" w:color="auto"/>
          </w:divBdr>
        </w:div>
        <w:div w:id="1568569390">
          <w:marLeft w:val="0"/>
          <w:marRight w:val="0"/>
          <w:marTop w:val="0"/>
          <w:marBottom w:val="0"/>
          <w:divBdr>
            <w:top w:val="none" w:sz="0" w:space="0" w:color="auto"/>
            <w:left w:val="none" w:sz="0" w:space="0" w:color="auto"/>
            <w:bottom w:val="none" w:sz="0" w:space="0" w:color="auto"/>
            <w:right w:val="none" w:sz="0" w:space="0" w:color="auto"/>
          </w:divBdr>
        </w:div>
        <w:div w:id="637032796">
          <w:marLeft w:val="0"/>
          <w:marRight w:val="0"/>
          <w:marTop w:val="0"/>
          <w:marBottom w:val="0"/>
          <w:divBdr>
            <w:top w:val="none" w:sz="0" w:space="0" w:color="auto"/>
            <w:left w:val="none" w:sz="0" w:space="0" w:color="auto"/>
            <w:bottom w:val="none" w:sz="0" w:space="0" w:color="auto"/>
            <w:right w:val="none" w:sz="0" w:space="0" w:color="auto"/>
          </w:divBdr>
        </w:div>
        <w:div w:id="937492753">
          <w:marLeft w:val="0"/>
          <w:marRight w:val="0"/>
          <w:marTop w:val="0"/>
          <w:marBottom w:val="0"/>
          <w:divBdr>
            <w:top w:val="none" w:sz="0" w:space="0" w:color="auto"/>
            <w:left w:val="none" w:sz="0" w:space="0" w:color="auto"/>
            <w:bottom w:val="none" w:sz="0" w:space="0" w:color="auto"/>
            <w:right w:val="none" w:sz="0" w:space="0" w:color="auto"/>
          </w:divBdr>
        </w:div>
        <w:div w:id="1984696424">
          <w:marLeft w:val="0"/>
          <w:marRight w:val="0"/>
          <w:marTop w:val="0"/>
          <w:marBottom w:val="0"/>
          <w:divBdr>
            <w:top w:val="none" w:sz="0" w:space="0" w:color="auto"/>
            <w:left w:val="none" w:sz="0" w:space="0" w:color="auto"/>
            <w:bottom w:val="none" w:sz="0" w:space="0" w:color="auto"/>
            <w:right w:val="none" w:sz="0" w:space="0" w:color="auto"/>
          </w:divBdr>
        </w:div>
        <w:div w:id="52001920">
          <w:marLeft w:val="0"/>
          <w:marRight w:val="0"/>
          <w:marTop w:val="0"/>
          <w:marBottom w:val="0"/>
          <w:divBdr>
            <w:top w:val="none" w:sz="0" w:space="0" w:color="auto"/>
            <w:left w:val="none" w:sz="0" w:space="0" w:color="auto"/>
            <w:bottom w:val="none" w:sz="0" w:space="0" w:color="auto"/>
            <w:right w:val="none" w:sz="0" w:space="0" w:color="auto"/>
          </w:divBdr>
        </w:div>
        <w:div w:id="1611666780">
          <w:marLeft w:val="0"/>
          <w:marRight w:val="0"/>
          <w:marTop w:val="0"/>
          <w:marBottom w:val="0"/>
          <w:divBdr>
            <w:top w:val="none" w:sz="0" w:space="0" w:color="auto"/>
            <w:left w:val="none" w:sz="0" w:space="0" w:color="auto"/>
            <w:bottom w:val="none" w:sz="0" w:space="0" w:color="auto"/>
            <w:right w:val="none" w:sz="0" w:space="0" w:color="auto"/>
          </w:divBdr>
        </w:div>
        <w:div w:id="2038120937">
          <w:marLeft w:val="0"/>
          <w:marRight w:val="0"/>
          <w:marTop w:val="0"/>
          <w:marBottom w:val="0"/>
          <w:divBdr>
            <w:top w:val="none" w:sz="0" w:space="0" w:color="auto"/>
            <w:left w:val="none" w:sz="0" w:space="0" w:color="auto"/>
            <w:bottom w:val="none" w:sz="0" w:space="0" w:color="auto"/>
            <w:right w:val="none" w:sz="0" w:space="0" w:color="auto"/>
          </w:divBdr>
        </w:div>
        <w:div w:id="756562674">
          <w:marLeft w:val="0"/>
          <w:marRight w:val="0"/>
          <w:marTop w:val="0"/>
          <w:marBottom w:val="0"/>
          <w:divBdr>
            <w:top w:val="none" w:sz="0" w:space="0" w:color="auto"/>
            <w:left w:val="none" w:sz="0" w:space="0" w:color="auto"/>
            <w:bottom w:val="none" w:sz="0" w:space="0" w:color="auto"/>
            <w:right w:val="none" w:sz="0" w:space="0" w:color="auto"/>
          </w:divBdr>
        </w:div>
        <w:div w:id="28193136">
          <w:marLeft w:val="0"/>
          <w:marRight w:val="0"/>
          <w:marTop w:val="0"/>
          <w:marBottom w:val="0"/>
          <w:divBdr>
            <w:top w:val="none" w:sz="0" w:space="0" w:color="auto"/>
            <w:left w:val="none" w:sz="0" w:space="0" w:color="auto"/>
            <w:bottom w:val="none" w:sz="0" w:space="0" w:color="auto"/>
            <w:right w:val="none" w:sz="0" w:space="0" w:color="auto"/>
          </w:divBdr>
        </w:div>
        <w:div w:id="567542701">
          <w:marLeft w:val="0"/>
          <w:marRight w:val="0"/>
          <w:marTop w:val="0"/>
          <w:marBottom w:val="0"/>
          <w:divBdr>
            <w:top w:val="none" w:sz="0" w:space="0" w:color="auto"/>
            <w:left w:val="none" w:sz="0" w:space="0" w:color="auto"/>
            <w:bottom w:val="none" w:sz="0" w:space="0" w:color="auto"/>
            <w:right w:val="none" w:sz="0" w:space="0" w:color="auto"/>
          </w:divBdr>
        </w:div>
        <w:div w:id="2080057419">
          <w:marLeft w:val="0"/>
          <w:marRight w:val="0"/>
          <w:marTop w:val="0"/>
          <w:marBottom w:val="0"/>
          <w:divBdr>
            <w:top w:val="none" w:sz="0" w:space="0" w:color="auto"/>
            <w:left w:val="none" w:sz="0" w:space="0" w:color="auto"/>
            <w:bottom w:val="none" w:sz="0" w:space="0" w:color="auto"/>
            <w:right w:val="none" w:sz="0" w:space="0" w:color="auto"/>
          </w:divBdr>
        </w:div>
        <w:div w:id="1765422236">
          <w:marLeft w:val="0"/>
          <w:marRight w:val="0"/>
          <w:marTop w:val="0"/>
          <w:marBottom w:val="0"/>
          <w:divBdr>
            <w:top w:val="none" w:sz="0" w:space="0" w:color="auto"/>
            <w:left w:val="none" w:sz="0" w:space="0" w:color="auto"/>
            <w:bottom w:val="none" w:sz="0" w:space="0" w:color="auto"/>
            <w:right w:val="none" w:sz="0" w:space="0" w:color="auto"/>
          </w:divBdr>
        </w:div>
        <w:div w:id="1252809984">
          <w:marLeft w:val="0"/>
          <w:marRight w:val="0"/>
          <w:marTop w:val="0"/>
          <w:marBottom w:val="0"/>
          <w:divBdr>
            <w:top w:val="none" w:sz="0" w:space="0" w:color="auto"/>
            <w:left w:val="none" w:sz="0" w:space="0" w:color="auto"/>
            <w:bottom w:val="none" w:sz="0" w:space="0" w:color="auto"/>
            <w:right w:val="none" w:sz="0" w:space="0" w:color="auto"/>
          </w:divBdr>
        </w:div>
        <w:div w:id="1746686045">
          <w:marLeft w:val="0"/>
          <w:marRight w:val="0"/>
          <w:marTop w:val="0"/>
          <w:marBottom w:val="0"/>
          <w:divBdr>
            <w:top w:val="none" w:sz="0" w:space="0" w:color="auto"/>
            <w:left w:val="none" w:sz="0" w:space="0" w:color="auto"/>
            <w:bottom w:val="none" w:sz="0" w:space="0" w:color="auto"/>
            <w:right w:val="none" w:sz="0" w:space="0" w:color="auto"/>
          </w:divBdr>
        </w:div>
        <w:div w:id="220480527">
          <w:marLeft w:val="0"/>
          <w:marRight w:val="0"/>
          <w:marTop w:val="0"/>
          <w:marBottom w:val="0"/>
          <w:divBdr>
            <w:top w:val="none" w:sz="0" w:space="0" w:color="auto"/>
            <w:left w:val="none" w:sz="0" w:space="0" w:color="auto"/>
            <w:bottom w:val="none" w:sz="0" w:space="0" w:color="auto"/>
            <w:right w:val="none" w:sz="0" w:space="0" w:color="auto"/>
          </w:divBdr>
        </w:div>
        <w:div w:id="378894407">
          <w:marLeft w:val="0"/>
          <w:marRight w:val="0"/>
          <w:marTop w:val="0"/>
          <w:marBottom w:val="0"/>
          <w:divBdr>
            <w:top w:val="none" w:sz="0" w:space="0" w:color="auto"/>
            <w:left w:val="none" w:sz="0" w:space="0" w:color="auto"/>
            <w:bottom w:val="none" w:sz="0" w:space="0" w:color="auto"/>
            <w:right w:val="none" w:sz="0" w:space="0" w:color="auto"/>
          </w:divBdr>
        </w:div>
        <w:div w:id="1797525484">
          <w:marLeft w:val="0"/>
          <w:marRight w:val="0"/>
          <w:marTop w:val="0"/>
          <w:marBottom w:val="0"/>
          <w:divBdr>
            <w:top w:val="none" w:sz="0" w:space="0" w:color="auto"/>
            <w:left w:val="none" w:sz="0" w:space="0" w:color="auto"/>
            <w:bottom w:val="none" w:sz="0" w:space="0" w:color="auto"/>
            <w:right w:val="none" w:sz="0" w:space="0" w:color="auto"/>
          </w:divBdr>
        </w:div>
        <w:div w:id="1419788146">
          <w:marLeft w:val="0"/>
          <w:marRight w:val="0"/>
          <w:marTop w:val="0"/>
          <w:marBottom w:val="0"/>
          <w:divBdr>
            <w:top w:val="none" w:sz="0" w:space="0" w:color="auto"/>
            <w:left w:val="none" w:sz="0" w:space="0" w:color="auto"/>
            <w:bottom w:val="none" w:sz="0" w:space="0" w:color="auto"/>
            <w:right w:val="none" w:sz="0" w:space="0" w:color="auto"/>
          </w:divBdr>
        </w:div>
        <w:div w:id="48116469">
          <w:marLeft w:val="0"/>
          <w:marRight w:val="0"/>
          <w:marTop w:val="0"/>
          <w:marBottom w:val="0"/>
          <w:divBdr>
            <w:top w:val="none" w:sz="0" w:space="0" w:color="auto"/>
            <w:left w:val="none" w:sz="0" w:space="0" w:color="auto"/>
            <w:bottom w:val="none" w:sz="0" w:space="0" w:color="auto"/>
            <w:right w:val="none" w:sz="0" w:space="0" w:color="auto"/>
          </w:divBdr>
        </w:div>
        <w:div w:id="82189278">
          <w:marLeft w:val="0"/>
          <w:marRight w:val="0"/>
          <w:marTop w:val="0"/>
          <w:marBottom w:val="0"/>
          <w:divBdr>
            <w:top w:val="none" w:sz="0" w:space="0" w:color="auto"/>
            <w:left w:val="none" w:sz="0" w:space="0" w:color="auto"/>
            <w:bottom w:val="none" w:sz="0" w:space="0" w:color="auto"/>
            <w:right w:val="none" w:sz="0" w:space="0" w:color="auto"/>
          </w:divBdr>
        </w:div>
        <w:div w:id="682249821">
          <w:marLeft w:val="0"/>
          <w:marRight w:val="0"/>
          <w:marTop w:val="0"/>
          <w:marBottom w:val="0"/>
          <w:divBdr>
            <w:top w:val="none" w:sz="0" w:space="0" w:color="auto"/>
            <w:left w:val="none" w:sz="0" w:space="0" w:color="auto"/>
            <w:bottom w:val="none" w:sz="0" w:space="0" w:color="auto"/>
            <w:right w:val="none" w:sz="0" w:space="0" w:color="auto"/>
          </w:divBdr>
        </w:div>
        <w:div w:id="1412966396">
          <w:marLeft w:val="0"/>
          <w:marRight w:val="0"/>
          <w:marTop w:val="0"/>
          <w:marBottom w:val="0"/>
          <w:divBdr>
            <w:top w:val="none" w:sz="0" w:space="0" w:color="auto"/>
            <w:left w:val="none" w:sz="0" w:space="0" w:color="auto"/>
            <w:bottom w:val="none" w:sz="0" w:space="0" w:color="auto"/>
            <w:right w:val="none" w:sz="0" w:space="0" w:color="auto"/>
          </w:divBdr>
        </w:div>
        <w:div w:id="358311484">
          <w:marLeft w:val="0"/>
          <w:marRight w:val="0"/>
          <w:marTop w:val="0"/>
          <w:marBottom w:val="0"/>
          <w:divBdr>
            <w:top w:val="none" w:sz="0" w:space="0" w:color="auto"/>
            <w:left w:val="none" w:sz="0" w:space="0" w:color="auto"/>
            <w:bottom w:val="none" w:sz="0" w:space="0" w:color="auto"/>
            <w:right w:val="none" w:sz="0" w:space="0" w:color="auto"/>
          </w:divBdr>
        </w:div>
        <w:div w:id="761999558">
          <w:marLeft w:val="0"/>
          <w:marRight w:val="0"/>
          <w:marTop w:val="0"/>
          <w:marBottom w:val="0"/>
          <w:divBdr>
            <w:top w:val="none" w:sz="0" w:space="0" w:color="auto"/>
            <w:left w:val="none" w:sz="0" w:space="0" w:color="auto"/>
            <w:bottom w:val="none" w:sz="0" w:space="0" w:color="auto"/>
            <w:right w:val="none" w:sz="0" w:space="0" w:color="auto"/>
          </w:divBdr>
        </w:div>
        <w:div w:id="942299411">
          <w:marLeft w:val="0"/>
          <w:marRight w:val="0"/>
          <w:marTop w:val="0"/>
          <w:marBottom w:val="0"/>
          <w:divBdr>
            <w:top w:val="none" w:sz="0" w:space="0" w:color="auto"/>
            <w:left w:val="none" w:sz="0" w:space="0" w:color="auto"/>
            <w:bottom w:val="none" w:sz="0" w:space="0" w:color="auto"/>
            <w:right w:val="none" w:sz="0" w:space="0" w:color="auto"/>
          </w:divBdr>
        </w:div>
        <w:div w:id="1260673968">
          <w:marLeft w:val="0"/>
          <w:marRight w:val="0"/>
          <w:marTop w:val="0"/>
          <w:marBottom w:val="0"/>
          <w:divBdr>
            <w:top w:val="none" w:sz="0" w:space="0" w:color="auto"/>
            <w:left w:val="none" w:sz="0" w:space="0" w:color="auto"/>
            <w:bottom w:val="none" w:sz="0" w:space="0" w:color="auto"/>
            <w:right w:val="none" w:sz="0" w:space="0" w:color="auto"/>
          </w:divBdr>
        </w:div>
        <w:div w:id="261233067">
          <w:marLeft w:val="0"/>
          <w:marRight w:val="0"/>
          <w:marTop w:val="0"/>
          <w:marBottom w:val="0"/>
          <w:divBdr>
            <w:top w:val="none" w:sz="0" w:space="0" w:color="auto"/>
            <w:left w:val="none" w:sz="0" w:space="0" w:color="auto"/>
            <w:bottom w:val="none" w:sz="0" w:space="0" w:color="auto"/>
            <w:right w:val="none" w:sz="0" w:space="0" w:color="auto"/>
          </w:divBdr>
        </w:div>
        <w:div w:id="942802931">
          <w:marLeft w:val="0"/>
          <w:marRight w:val="0"/>
          <w:marTop w:val="0"/>
          <w:marBottom w:val="0"/>
          <w:divBdr>
            <w:top w:val="none" w:sz="0" w:space="0" w:color="auto"/>
            <w:left w:val="none" w:sz="0" w:space="0" w:color="auto"/>
            <w:bottom w:val="none" w:sz="0" w:space="0" w:color="auto"/>
            <w:right w:val="none" w:sz="0" w:space="0" w:color="auto"/>
          </w:divBdr>
        </w:div>
        <w:div w:id="32124471">
          <w:marLeft w:val="0"/>
          <w:marRight w:val="0"/>
          <w:marTop w:val="0"/>
          <w:marBottom w:val="0"/>
          <w:divBdr>
            <w:top w:val="none" w:sz="0" w:space="0" w:color="auto"/>
            <w:left w:val="none" w:sz="0" w:space="0" w:color="auto"/>
            <w:bottom w:val="none" w:sz="0" w:space="0" w:color="auto"/>
            <w:right w:val="none" w:sz="0" w:space="0" w:color="auto"/>
          </w:divBdr>
        </w:div>
        <w:div w:id="2070689229">
          <w:marLeft w:val="0"/>
          <w:marRight w:val="0"/>
          <w:marTop w:val="0"/>
          <w:marBottom w:val="0"/>
          <w:divBdr>
            <w:top w:val="none" w:sz="0" w:space="0" w:color="auto"/>
            <w:left w:val="none" w:sz="0" w:space="0" w:color="auto"/>
            <w:bottom w:val="none" w:sz="0" w:space="0" w:color="auto"/>
            <w:right w:val="none" w:sz="0" w:space="0" w:color="auto"/>
          </w:divBdr>
        </w:div>
        <w:div w:id="248780708">
          <w:marLeft w:val="0"/>
          <w:marRight w:val="0"/>
          <w:marTop w:val="0"/>
          <w:marBottom w:val="0"/>
          <w:divBdr>
            <w:top w:val="none" w:sz="0" w:space="0" w:color="auto"/>
            <w:left w:val="none" w:sz="0" w:space="0" w:color="auto"/>
            <w:bottom w:val="none" w:sz="0" w:space="0" w:color="auto"/>
            <w:right w:val="none" w:sz="0" w:space="0" w:color="auto"/>
          </w:divBdr>
        </w:div>
        <w:div w:id="2053839870">
          <w:marLeft w:val="0"/>
          <w:marRight w:val="0"/>
          <w:marTop w:val="0"/>
          <w:marBottom w:val="0"/>
          <w:divBdr>
            <w:top w:val="none" w:sz="0" w:space="0" w:color="auto"/>
            <w:left w:val="none" w:sz="0" w:space="0" w:color="auto"/>
            <w:bottom w:val="none" w:sz="0" w:space="0" w:color="auto"/>
            <w:right w:val="none" w:sz="0" w:space="0" w:color="auto"/>
          </w:divBdr>
        </w:div>
        <w:div w:id="1843617475">
          <w:marLeft w:val="0"/>
          <w:marRight w:val="0"/>
          <w:marTop w:val="0"/>
          <w:marBottom w:val="0"/>
          <w:divBdr>
            <w:top w:val="none" w:sz="0" w:space="0" w:color="auto"/>
            <w:left w:val="none" w:sz="0" w:space="0" w:color="auto"/>
            <w:bottom w:val="none" w:sz="0" w:space="0" w:color="auto"/>
            <w:right w:val="none" w:sz="0" w:space="0" w:color="auto"/>
          </w:divBdr>
        </w:div>
        <w:div w:id="2019965163">
          <w:marLeft w:val="0"/>
          <w:marRight w:val="0"/>
          <w:marTop w:val="0"/>
          <w:marBottom w:val="0"/>
          <w:divBdr>
            <w:top w:val="none" w:sz="0" w:space="0" w:color="auto"/>
            <w:left w:val="none" w:sz="0" w:space="0" w:color="auto"/>
            <w:bottom w:val="none" w:sz="0" w:space="0" w:color="auto"/>
            <w:right w:val="none" w:sz="0" w:space="0" w:color="auto"/>
          </w:divBdr>
        </w:div>
        <w:div w:id="844974929">
          <w:marLeft w:val="0"/>
          <w:marRight w:val="0"/>
          <w:marTop w:val="0"/>
          <w:marBottom w:val="0"/>
          <w:divBdr>
            <w:top w:val="none" w:sz="0" w:space="0" w:color="auto"/>
            <w:left w:val="none" w:sz="0" w:space="0" w:color="auto"/>
            <w:bottom w:val="none" w:sz="0" w:space="0" w:color="auto"/>
            <w:right w:val="none" w:sz="0" w:space="0" w:color="auto"/>
          </w:divBdr>
        </w:div>
        <w:div w:id="56127550">
          <w:marLeft w:val="0"/>
          <w:marRight w:val="0"/>
          <w:marTop w:val="0"/>
          <w:marBottom w:val="0"/>
          <w:divBdr>
            <w:top w:val="none" w:sz="0" w:space="0" w:color="auto"/>
            <w:left w:val="none" w:sz="0" w:space="0" w:color="auto"/>
            <w:bottom w:val="none" w:sz="0" w:space="0" w:color="auto"/>
            <w:right w:val="none" w:sz="0" w:space="0" w:color="auto"/>
          </w:divBdr>
        </w:div>
        <w:div w:id="862593820">
          <w:marLeft w:val="0"/>
          <w:marRight w:val="0"/>
          <w:marTop w:val="0"/>
          <w:marBottom w:val="0"/>
          <w:divBdr>
            <w:top w:val="none" w:sz="0" w:space="0" w:color="auto"/>
            <w:left w:val="none" w:sz="0" w:space="0" w:color="auto"/>
            <w:bottom w:val="none" w:sz="0" w:space="0" w:color="auto"/>
            <w:right w:val="none" w:sz="0" w:space="0" w:color="auto"/>
          </w:divBdr>
        </w:div>
        <w:div w:id="1806698573">
          <w:marLeft w:val="0"/>
          <w:marRight w:val="0"/>
          <w:marTop w:val="0"/>
          <w:marBottom w:val="0"/>
          <w:divBdr>
            <w:top w:val="none" w:sz="0" w:space="0" w:color="auto"/>
            <w:left w:val="none" w:sz="0" w:space="0" w:color="auto"/>
            <w:bottom w:val="none" w:sz="0" w:space="0" w:color="auto"/>
            <w:right w:val="none" w:sz="0" w:space="0" w:color="auto"/>
          </w:divBdr>
        </w:div>
        <w:div w:id="2128347946">
          <w:marLeft w:val="0"/>
          <w:marRight w:val="0"/>
          <w:marTop w:val="0"/>
          <w:marBottom w:val="0"/>
          <w:divBdr>
            <w:top w:val="none" w:sz="0" w:space="0" w:color="auto"/>
            <w:left w:val="none" w:sz="0" w:space="0" w:color="auto"/>
            <w:bottom w:val="none" w:sz="0" w:space="0" w:color="auto"/>
            <w:right w:val="none" w:sz="0" w:space="0" w:color="auto"/>
          </w:divBdr>
        </w:div>
        <w:div w:id="2053115649">
          <w:marLeft w:val="0"/>
          <w:marRight w:val="0"/>
          <w:marTop w:val="0"/>
          <w:marBottom w:val="0"/>
          <w:divBdr>
            <w:top w:val="none" w:sz="0" w:space="0" w:color="auto"/>
            <w:left w:val="none" w:sz="0" w:space="0" w:color="auto"/>
            <w:bottom w:val="none" w:sz="0" w:space="0" w:color="auto"/>
            <w:right w:val="none" w:sz="0" w:space="0" w:color="auto"/>
          </w:divBdr>
        </w:div>
        <w:div w:id="555967271">
          <w:marLeft w:val="0"/>
          <w:marRight w:val="0"/>
          <w:marTop w:val="0"/>
          <w:marBottom w:val="0"/>
          <w:divBdr>
            <w:top w:val="none" w:sz="0" w:space="0" w:color="auto"/>
            <w:left w:val="none" w:sz="0" w:space="0" w:color="auto"/>
            <w:bottom w:val="none" w:sz="0" w:space="0" w:color="auto"/>
            <w:right w:val="none" w:sz="0" w:space="0" w:color="auto"/>
          </w:divBdr>
        </w:div>
        <w:div w:id="15816859">
          <w:marLeft w:val="0"/>
          <w:marRight w:val="0"/>
          <w:marTop w:val="0"/>
          <w:marBottom w:val="0"/>
          <w:divBdr>
            <w:top w:val="none" w:sz="0" w:space="0" w:color="auto"/>
            <w:left w:val="none" w:sz="0" w:space="0" w:color="auto"/>
            <w:bottom w:val="none" w:sz="0" w:space="0" w:color="auto"/>
            <w:right w:val="none" w:sz="0" w:space="0" w:color="auto"/>
          </w:divBdr>
        </w:div>
        <w:div w:id="1657034054">
          <w:marLeft w:val="0"/>
          <w:marRight w:val="0"/>
          <w:marTop w:val="0"/>
          <w:marBottom w:val="0"/>
          <w:divBdr>
            <w:top w:val="none" w:sz="0" w:space="0" w:color="auto"/>
            <w:left w:val="none" w:sz="0" w:space="0" w:color="auto"/>
            <w:bottom w:val="none" w:sz="0" w:space="0" w:color="auto"/>
            <w:right w:val="none" w:sz="0" w:space="0" w:color="auto"/>
          </w:divBdr>
        </w:div>
        <w:div w:id="230427215">
          <w:marLeft w:val="0"/>
          <w:marRight w:val="0"/>
          <w:marTop w:val="0"/>
          <w:marBottom w:val="0"/>
          <w:divBdr>
            <w:top w:val="none" w:sz="0" w:space="0" w:color="auto"/>
            <w:left w:val="none" w:sz="0" w:space="0" w:color="auto"/>
            <w:bottom w:val="none" w:sz="0" w:space="0" w:color="auto"/>
            <w:right w:val="none" w:sz="0" w:space="0" w:color="auto"/>
          </w:divBdr>
        </w:div>
        <w:div w:id="1998723346">
          <w:marLeft w:val="0"/>
          <w:marRight w:val="0"/>
          <w:marTop w:val="0"/>
          <w:marBottom w:val="0"/>
          <w:divBdr>
            <w:top w:val="none" w:sz="0" w:space="0" w:color="auto"/>
            <w:left w:val="none" w:sz="0" w:space="0" w:color="auto"/>
            <w:bottom w:val="none" w:sz="0" w:space="0" w:color="auto"/>
            <w:right w:val="none" w:sz="0" w:space="0" w:color="auto"/>
          </w:divBdr>
        </w:div>
        <w:div w:id="1306467270">
          <w:marLeft w:val="0"/>
          <w:marRight w:val="0"/>
          <w:marTop w:val="0"/>
          <w:marBottom w:val="0"/>
          <w:divBdr>
            <w:top w:val="none" w:sz="0" w:space="0" w:color="auto"/>
            <w:left w:val="none" w:sz="0" w:space="0" w:color="auto"/>
            <w:bottom w:val="none" w:sz="0" w:space="0" w:color="auto"/>
            <w:right w:val="none" w:sz="0" w:space="0" w:color="auto"/>
          </w:divBdr>
        </w:div>
        <w:div w:id="208106500">
          <w:marLeft w:val="0"/>
          <w:marRight w:val="0"/>
          <w:marTop w:val="0"/>
          <w:marBottom w:val="0"/>
          <w:divBdr>
            <w:top w:val="none" w:sz="0" w:space="0" w:color="auto"/>
            <w:left w:val="none" w:sz="0" w:space="0" w:color="auto"/>
            <w:bottom w:val="none" w:sz="0" w:space="0" w:color="auto"/>
            <w:right w:val="none" w:sz="0" w:space="0" w:color="auto"/>
          </w:divBdr>
        </w:div>
        <w:div w:id="1899130404">
          <w:marLeft w:val="0"/>
          <w:marRight w:val="0"/>
          <w:marTop w:val="0"/>
          <w:marBottom w:val="0"/>
          <w:divBdr>
            <w:top w:val="none" w:sz="0" w:space="0" w:color="auto"/>
            <w:left w:val="none" w:sz="0" w:space="0" w:color="auto"/>
            <w:bottom w:val="none" w:sz="0" w:space="0" w:color="auto"/>
            <w:right w:val="none" w:sz="0" w:space="0" w:color="auto"/>
          </w:divBdr>
        </w:div>
        <w:div w:id="227422469">
          <w:marLeft w:val="0"/>
          <w:marRight w:val="0"/>
          <w:marTop w:val="0"/>
          <w:marBottom w:val="0"/>
          <w:divBdr>
            <w:top w:val="none" w:sz="0" w:space="0" w:color="auto"/>
            <w:left w:val="none" w:sz="0" w:space="0" w:color="auto"/>
            <w:bottom w:val="none" w:sz="0" w:space="0" w:color="auto"/>
            <w:right w:val="none" w:sz="0" w:space="0" w:color="auto"/>
          </w:divBdr>
        </w:div>
        <w:div w:id="737827400">
          <w:marLeft w:val="0"/>
          <w:marRight w:val="0"/>
          <w:marTop w:val="0"/>
          <w:marBottom w:val="0"/>
          <w:divBdr>
            <w:top w:val="none" w:sz="0" w:space="0" w:color="auto"/>
            <w:left w:val="none" w:sz="0" w:space="0" w:color="auto"/>
            <w:bottom w:val="none" w:sz="0" w:space="0" w:color="auto"/>
            <w:right w:val="none" w:sz="0" w:space="0" w:color="auto"/>
          </w:divBdr>
        </w:div>
        <w:div w:id="632373197">
          <w:marLeft w:val="0"/>
          <w:marRight w:val="0"/>
          <w:marTop w:val="0"/>
          <w:marBottom w:val="0"/>
          <w:divBdr>
            <w:top w:val="none" w:sz="0" w:space="0" w:color="auto"/>
            <w:left w:val="none" w:sz="0" w:space="0" w:color="auto"/>
            <w:bottom w:val="none" w:sz="0" w:space="0" w:color="auto"/>
            <w:right w:val="none" w:sz="0" w:space="0" w:color="auto"/>
          </w:divBdr>
        </w:div>
        <w:div w:id="723287134">
          <w:marLeft w:val="0"/>
          <w:marRight w:val="0"/>
          <w:marTop w:val="0"/>
          <w:marBottom w:val="0"/>
          <w:divBdr>
            <w:top w:val="none" w:sz="0" w:space="0" w:color="auto"/>
            <w:left w:val="none" w:sz="0" w:space="0" w:color="auto"/>
            <w:bottom w:val="none" w:sz="0" w:space="0" w:color="auto"/>
            <w:right w:val="none" w:sz="0" w:space="0" w:color="auto"/>
          </w:divBdr>
        </w:div>
        <w:div w:id="1103840531">
          <w:marLeft w:val="0"/>
          <w:marRight w:val="0"/>
          <w:marTop w:val="0"/>
          <w:marBottom w:val="0"/>
          <w:divBdr>
            <w:top w:val="none" w:sz="0" w:space="0" w:color="auto"/>
            <w:left w:val="none" w:sz="0" w:space="0" w:color="auto"/>
            <w:bottom w:val="none" w:sz="0" w:space="0" w:color="auto"/>
            <w:right w:val="none" w:sz="0" w:space="0" w:color="auto"/>
          </w:divBdr>
        </w:div>
        <w:div w:id="64302369">
          <w:marLeft w:val="0"/>
          <w:marRight w:val="0"/>
          <w:marTop w:val="0"/>
          <w:marBottom w:val="0"/>
          <w:divBdr>
            <w:top w:val="none" w:sz="0" w:space="0" w:color="auto"/>
            <w:left w:val="none" w:sz="0" w:space="0" w:color="auto"/>
            <w:bottom w:val="none" w:sz="0" w:space="0" w:color="auto"/>
            <w:right w:val="none" w:sz="0" w:space="0" w:color="auto"/>
          </w:divBdr>
        </w:div>
        <w:div w:id="1320768988">
          <w:marLeft w:val="0"/>
          <w:marRight w:val="0"/>
          <w:marTop w:val="0"/>
          <w:marBottom w:val="0"/>
          <w:divBdr>
            <w:top w:val="none" w:sz="0" w:space="0" w:color="auto"/>
            <w:left w:val="none" w:sz="0" w:space="0" w:color="auto"/>
            <w:bottom w:val="none" w:sz="0" w:space="0" w:color="auto"/>
            <w:right w:val="none" w:sz="0" w:space="0" w:color="auto"/>
          </w:divBdr>
        </w:div>
        <w:div w:id="1940672883">
          <w:marLeft w:val="0"/>
          <w:marRight w:val="0"/>
          <w:marTop w:val="0"/>
          <w:marBottom w:val="0"/>
          <w:divBdr>
            <w:top w:val="none" w:sz="0" w:space="0" w:color="auto"/>
            <w:left w:val="none" w:sz="0" w:space="0" w:color="auto"/>
            <w:bottom w:val="none" w:sz="0" w:space="0" w:color="auto"/>
            <w:right w:val="none" w:sz="0" w:space="0" w:color="auto"/>
          </w:divBdr>
        </w:div>
        <w:div w:id="1330207798">
          <w:marLeft w:val="0"/>
          <w:marRight w:val="0"/>
          <w:marTop w:val="0"/>
          <w:marBottom w:val="0"/>
          <w:divBdr>
            <w:top w:val="none" w:sz="0" w:space="0" w:color="auto"/>
            <w:left w:val="none" w:sz="0" w:space="0" w:color="auto"/>
            <w:bottom w:val="none" w:sz="0" w:space="0" w:color="auto"/>
            <w:right w:val="none" w:sz="0" w:space="0" w:color="auto"/>
          </w:divBdr>
        </w:div>
        <w:div w:id="633632609">
          <w:marLeft w:val="0"/>
          <w:marRight w:val="0"/>
          <w:marTop w:val="0"/>
          <w:marBottom w:val="0"/>
          <w:divBdr>
            <w:top w:val="none" w:sz="0" w:space="0" w:color="auto"/>
            <w:left w:val="none" w:sz="0" w:space="0" w:color="auto"/>
            <w:bottom w:val="none" w:sz="0" w:space="0" w:color="auto"/>
            <w:right w:val="none" w:sz="0" w:space="0" w:color="auto"/>
          </w:divBdr>
        </w:div>
        <w:div w:id="1556114915">
          <w:marLeft w:val="0"/>
          <w:marRight w:val="0"/>
          <w:marTop w:val="0"/>
          <w:marBottom w:val="0"/>
          <w:divBdr>
            <w:top w:val="none" w:sz="0" w:space="0" w:color="auto"/>
            <w:left w:val="none" w:sz="0" w:space="0" w:color="auto"/>
            <w:bottom w:val="none" w:sz="0" w:space="0" w:color="auto"/>
            <w:right w:val="none" w:sz="0" w:space="0" w:color="auto"/>
          </w:divBdr>
        </w:div>
        <w:div w:id="1444616369">
          <w:marLeft w:val="0"/>
          <w:marRight w:val="0"/>
          <w:marTop w:val="0"/>
          <w:marBottom w:val="0"/>
          <w:divBdr>
            <w:top w:val="none" w:sz="0" w:space="0" w:color="auto"/>
            <w:left w:val="none" w:sz="0" w:space="0" w:color="auto"/>
            <w:bottom w:val="none" w:sz="0" w:space="0" w:color="auto"/>
            <w:right w:val="none" w:sz="0" w:space="0" w:color="auto"/>
          </w:divBdr>
        </w:div>
        <w:div w:id="1332636096">
          <w:marLeft w:val="0"/>
          <w:marRight w:val="0"/>
          <w:marTop w:val="0"/>
          <w:marBottom w:val="0"/>
          <w:divBdr>
            <w:top w:val="none" w:sz="0" w:space="0" w:color="auto"/>
            <w:left w:val="none" w:sz="0" w:space="0" w:color="auto"/>
            <w:bottom w:val="none" w:sz="0" w:space="0" w:color="auto"/>
            <w:right w:val="none" w:sz="0" w:space="0" w:color="auto"/>
          </w:divBdr>
        </w:div>
        <w:div w:id="2140494908">
          <w:marLeft w:val="0"/>
          <w:marRight w:val="0"/>
          <w:marTop w:val="0"/>
          <w:marBottom w:val="0"/>
          <w:divBdr>
            <w:top w:val="none" w:sz="0" w:space="0" w:color="auto"/>
            <w:left w:val="none" w:sz="0" w:space="0" w:color="auto"/>
            <w:bottom w:val="none" w:sz="0" w:space="0" w:color="auto"/>
            <w:right w:val="none" w:sz="0" w:space="0" w:color="auto"/>
          </w:divBdr>
        </w:div>
        <w:div w:id="364871488">
          <w:marLeft w:val="0"/>
          <w:marRight w:val="0"/>
          <w:marTop w:val="0"/>
          <w:marBottom w:val="0"/>
          <w:divBdr>
            <w:top w:val="none" w:sz="0" w:space="0" w:color="auto"/>
            <w:left w:val="none" w:sz="0" w:space="0" w:color="auto"/>
            <w:bottom w:val="none" w:sz="0" w:space="0" w:color="auto"/>
            <w:right w:val="none" w:sz="0" w:space="0" w:color="auto"/>
          </w:divBdr>
        </w:div>
        <w:div w:id="1653607217">
          <w:marLeft w:val="0"/>
          <w:marRight w:val="0"/>
          <w:marTop w:val="0"/>
          <w:marBottom w:val="0"/>
          <w:divBdr>
            <w:top w:val="none" w:sz="0" w:space="0" w:color="auto"/>
            <w:left w:val="none" w:sz="0" w:space="0" w:color="auto"/>
            <w:bottom w:val="none" w:sz="0" w:space="0" w:color="auto"/>
            <w:right w:val="none" w:sz="0" w:space="0" w:color="auto"/>
          </w:divBdr>
        </w:div>
        <w:div w:id="1683162496">
          <w:marLeft w:val="0"/>
          <w:marRight w:val="0"/>
          <w:marTop w:val="0"/>
          <w:marBottom w:val="0"/>
          <w:divBdr>
            <w:top w:val="none" w:sz="0" w:space="0" w:color="auto"/>
            <w:left w:val="none" w:sz="0" w:space="0" w:color="auto"/>
            <w:bottom w:val="none" w:sz="0" w:space="0" w:color="auto"/>
            <w:right w:val="none" w:sz="0" w:space="0" w:color="auto"/>
          </w:divBdr>
        </w:div>
      </w:divsChild>
    </w:div>
    <w:div w:id="377094400">
      <w:bodyDiv w:val="1"/>
      <w:marLeft w:val="0"/>
      <w:marRight w:val="0"/>
      <w:marTop w:val="0"/>
      <w:marBottom w:val="0"/>
      <w:divBdr>
        <w:top w:val="none" w:sz="0" w:space="0" w:color="auto"/>
        <w:left w:val="none" w:sz="0" w:space="0" w:color="auto"/>
        <w:bottom w:val="none" w:sz="0" w:space="0" w:color="auto"/>
        <w:right w:val="none" w:sz="0" w:space="0" w:color="auto"/>
      </w:divBdr>
    </w:div>
    <w:div w:id="378172004">
      <w:bodyDiv w:val="1"/>
      <w:marLeft w:val="0"/>
      <w:marRight w:val="0"/>
      <w:marTop w:val="0"/>
      <w:marBottom w:val="0"/>
      <w:divBdr>
        <w:top w:val="none" w:sz="0" w:space="0" w:color="auto"/>
        <w:left w:val="none" w:sz="0" w:space="0" w:color="auto"/>
        <w:bottom w:val="none" w:sz="0" w:space="0" w:color="auto"/>
        <w:right w:val="none" w:sz="0" w:space="0" w:color="auto"/>
      </w:divBdr>
    </w:div>
    <w:div w:id="383068630">
      <w:marLeft w:val="0"/>
      <w:marRight w:val="0"/>
      <w:marTop w:val="0"/>
      <w:marBottom w:val="0"/>
      <w:divBdr>
        <w:top w:val="none" w:sz="0" w:space="0" w:color="auto"/>
        <w:left w:val="none" w:sz="0" w:space="0" w:color="auto"/>
        <w:bottom w:val="none" w:sz="0" w:space="0" w:color="auto"/>
        <w:right w:val="none" w:sz="0" w:space="0" w:color="auto"/>
      </w:divBdr>
    </w:div>
    <w:div w:id="384525466">
      <w:bodyDiv w:val="1"/>
      <w:marLeft w:val="0"/>
      <w:marRight w:val="0"/>
      <w:marTop w:val="0"/>
      <w:marBottom w:val="0"/>
      <w:divBdr>
        <w:top w:val="none" w:sz="0" w:space="0" w:color="auto"/>
        <w:left w:val="none" w:sz="0" w:space="0" w:color="auto"/>
        <w:bottom w:val="none" w:sz="0" w:space="0" w:color="auto"/>
        <w:right w:val="none" w:sz="0" w:space="0" w:color="auto"/>
      </w:divBdr>
    </w:div>
    <w:div w:id="385105106">
      <w:bodyDiv w:val="1"/>
      <w:marLeft w:val="0"/>
      <w:marRight w:val="0"/>
      <w:marTop w:val="0"/>
      <w:marBottom w:val="0"/>
      <w:divBdr>
        <w:top w:val="none" w:sz="0" w:space="0" w:color="auto"/>
        <w:left w:val="none" w:sz="0" w:space="0" w:color="auto"/>
        <w:bottom w:val="none" w:sz="0" w:space="0" w:color="auto"/>
        <w:right w:val="none" w:sz="0" w:space="0" w:color="auto"/>
      </w:divBdr>
    </w:div>
    <w:div w:id="392890947">
      <w:bodyDiv w:val="1"/>
      <w:marLeft w:val="0"/>
      <w:marRight w:val="0"/>
      <w:marTop w:val="0"/>
      <w:marBottom w:val="0"/>
      <w:divBdr>
        <w:top w:val="none" w:sz="0" w:space="0" w:color="auto"/>
        <w:left w:val="none" w:sz="0" w:space="0" w:color="auto"/>
        <w:bottom w:val="none" w:sz="0" w:space="0" w:color="auto"/>
        <w:right w:val="none" w:sz="0" w:space="0" w:color="auto"/>
      </w:divBdr>
    </w:div>
    <w:div w:id="396056044">
      <w:bodyDiv w:val="1"/>
      <w:marLeft w:val="0"/>
      <w:marRight w:val="0"/>
      <w:marTop w:val="0"/>
      <w:marBottom w:val="0"/>
      <w:divBdr>
        <w:top w:val="none" w:sz="0" w:space="0" w:color="auto"/>
        <w:left w:val="none" w:sz="0" w:space="0" w:color="auto"/>
        <w:bottom w:val="none" w:sz="0" w:space="0" w:color="auto"/>
        <w:right w:val="none" w:sz="0" w:space="0" w:color="auto"/>
      </w:divBdr>
    </w:div>
    <w:div w:id="399446598">
      <w:marLeft w:val="0"/>
      <w:marRight w:val="0"/>
      <w:marTop w:val="0"/>
      <w:marBottom w:val="0"/>
      <w:divBdr>
        <w:top w:val="none" w:sz="0" w:space="0" w:color="auto"/>
        <w:left w:val="none" w:sz="0" w:space="0" w:color="auto"/>
        <w:bottom w:val="none" w:sz="0" w:space="0" w:color="auto"/>
        <w:right w:val="none" w:sz="0" w:space="0" w:color="auto"/>
      </w:divBdr>
    </w:div>
    <w:div w:id="406028142">
      <w:bodyDiv w:val="1"/>
      <w:marLeft w:val="0"/>
      <w:marRight w:val="0"/>
      <w:marTop w:val="0"/>
      <w:marBottom w:val="0"/>
      <w:divBdr>
        <w:top w:val="none" w:sz="0" w:space="0" w:color="auto"/>
        <w:left w:val="none" w:sz="0" w:space="0" w:color="auto"/>
        <w:bottom w:val="none" w:sz="0" w:space="0" w:color="auto"/>
        <w:right w:val="none" w:sz="0" w:space="0" w:color="auto"/>
      </w:divBdr>
    </w:div>
    <w:div w:id="406615192">
      <w:bodyDiv w:val="1"/>
      <w:marLeft w:val="0"/>
      <w:marRight w:val="0"/>
      <w:marTop w:val="0"/>
      <w:marBottom w:val="0"/>
      <w:divBdr>
        <w:top w:val="none" w:sz="0" w:space="0" w:color="auto"/>
        <w:left w:val="none" w:sz="0" w:space="0" w:color="auto"/>
        <w:bottom w:val="none" w:sz="0" w:space="0" w:color="auto"/>
        <w:right w:val="none" w:sz="0" w:space="0" w:color="auto"/>
      </w:divBdr>
    </w:div>
    <w:div w:id="418478645">
      <w:bodyDiv w:val="1"/>
      <w:marLeft w:val="0"/>
      <w:marRight w:val="0"/>
      <w:marTop w:val="0"/>
      <w:marBottom w:val="0"/>
      <w:divBdr>
        <w:top w:val="none" w:sz="0" w:space="0" w:color="auto"/>
        <w:left w:val="none" w:sz="0" w:space="0" w:color="auto"/>
        <w:bottom w:val="none" w:sz="0" w:space="0" w:color="auto"/>
        <w:right w:val="none" w:sz="0" w:space="0" w:color="auto"/>
      </w:divBdr>
    </w:div>
    <w:div w:id="420180818">
      <w:bodyDiv w:val="1"/>
      <w:marLeft w:val="0"/>
      <w:marRight w:val="0"/>
      <w:marTop w:val="0"/>
      <w:marBottom w:val="0"/>
      <w:divBdr>
        <w:top w:val="none" w:sz="0" w:space="0" w:color="auto"/>
        <w:left w:val="none" w:sz="0" w:space="0" w:color="auto"/>
        <w:bottom w:val="none" w:sz="0" w:space="0" w:color="auto"/>
        <w:right w:val="none" w:sz="0" w:space="0" w:color="auto"/>
      </w:divBdr>
    </w:div>
    <w:div w:id="426580542">
      <w:marLeft w:val="0"/>
      <w:marRight w:val="0"/>
      <w:marTop w:val="0"/>
      <w:marBottom w:val="0"/>
      <w:divBdr>
        <w:top w:val="none" w:sz="0" w:space="0" w:color="auto"/>
        <w:left w:val="none" w:sz="0" w:space="0" w:color="auto"/>
        <w:bottom w:val="none" w:sz="0" w:space="0" w:color="auto"/>
        <w:right w:val="none" w:sz="0" w:space="0" w:color="auto"/>
      </w:divBdr>
    </w:div>
    <w:div w:id="433670015">
      <w:bodyDiv w:val="1"/>
      <w:marLeft w:val="0"/>
      <w:marRight w:val="0"/>
      <w:marTop w:val="0"/>
      <w:marBottom w:val="0"/>
      <w:divBdr>
        <w:top w:val="none" w:sz="0" w:space="0" w:color="auto"/>
        <w:left w:val="none" w:sz="0" w:space="0" w:color="auto"/>
        <w:bottom w:val="none" w:sz="0" w:space="0" w:color="auto"/>
        <w:right w:val="none" w:sz="0" w:space="0" w:color="auto"/>
      </w:divBdr>
    </w:div>
    <w:div w:id="434247309">
      <w:bodyDiv w:val="1"/>
      <w:marLeft w:val="0"/>
      <w:marRight w:val="0"/>
      <w:marTop w:val="0"/>
      <w:marBottom w:val="0"/>
      <w:divBdr>
        <w:top w:val="none" w:sz="0" w:space="0" w:color="auto"/>
        <w:left w:val="none" w:sz="0" w:space="0" w:color="auto"/>
        <w:bottom w:val="none" w:sz="0" w:space="0" w:color="auto"/>
        <w:right w:val="none" w:sz="0" w:space="0" w:color="auto"/>
      </w:divBdr>
    </w:div>
    <w:div w:id="434518134">
      <w:bodyDiv w:val="1"/>
      <w:marLeft w:val="0"/>
      <w:marRight w:val="0"/>
      <w:marTop w:val="0"/>
      <w:marBottom w:val="0"/>
      <w:divBdr>
        <w:top w:val="none" w:sz="0" w:space="0" w:color="auto"/>
        <w:left w:val="none" w:sz="0" w:space="0" w:color="auto"/>
        <w:bottom w:val="none" w:sz="0" w:space="0" w:color="auto"/>
        <w:right w:val="none" w:sz="0" w:space="0" w:color="auto"/>
      </w:divBdr>
    </w:div>
    <w:div w:id="436021333">
      <w:marLeft w:val="0"/>
      <w:marRight w:val="0"/>
      <w:marTop w:val="0"/>
      <w:marBottom w:val="0"/>
      <w:divBdr>
        <w:top w:val="none" w:sz="0" w:space="0" w:color="auto"/>
        <w:left w:val="none" w:sz="0" w:space="0" w:color="auto"/>
        <w:bottom w:val="none" w:sz="0" w:space="0" w:color="auto"/>
        <w:right w:val="none" w:sz="0" w:space="0" w:color="auto"/>
      </w:divBdr>
    </w:div>
    <w:div w:id="436606020">
      <w:bodyDiv w:val="1"/>
      <w:marLeft w:val="0"/>
      <w:marRight w:val="0"/>
      <w:marTop w:val="0"/>
      <w:marBottom w:val="0"/>
      <w:divBdr>
        <w:top w:val="none" w:sz="0" w:space="0" w:color="auto"/>
        <w:left w:val="none" w:sz="0" w:space="0" w:color="auto"/>
        <w:bottom w:val="none" w:sz="0" w:space="0" w:color="auto"/>
        <w:right w:val="none" w:sz="0" w:space="0" w:color="auto"/>
      </w:divBdr>
    </w:div>
    <w:div w:id="443890324">
      <w:bodyDiv w:val="1"/>
      <w:marLeft w:val="0"/>
      <w:marRight w:val="0"/>
      <w:marTop w:val="0"/>
      <w:marBottom w:val="0"/>
      <w:divBdr>
        <w:top w:val="none" w:sz="0" w:space="0" w:color="auto"/>
        <w:left w:val="none" w:sz="0" w:space="0" w:color="auto"/>
        <w:bottom w:val="none" w:sz="0" w:space="0" w:color="auto"/>
        <w:right w:val="none" w:sz="0" w:space="0" w:color="auto"/>
      </w:divBdr>
    </w:div>
    <w:div w:id="444542905">
      <w:bodyDiv w:val="1"/>
      <w:marLeft w:val="0"/>
      <w:marRight w:val="0"/>
      <w:marTop w:val="0"/>
      <w:marBottom w:val="0"/>
      <w:divBdr>
        <w:top w:val="none" w:sz="0" w:space="0" w:color="auto"/>
        <w:left w:val="none" w:sz="0" w:space="0" w:color="auto"/>
        <w:bottom w:val="none" w:sz="0" w:space="0" w:color="auto"/>
        <w:right w:val="none" w:sz="0" w:space="0" w:color="auto"/>
      </w:divBdr>
    </w:div>
    <w:div w:id="475491170">
      <w:bodyDiv w:val="1"/>
      <w:marLeft w:val="0"/>
      <w:marRight w:val="0"/>
      <w:marTop w:val="0"/>
      <w:marBottom w:val="0"/>
      <w:divBdr>
        <w:top w:val="none" w:sz="0" w:space="0" w:color="auto"/>
        <w:left w:val="none" w:sz="0" w:space="0" w:color="auto"/>
        <w:bottom w:val="none" w:sz="0" w:space="0" w:color="auto"/>
        <w:right w:val="none" w:sz="0" w:space="0" w:color="auto"/>
      </w:divBdr>
    </w:div>
    <w:div w:id="476150824">
      <w:bodyDiv w:val="1"/>
      <w:marLeft w:val="0"/>
      <w:marRight w:val="0"/>
      <w:marTop w:val="0"/>
      <w:marBottom w:val="0"/>
      <w:divBdr>
        <w:top w:val="none" w:sz="0" w:space="0" w:color="auto"/>
        <w:left w:val="none" w:sz="0" w:space="0" w:color="auto"/>
        <w:bottom w:val="none" w:sz="0" w:space="0" w:color="auto"/>
        <w:right w:val="none" w:sz="0" w:space="0" w:color="auto"/>
      </w:divBdr>
    </w:div>
    <w:div w:id="476803314">
      <w:bodyDiv w:val="1"/>
      <w:marLeft w:val="0"/>
      <w:marRight w:val="0"/>
      <w:marTop w:val="0"/>
      <w:marBottom w:val="0"/>
      <w:divBdr>
        <w:top w:val="none" w:sz="0" w:space="0" w:color="auto"/>
        <w:left w:val="none" w:sz="0" w:space="0" w:color="auto"/>
        <w:bottom w:val="none" w:sz="0" w:space="0" w:color="auto"/>
        <w:right w:val="none" w:sz="0" w:space="0" w:color="auto"/>
      </w:divBdr>
    </w:div>
    <w:div w:id="478112870">
      <w:bodyDiv w:val="1"/>
      <w:marLeft w:val="0"/>
      <w:marRight w:val="0"/>
      <w:marTop w:val="0"/>
      <w:marBottom w:val="0"/>
      <w:divBdr>
        <w:top w:val="none" w:sz="0" w:space="0" w:color="auto"/>
        <w:left w:val="none" w:sz="0" w:space="0" w:color="auto"/>
        <w:bottom w:val="none" w:sz="0" w:space="0" w:color="auto"/>
        <w:right w:val="none" w:sz="0" w:space="0" w:color="auto"/>
      </w:divBdr>
    </w:div>
    <w:div w:id="483358318">
      <w:bodyDiv w:val="1"/>
      <w:marLeft w:val="0"/>
      <w:marRight w:val="0"/>
      <w:marTop w:val="0"/>
      <w:marBottom w:val="0"/>
      <w:divBdr>
        <w:top w:val="none" w:sz="0" w:space="0" w:color="auto"/>
        <w:left w:val="none" w:sz="0" w:space="0" w:color="auto"/>
        <w:bottom w:val="none" w:sz="0" w:space="0" w:color="auto"/>
        <w:right w:val="none" w:sz="0" w:space="0" w:color="auto"/>
      </w:divBdr>
    </w:div>
    <w:div w:id="490295040">
      <w:bodyDiv w:val="1"/>
      <w:marLeft w:val="0"/>
      <w:marRight w:val="0"/>
      <w:marTop w:val="0"/>
      <w:marBottom w:val="0"/>
      <w:divBdr>
        <w:top w:val="none" w:sz="0" w:space="0" w:color="auto"/>
        <w:left w:val="none" w:sz="0" w:space="0" w:color="auto"/>
        <w:bottom w:val="none" w:sz="0" w:space="0" w:color="auto"/>
        <w:right w:val="none" w:sz="0" w:space="0" w:color="auto"/>
      </w:divBdr>
    </w:div>
    <w:div w:id="497310202">
      <w:bodyDiv w:val="1"/>
      <w:marLeft w:val="0"/>
      <w:marRight w:val="0"/>
      <w:marTop w:val="0"/>
      <w:marBottom w:val="0"/>
      <w:divBdr>
        <w:top w:val="none" w:sz="0" w:space="0" w:color="auto"/>
        <w:left w:val="none" w:sz="0" w:space="0" w:color="auto"/>
        <w:bottom w:val="none" w:sz="0" w:space="0" w:color="auto"/>
        <w:right w:val="none" w:sz="0" w:space="0" w:color="auto"/>
      </w:divBdr>
    </w:div>
    <w:div w:id="503478701">
      <w:bodyDiv w:val="1"/>
      <w:marLeft w:val="0"/>
      <w:marRight w:val="0"/>
      <w:marTop w:val="0"/>
      <w:marBottom w:val="0"/>
      <w:divBdr>
        <w:top w:val="none" w:sz="0" w:space="0" w:color="auto"/>
        <w:left w:val="none" w:sz="0" w:space="0" w:color="auto"/>
        <w:bottom w:val="none" w:sz="0" w:space="0" w:color="auto"/>
        <w:right w:val="none" w:sz="0" w:space="0" w:color="auto"/>
      </w:divBdr>
    </w:div>
    <w:div w:id="521817929">
      <w:bodyDiv w:val="1"/>
      <w:marLeft w:val="0"/>
      <w:marRight w:val="0"/>
      <w:marTop w:val="0"/>
      <w:marBottom w:val="0"/>
      <w:divBdr>
        <w:top w:val="none" w:sz="0" w:space="0" w:color="auto"/>
        <w:left w:val="none" w:sz="0" w:space="0" w:color="auto"/>
        <w:bottom w:val="none" w:sz="0" w:space="0" w:color="auto"/>
        <w:right w:val="none" w:sz="0" w:space="0" w:color="auto"/>
      </w:divBdr>
    </w:div>
    <w:div w:id="528182617">
      <w:bodyDiv w:val="1"/>
      <w:marLeft w:val="0"/>
      <w:marRight w:val="0"/>
      <w:marTop w:val="0"/>
      <w:marBottom w:val="0"/>
      <w:divBdr>
        <w:top w:val="none" w:sz="0" w:space="0" w:color="auto"/>
        <w:left w:val="none" w:sz="0" w:space="0" w:color="auto"/>
        <w:bottom w:val="none" w:sz="0" w:space="0" w:color="auto"/>
        <w:right w:val="none" w:sz="0" w:space="0" w:color="auto"/>
      </w:divBdr>
    </w:div>
    <w:div w:id="552734034">
      <w:bodyDiv w:val="1"/>
      <w:marLeft w:val="0"/>
      <w:marRight w:val="0"/>
      <w:marTop w:val="0"/>
      <w:marBottom w:val="0"/>
      <w:divBdr>
        <w:top w:val="none" w:sz="0" w:space="0" w:color="auto"/>
        <w:left w:val="none" w:sz="0" w:space="0" w:color="auto"/>
        <w:bottom w:val="none" w:sz="0" w:space="0" w:color="auto"/>
        <w:right w:val="none" w:sz="0" w:space="0" w:color="auto"/>
      </w:divBdr>
    </w:div>
    <w:div w:id="552736039">
      <w:bodyDiv w:val="1"/>
      <w:marLeft w:val="0"/>
      <w:marRight w:val="0"/>
      <w:marTop w:val="0"/>
      <w:marBottom w:val="0"/>
      <w:divBdr>
        <w:top w:val="none" w:sz="0" w:space="0" w:color="auto"/>
        <w:left w:val="none" w:sz="0" w:space="0" w:color="auto"/>
        <w:bottom w:val="none" w:sz="0" w:space="0" w:color="auto"/>
        <w:right w:val="none" w:sz="0" w:space="0" w:color="auto"/>
      </w:divBdr>
    </w:div>
    <w:div w:id="565068988">
      <w:bodyDiv w:val="1"/>
      <w:marLeft w:val="0"/>
      <w:marRight w:val="0"/>
      <w:marTop w:val="0"/>
      <w:marBottom w:val="0"/>
      <w:divBdr>
        <w:top w:val="none" w:sz="0" w:space="0" w:color="auto"/>
        <w:left w:val="none" w:sz="0" w:space="0" w:color="auto"/>
        <w:bottom w:val="none" w:sz="0" w:space="0" w:color="auto"/>
        <w:right w:val="none" w:sz="0" w:space="0" w:color="auto"/>
      </w:divBdr>
    </w:div>
    <w:div w:id="573121588">
      <w:marLeft w:val="0"/>
      <w:marRight w:val="0"/>
      <w:marTop w:val="0"/>
      <w:marBottom w:val="0"/>
      <w:divBdr>
        <w:top w:val="none" w:sz="0" w:space="0" w:color="auto"/>
        <w:left w:val="none" w:sz="0" w:space="0" w:color="auto"/>
        <w:bottom w:val="none" w:sz="0" w:space="0" w:color="auto"/>
        <w:right w:val="none" w:sz="0" w:space="0" w:color="auto"/>
      </w:divBdr>
    </w:div>
    <w:div w:id="574357649">
      <w:marLeft w:val="0"/>
      <w:marRight w:val="0"/>
      <w:marTop w:val="0"/>
      <w:marBottom w:val="0"/>
      <w:divBdr>
        <w:top w:val="none" w:sz="0" w:space="0" w:color="auto"/>
        <w:left w:val="none" w:sz="0" w:space="0" w:color="auto"/>
        <w:bottom w:val="none" w:sz="0" w:space="0" w:color="auto"/>
        <w:right w:val="none" w:sz="0" w:space="0" w:color="auto"/>
      </w:divBdr>
    </w:div>
    <w:div w:id="580794862">
      <w:bodyDiv w:val="1"/>
      <w:marLeft w:val="0"/>
      <w:marRight w:val="0"/>
      <w:marTop w:val="0"/>
      <w:marBottom w:val="0"/>
      <w:divBdr>
        <w:top w:val="none" w:sz="0" w:space="0" w:color="auto"/>
        <w:left w:val="none" w:sz="0" w:space="0" w:color="auto"/>
        <w:bottom w:val="none" w:sz="0" w:space="0" w:color="auto"/>
        <w:right w:val="none" w:sz="0" w:space="0" w:color="auto"/>
      </w:divBdr>
    </w:div>
    <w:div w:id="581570498">
      <w:marLeft w:val="0"/>
      <w:marRight w:val="0"/>
      <w:marTop w:val="0"/>
      <w:marBottom w:val="0"/>
      <w:divBdr>
        <w:top w:val="none" w:sz="0" w:space="0" w:color="auto"/>
        <w:left w:val="none" w:sz="0" w:space="0" w:color="auto"/>
        <w:bottom w:val="none" w:sz="0" w:space="0" w:color="auto"/>
        <w:right w:val="none" w:sz="0" w:space="0" w:color="auto"/>
      </w:divBdr>
    </w:div>
    <w:div w:id="581764803">
      <w:bodyDiv w:val="1"/>
      <w:marLeft w:val="0"/>
      <w:marRight w:val="0"/>
      <w:marTop w:val="0"/>
      <w:marBottom w:val="0"/>
      <w:divBdr>
        <w:top w:val="none" w:sz="0" w:space="0" w:color="auto"/>
        <w:left w:val="none" w:sz="0" w:space="0" w:color="auto"/>
        <w:bottom w:val="none" w:sz="0" w:space="0" w:color="auto"/>
        <w:right w:val="none" w:sz="0" w:space="0" w:color="auto"/>
      </w:divBdr>
    </w:div>
    <w:div w:id="582763827">
      <w:bodyDiv w:val="1"/>
      <w:marLeft w:val="0"/>
      <w:marRight w:val="0"/>
      <w:marTop w:val="0"/>
      <w:marBottom w:val="0"/>
      <w:divBdr>
        <w:top w:val="none" w:sz="0" w:space="0" w:color="auto"/>
        <w:left w:val="none" w:sz="0" w:space="0" w:color="auto"/>
        <w:bottom w:val="none" w:sz="0" w:space="0" w:color="auto"/>
        <w:right w:val="none" w:sz="0" w:space="0" w:color="auto"/>
      </w:divBdr>
    </w:div>
    <w:div w:id="590627585">
      <w:bodyDiv w:val="1"/>
      <w:marLeft w:val="0"/>
      <w:marRight w:val="0"/>
      <w:marTop w:val="0"/>
      <w:marBottom w:val="0"/>
      <w:divBdr>
        <w:top w:val="none" w:sz="0" w:space="0" w:color="auto"/>
        <w:left w:val="none" w:sz="0" w:space="0" w:color="auto"/>
        <w:bottom w:val="none" w:sz="0" w:space="0" w:color="auto"/>
        <w:right w:val="none" w:sz="0" w:space="0" w:color="auto"/>
      </w:divBdr>
    </w:div>
    <w:div w:id="604074870">
      <w:bodyDiv w:val="1"/>
      <w:marLeft w:val="0"/>
      <w:marRight w:val="0"/>
      <w:marTop w:val="0"/>
      <w:marBottom w:val="0"/>
      <w:divBdr>
        <w:top w:val="none" w:sz="0" w:space="0" w:color="auto"/>
        <w:left w:val="none" w:sz="0" w:space="0" w:color="auto"/>
        <w:bottom w:val="none" w:sz="0" w:space="0" w:color="auto"/>
        <w:right w:val="none" w:sz="0" w:space="0" w:color="auto"/>
      </w:divBdr>
    </w:div>
    <w:div w:id="612710228">
      <w:bodyDiv w:val="1"/>
      <w:marLeft w:val="0"/>
      <w:marRight w:val="0"/>
      <w:marTop w:val="0"/>
      <w:marBottom w:val="0"/>
      <w:divBdr>
        <w:top w:val="none" w:sz="0" w:space="0" w:color="auto"/>
        <w:left w:val="none" w:sz="0" w:space="0" w:color="auto"/>
        <w:bottom w:val="none" w:sz="0" w:space="0" w:color="auto"/>
        <w:right w:val="none" w:sz="0" w:space="0" w:color="auto"/>
      </w:divBdr>
    </w:div>
    <w:div w:id="618954446">
      <w:bodyDiv w:val="1"/>
      <w:marLeft w:val="0"/>
      <w:marRight w:val="0"/>
      <w:marTop w:val="0"/>
      <w:marBottom w:val="0"/>
      <w:divBdr>
        <w:top w:val="none" w:sz="0" w:space="0" w:color="auto"/>
        <w:left w:val="none" w:sz="0" w:space="0" w:color="auto"/>
        <w:bottom w:val="none" w:sz="0" w:space="0" w:color="auto"/>
        <w:right w:val="none" w:sz="0" w:space="0" w:color="auto"/>
      </w:divBdr>
    </w:div>
    <w:div w:id="621378042">
      <w:bodyDiv w:val="1"/>
      <w:marLeft w:val="0"/>
      <w:marRight w:val="0"/>
      <w:marTop w:val="0"/>
      <w:marBottom w:val="0"/>
      <w:divBdr>
        <w:top w:val="none" w:sz="0" w:space="0" w:color="auto"/>
        <w:left w:val="none" w:sz="0" w:space="0" w:color="auto"/>
        <w:bottom w:val="none" w:sz="0" w:space="0" w:color="auto"/>
        <w:right w:val="none" w:sz="0" w:space="0" w:color="auto"/>
      </w:divBdr>
      <w:divsChild>
        <w:div w:id="1759474076">
          <w:marLeft w:val="0"/>
          <w:marRight w:val="0"/>
          <w:marTop w:val="0"/>
          <w:marBottom w:val="0"/>
          <w:divBdr>
            <w:top w:val="none" w:sz="0" w:space="0" w:color="auto"/>
            <w:left w:val="none" w:sz="0" w:space="0" w:color="auto"/>
            <w:bottom w:val="none" w:sz="0" w:space="0" w:color="auto"/>
            <w:right w:val="none" w:sz="0" w:space="0" w:color="auto"/>
          </w:divBdr>
          <w:divsChild>
            <w:div w:id="1572696498">
              <w:marLeft w:val="0"/>
              <w:marRight w:val="0"/>
              <w:marTop w:val="0"/>
              <w:marBottom w:val="0"/>
              <w:divBdr>
                <w:top w:val="none" w:sz="0" w:space="0" w:color="auto"/>
                <w:left w:val="none" w:sz="0" w:space="0" w:color="auto"/>
                <w:bottom w:val="none" w:sz="0" w:space="0" w:color="auto"/>
                <w:right w:val="none" w:sz="0" w:space="0" w:color="auto"/>
              </w:divBdr>
              <w:divsChild>
                <w:div w:id="850727429">
                  <w:marLeft w:val="0"/>
                  <w:marRight w:val="0"/>
                  <w:marTop w:val="0"/>
                  <w:marBottom w:val="0"/>
                  <w:divBdr>
                    <w:top w:val="none" w:sz="0" w:space="0" w:color="auto"/>
                    <w:left w:val="none" w:sz="0" w:space="0" w:color="auto"/>
                    <w:bottom w:val="none" w:sz="0" w:space="0" w:color="auto"/>
                    <w:right w:val="none" w:sz="0" w:space="0" w:color="auto"/>
                  </w:divBdr>
                  <w:divsChild>
                    <w:div w:id="5558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177489">
          <w:marLeft w:val="0"/>
          <w:marRight w:val="0"/>
          <w:marTop w:val="0"/>
          <w:marBottom w:val="0"/>
          <w:divBdr>
            <w:top w:val="none" w:sz="0" w:space="0" w:color="auto"/>
            <w:left w:val="none" w:sz="0" w:space="0" w:color="auto"/>
            <w:bottom w:val="none" w:sz="0" w:space="0" w:color="auto"/>
            <w:right w:val="none" w:sz="0" w:space="0" w:color="auto"/>
          </w:divBdr>
          <w:divsChild>
            <w:div w:id="986864457">
              <w:marLeft w:val="0"/>
              <w:marRight w:val="0"/>
              <w:marTop w:val="0"/>
              <w:marBottom w:val="0"/>
              <w:divBdr>
                <w:top w:val="none" w:sz="0" w:space="0" w:color="auto"/>
                <w:left w:val="none" w:sz="0" w:space="0" w:color="auto"/>
                <w:bottom w:val="none" w:sz="0" w:space="0" w:color="auto"/>
                <w:right w:val="none" w:sz="0" w:space="0" w:color="auto"/>
              </w:divBdr>
              <w:divsChild>
                <w:div w:id="1688946044">
                  <w:marLeft w:val="0"/>
                  <w:marRight w:val="0"/>
                  <w:marTop w:val="0"/>
                  <w:marBottom w:val="0"/>
                  <w:divBdr>
                    <w:top w:val="none" w:sz="0" w:space="0" w:color="auto"/>
                    <w:left w:val="none" w:sz="0" w:space="0" w:color="auto"/>
                    <w:bottom w:val="none" w:sz="0" w:space="0" w:color="auto"/>
                    <w:right w:val="none" w:sz="0" w:space="0" w:color="auto"/>
                  </w:divBdr>
                  <w:divsChild>
                    <w:div w:id="3089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123272">
      <w:bodyDiv w:val="1"/>
      <w:marLeft w:val="0"/>
      <w:marRight w:val="0"/>
      <w:marTop w:val="0"/>
      <w:marBottom w:val="0"/>
      <w:divBdr>
        <w:top w:val="none" w:sz="0" w:space="0" w:color="auto"/>
        <w:left w:val="none" w:sz="0" w:space="0" w:color="auto"/>
        <w:bottom w:val="none" w:sz="0" w:space="0" w:color="auto"/>
        <w:right w:val="none" w:sz="0" w:space="0" w:color="auto"/>
      </w:divBdr>
      <w:divsChild>
        <w:div w:id="372079245">
          <w:marLeft w:val="0"/>
          <w:marRight w:val="0"/>
          <w:marTop w:val="0"/>
          <w:marBottom w:val="0"/>
          <w:divBdr>
            <w:top w:val="none" w:sz="0" w:space="0" w:color="auto"/>
            <w:left w:val="none" w:sz="0" w:space="0" w:color="auto"/>
            <w:bottom w:val="none" w:sz="0" w:space="0" w:color="auto"/>
            <w:right w:val="none" w:sz="0" w:space="0" w:color="auto"/>
          </w:divBdr>
        </w:div>
      </w:divsChild>
    </w:div>
    <w:div w:id="629553969">
      <w:bodyDiv w:val="1"/>
      <w:marLeft w:val="0"/>
      <w:marRight w:val="0"/>
      <w:marTop w:val="0"/>
      <w:marBottom w:val="0"/>
      <w:divBdr>
        <w:top w:val="none" w:sz="0" w:space="0" w:color="auto"/>
        <w:left w:val="none" w:sz="0" w:space="0" w:color="auto"/>
        <w:bottom w:val="none" w:sz="0" w:space="0" w:color="auto"/>
        <w:right w:val="none" w:sz="0" w:space="0" w:color="auto"/>
      </w:divBdr>
    </w:div>
    <w:div w:id="630281955">
      <w:bodyDiv w:val="1"/>
      <w:marLeft w:val="0"/>
      <w:marRight w:val="0"/>
      <w:marTop w:val="0"/>
      <w:marBottom w:val="0"/>
      <w:divBdr>
        <w:top w:val="none" w:sz="0" w:space="0" w:color="auto"/>
        <w:left w:val="none" w:sz="0" w:space="0" w:color="auto"/>
        <w:bottom w:val="none" w:sz="0" w:space="0" w:color="auto"/>
        <w:right w:val="none" w:sz="0" w:space="0" w:color="auto"/>
      </w:divBdr>
    </w:div>
    <w:div w:id="635523682">
      <w:bodyDiv w:val="1"/>
      <w:marLeft w:val="0"/>
      <w:marRight w:val="0"/>
      <w:marTop w:val="0"/>
      <w:marBottom w:val="0"/>
      <w:divBdr>
        <w:top w:val="none" w:sz="0" w:space="0" w:color="auto"/>
        <w:left w:val="none" w:sz="0" w:space="0" w:color="auto"/>
        <w:bottom w:val="none" w:sz="0" w:space="0" w:color="auto"/>
        <w:right w:val="none" w:sz="0" w:space="0" w:color="auto"/>
      </w:divBdr>
    </w:div>
    <w:div w:id="642388253">
      <w:bodyDiv w:val="1"/>
      <w:marLeft w:val="0"/>
      <w:marRight w:val="0"/>
      <w:marTop w:val="0"/>
      <w:marBottom w:val="0"/>
      <w:divBdr>
        <w:top w:val="none" w:sz="0" w:space="0" w:color="auto"/>
        <w:left w:val="none" w:sz="0" w:space="0" w:color="auto"/>
        <w:bottom w:val="none" w:sz="0" w:space="0" w:color="auto"/>
        <w:right w:val="none" w:sz="0" w:space="0" w:color="auto"/>
      </w:divBdr>
    </w:div>
    <w:div w:id="646790123">
      <w:bodyDiv w:val="1"/>
      <w:marLeft w:val="0"/>
      <w:marRight w:val="0"/>
      <w:marTop w:val="0"/>
      <w:marBottom w:val="0"/>
      <w:divBdr>
        <w:top w:val="none" w:sz="0" w:space="0" w:color="auto"/>
        <w:left w:val="none" w:sz="0" w:space="0" w:color="auto"/>
        <w:bottom w:val="none" w:sz="0" w:space="0" w:color="auto"/>
        <w:right w:val="none" w:sz="0" w:space="0" w:color="auto"/>
      </w:divBdr>
    </w:div>
    <w:div w:id="653802114">
      <w:bodyDiv w:val="1"/>
      <w:marLeft w:val="0"/>
      <w:marRight w:val="0"/>
      <w:marTop w:val="0"/>
      <w:marBottom w:val="0"/>
      <w:divBdr>
        <w:top w:val="none" w:sz="0" w:space="0" w:color="auto"/>
        <w:left w:val="none" w:sz="0" w:space="0" w:color="auto"/>
        <w:bottom w:val="none" w:sz="0" w:space="0" w:color="auto"/>
        <w:right w:val="none" w:sz="0" w:space="0" w:color="auto"/>
      </w:divBdr>
    </w:div>
    <w:div w:id="654648985">
      <w:bodyDiv w:val="1"/>
      <w:marLeft w:val="0"/>
      <w:marRight w:val="0"/>
      <w:marTop w:val="0"/>
      <w:marBottom w:val="0"/>
      <w:divBdr>
        <w:top w:val="none" w:sz="0" w:space="0" w:color="auto"/>
        <w:left w:val="none" w:sz="0" w:space="0" w:color="auto"/>
        <w:bottom w:val="none" w:sz="0" w:space="0" w:color="auto"/>
        <w:right w:val="none" w:sz="0" w:space="0" w:color="auto"/>
      </w:divBdr>
    </w:div>
    <w:div w:id="669255887">
      <w:bodyDiv w:val="1"/>
      <w:marLeft w:val="0"/>
      <w:marRight w:val="0"/>
      <w:marTop w:val="0"/>
      <w:marBottom w:val="0"/>
      <w:divBdr>
        <w:top w:val="none" w:sz="0" w:space="0" w:color="auto"/>
        <w:left w:val="none" w:sz="0" w:space="0" w:color="auto"/>
        <w:bottom w:val="none" w:sz="0" w:space="0" w:color="auto"/>
        <w:right w:val="none" w:sz="0" w:space="0" w:color="auto"/>
      </w:divBdr>
    </w:div>
    <w:div w:id="671567494">
      <w:marLeft w:val="0"/>
      <w:marRight w:val="0"/>
      <w:marTop w:val="0"/>
      <w:marBottom w:val="0"/>
      <w:divBdr>
        <w:top w:val="none" w:sz="0" w:space="0" w:color="auto"/>
        <w:left w:val="none" w:sz="0" w:space="0" w:color="auto"/>
        <w:bottom w:val="none" w:sz="0" w:space="0" w:color="auto"/>
        <w:right w:val="none" w:sz="0" w:space="0" w:color="auto"/>
      </w:divBdr>
    </w:div>
    <w:div w:id="674721883">
      <w:bodyDiv w:val="1"/>
      <w:marLeft w:val="0"/>
      <w:marRight w:val="0"/>
      <w:marTop w:val="0"/>
      <w:marBottom w:val="0"/>
      <w:divBdr>
        <w:top w:val="none" w:sz="0" w:space="0" w:color="auto"/>
        <w:left w:val="none" w:sz="0" w:space="0" w:color="auto"/>
        <w:bottom w:val="none" w:sz="0" w:space="0" w:color="auto"/>
        <w:right w:val="none" w:sz="0" w:space="0" w:color="auto"/>
      </w:divBdr>
    </w:div>
    <w:div w:id="678045899">
      <w:bodyDiv w:val="1"/>
      <w:marLeft w:val="0"/>
      <w:marRight w:val="0"/>
      <w:marTop w:val="0"/>
      <w:marBottom w:val="0"/>
      <w:divBdr>
        <w:top w:val="none" w:sz="0" w:space="0" w:color="auto"/>
        <w:left w:val="none" w:sz="0" w:space="0" w:color="auto"/>
        <w:bottom w:val="none" w:sz="0" w:space="0" w:color="auto"/>
        <w:right w:val="none" w:sz="0" w:space="0" w:color="auto"/>
      </w:divBdr>
    </w:div>
    <w:div w:id="682975181">
      <w:bodyDiv w:val="1"/>
      <w:marLeft w:val="0"/>
      <w:marRight w:val="0"/>
      <w:marTop w:val="0"/>
      <w:marBottom w:val="0"/>
      <w:divBdr>
        <w:top w:val="none" w:sz="0" w:space="0" w:color="auto"/>
        <w:left w:val="none" w:sz="0" w:space="0" w:color="auto"/>
        <w:bottom w:val="none" w:sz="0" w:space="0" w:color="auto"/>
        <w:right w:val="none" w:sz="0" w:space="0" w:color="auto"/>
      </w:divBdr>
    </w:div>
    <w:div w:id="684211235">
      <w:bodyDiv w:val="1"/>
      <w:marLeft w:val="0"/>
      <w:marRight w:val="0"/>
      <w:marTop w:val="0"/>
      <w:marBottom w:val="0"/>
      <w:divBdr>
        <w:top w:val="none" w:sz="0" w:space="0" w:color="auto"/>
        <w:left w:val="none" w:sz="0" w:space="0" w:color="auto"/>
        <w:bottom w:val="none" w:sz="0" w:space="0" w:color="auto"/>
        <w:right w:val="none" w:sz="0" w:space="0" w:color="auto"/>
      </w:divBdr>
    </w:div>
    <w:div w:id="687104085">
      <w:bodyDiv w:val="1"/>
      <w:marLeft w:val="0"/>
      <w:marRight w:val="0"/>
      <w:marTop w:val="0"/>
      <w:marBottom w:val="0"/>
      <w:divBdr>
        <w:top w:val="none" w:sz="0" w:space="0" w:color="auto"/>
        <w:left w:val="none" w:sz="0" w:space="0" w:color="auto"/>
        <w:bottom w:val="none" w:sz="0" w:space="0" w:color="auto"/>
        <w:right w:val="none" w:sz="0" w:space="0" w:color="auto"/>
      </w:divBdr>
    </w:div>
    <w:div w:id="709496856">
      <w:bodyDiv w:val="1"/>
      <w:marLeft w:val="0"/>
      <w:marRight w:val="0"/>
      <w:marTop w:val="0"/>
      <w:marBottom w:val="0"/>
      <w:divBdr>
        <w:top w:val="none" w:sz="0" w:space="0" w:color="auto"/>
        <w:left w:val="none" w:sz="0" w:space="0" w:color="auto"/>
        <w:bottom w:val="none" w:sz="0" w:space="0" w:color="auto"/>
        <w:right w:val="none" w:sz="0" w:space="0" w:color="auto"/>
      </w:divBdr>
      <w:divsChild>
        <w:div w:id="1689060246">
          <w:marLeft w:val="0"/>
          <w:marRight w:val="0"/>
          <w:marTop w:val="0"/>
          <w:marBottom w:val="0"/>
          <w:divBdr>
            <w:top w:val="none" w:sz="0" w:space="0" w:color="auto"/>
            <w:left w:val="none" w:sz="0" w:space="0" w:color="auto"/>
            <w:bottom w:val="none" w:sz="0" w:space="0" w:color="auto"/>
            <w:right w:val="none" w:sz="0" w:space="0" w:color="auto"/>
          </w:divBdr>
          <w:divsChild>
            <w:div w:id="154079930">
              <w:marLeft w:val="0"/>
              <w:marRight w:val="0"/>
              <w:marTop w:val="0"/>
              <w:marBottom w:val="0"/>
              <w:divBdr>
                <w:top w:val="none" w:sz="0" w:space="0" w:color="auto"/>
                <w:left w:val="none" w:sz="0" w:space="0" w:color="auto"/>
                <w:bottom w:val="none" w:sz="0" w:space="0" w:color="auto"/>
                <w:right w:val="none" w:sz="0" w:space="0" w:color="auto"/>
              </w:divBdr>
              <w:divsChild>
                <w:div w:id="2042320075">
                  <w:marLeft w:val="0"/>
                  <w:marRight w:val="0"/>
                  <w:marTop w:val="0"/>
                  <w:marBottom w:val="0"/>
                  <w:divBdr>
                    <w:top w:val="none" w:sz="0" w:space="0" w:color="auto"/>
                    <w:left w:val="none" w:sz="0" w:space="0" w:color="auto"/>
                    <w:bottom w:val="none" w:sz="0" w:space="0" w:color="auto"/>
                    <w:right w:val="none" w:sz="0" w:space="0" w:color="auto"/>
                  </w:divBdr>
                  <w:divsChild>
                    <w:div w:id="19859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834464">
          <w:marLeft w:val="0"/>
          <w:marRight w:val="0"/>
          <w:marTop w:val="0"/>
          <w:marBottom w:val="0"/>
          <w:divBdr>
            <w:top w:val="none" w:sz="0" w:space="0" w:color="auto"/>
            <w:left w:val="none" w:sz="0" w:space="0" w:color="auto"/>
            <w:bottom w:val="none" w:sz="0" w:space="0" w:color="auto"/>
            <w:right w:val="none" w:sz="0" w:space="0" w:color="auto"/>
          </w:divBdr>
          <w:divsChild>
            <w:div w:id="1733960161">
              <w:marLeft w:val="0"/>
              <w:marRight w:val="0"/>
              <w:marTop w:val="0"/>
              <w:marBottom w:val="0"/>
              <w:divBdr>
                <w:top w:val="none" w:sz="0" w:space="0" w:color="auto"/>
                <w:left w:val="none" w:sz="0" w:space="0" w:color="auto"/>
                <w:bottom w:val="none" w:sz="0" w:space="0" w:color="auto"/>
                <w:right w:val="none" w:sz="0" w:space="0" w:color="auto"/>
              </w:divBdr>
              <w:divsChild>
                <w:div w:id="915017792">
                  <w:marLeft w:val="0"/>
                  <w:marRight w:val="0"/>
                  <w:marTop w:val="0"/>
                  <w:marBottom w:val="0"/>
                  <w:divBdr>
                    <w:top w:val="none" w:sz="0" w:space="0" w:color="auto"/>
                    <w:left w:val="none" w:sz="0" w:space="0" w:color="auto"/>
                    <w:bottom w:val="none" w:sz="0" w:space="0" w:color="auto"/>
                    <w:right w:val="none" w:sz="0" w:space="0" w:color="auto"/>
                  </w:divBdr>
                  <w:divsChild>
                    <w:div w:id="27560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28182">
      <w:bodyDiv w:val="1"/>
      <w:marLeft w:val="0"/>
      <w:marRight w:val="0"/>
      <w:marTop w:val="0"/>
      <w:marBottom w:val="0"/>
      <w:divBdr>
        <w:top w:val="none" w:sz="0" w:space="0" w:color="auto"/>
        <w:left w:val="none" w:sz="0" w:space="0" w:color="auto"/>
        <w:bottom w:val="none" w:sz="0" w:space="0" w:color="auto"/>
        <w:right w:val="none" w:sz="0" w:space="0" w:color="auto"/>
      </w:divBdr>
    </w:div>
    <w:div w:id="713426138">
      <w:bodyDiv w:val="1"/>
      <w:marLeft w:val="0"/>
      <w:marRight w:val="0"/>
      <w:marTop w:val="0"/>
      <w:marBottom w:val="0"/>
      <w:divBdr>
        <w:top w:val="none" w:sz="0" w:space="0" w:color="auto"/>
        <w:left w:val="none" w:sz="0" w:space="0" w:color="auto"/>
        <w:bottom w:val="none" w:sz="0" w:space="0" w:color="auto"/>
        <w:right w:val="none" w:sz="0" w:space="0" w:color="auto"/>
      </w:divBdr>
    </w:div>
    <w:div w:id="716781020">
      <w:bodyDiv w:val="1"/>
      <w:marLeft w:val="0"/>
      <w:marRight w:val="0"/>
      <w:marTop w:val="0"/>
      <w:marBottom w:val="0"/>
      <w:divBdr>
        <w:top w:val="none" w:sz="0" w:space="0" w:color="auto"/>
        <w:left w:val="none" w:sz="0" w:space="0" w:color="auto"/>
        <w:bottom w:val="none" w:sz="0" w:space="0" w:color="auto"/>
        <w:right w:val="none" w:sz="0" w:space="0" w:color="auto"/>
      </w:divBdr>
    </w:div>
    <w:div w:id="726295355">
      <w:bodyDiv w:val="1"/>
      <w:marLeft w:val="0"/>
      <w:marRight w:val="0"/>
      <w:marTop w:val="0"/>
      <w:marBottom w:val="0"/>
      <w:divBdr>
        <w:top w:val="none" w:sz="0" w:space="0" w:color="auto"/>
        <w:left w:val="none" w:sz="0" w:space="0" w:color="auto"/>
        <w:bottom w:val="none" w:sz="0" w:space="0" w:color="auto"/>
        <w:right w:val="none" w:sz="0" w:space="0" w:color="auto"/>
      </w:divBdr>
    </w:div>
    <w:div w:id="735082287">
      <w:bodyDiv w:val="1"/>
      <w:marLeft w:val="0"/>
      <w:marRight w:val="0"/>
      <w:marTop w:val="0"/>
      <w:marBottom w:val="0"/>
      <w:divBdr>
        <w:top w:val="none" w:sz="0" w:space="0" w:color="auto"/>
        <w:left w:val="none" w:sz="0" w:space="0" w:color="auto"/>
        <w:bottom w:val="none" w:sz="0" w:space="0" w:color="auto"/>
        <w:right w:val="none" w:sz="0" w:space="0" w:color="auto"/>
      </w:divBdr>
    </w:div>
    <w:div w:id="743647847">
      <w:bodyDiv w:val="1"/>
      <w:marLeft w:val="0"/>
      <w:marRight w:val="0"/>
      <w:marTop w:val="0"/>
      <w:marBottom w:val="0"/>
      <w:divBdr>
        <w:top w:val="none" w:sz="0" w:space="0" w:color="auto"/>
        <w:left w:val="none" w:sz="0" w:space="0" w:color="auto"/>
        <w:bottom w:val="none" w:sz="0" w:space="0" w:color="auto"/>
        <w:right w:val="none" w:sz="0" w:space="0" w:color="auto"/>
      </w:divBdr>
    </w:div>
    <w:div w:id="747384712">
      <w:bodyDiv w:val="1"/>
      <w:marLeft w:val="0"/>
      <w:marRight w:val="0"/>
      <w:marTop w:val="0"/>
      <w:marBottom w:val="0"/>
      <w:divBdr>
        <w:top w:val="none" w:sz="0" w:space="0" w:color="auto"/>
        <w:left w:val="none" w:sz="0" w:space="0" w:color="auto"/>
        <w:bottom w:val="none" w:sz="0" w:space="0" w:color="auto"/>
        <w:right w:val="none" w:sz="0" w:space="0" w:color="auto"/>
      </w:divBdr>
    </w:div>
    <w:div w:id="760414668">
      <w:bodyDiv w:val="1"/>
      <w:marLeft w:val="0"/>
      <w:marRight w:val="0"/>
      <w:marTop w:val="0"/>
      <w:marBottom w:val="0"/>
      <w:divBdr>
        <w:top w:val="none" w:sz="0" w:space="0" w:color="auto"/>
        <w:left w:val="none" w:sz="0" w:space="0" w:color="auto"/>
        <w:bottom w:val="none" w:sz="0" w:space="0" w:color="auto"/>
        <w:right w:val="none" w:sz="0" w:space="0" w:color="auto"/>
      </w:divBdr>
    </w:div>
    <w:div w:id="770511466">
      <w:bodyDiv w:val="1"/>
      <w:marLeft w:val="0"/>
      <w:marRight w:val="0"/>
      <w:marTop w:val="0"/>
      <w:marBottom w:val="0"/>
      <w:divBdr>
        <w:top w:val="none" w:sz="0" w:space="0" w:color="auto"/>
        <w:left w:val="none" w:sz="0" w:space="0" w:color="auto"/>
        <w:bottom w:val="none" w:sz="0" w:space="0" w:color="auto"/>
        <w:right w:val="none" w:sz="0" w:space="0" w:color="auto"/>
      </w:divBdr>
    </w:div>
    <w:div w:id="774177903">
      <w:bodyDiv w:val="1"/>
      <w:marLeft w:val="0"/>
      <w:marRight w:val="0"/>
      <w:marTop w:val="0"/>
      <w:marBottom w:val="0"/>
      <w:divBdr>
        <w:top w:val="none" w:sz="0" w:space="0" w:color="auto"/>
        <w:left w:val="none" w:sz="0" w:space="0" w:color="auto"/>
        <w:bottom w:val="none" w:sz="0" w:space="0" w:color="auto"/>
        <w:right w:val="none" w:sz="0" w:space="0" w:color="auto"/>
      </w:divBdr>
    </w:div>
    <w:div w:id="783035222">
      <w:bodyDiv w:val="1"/>
      <w:marLeft w:val="0"/>
      <w:marRight w:val="0"/>
      <w:marTop w:val="0"/>
      <w:marBottom w:val="0"/>
      <w:divBdr>
        <w:top w:val="none" w:sz="0" w:space="0" w:color="auto"/>
        <w:left w:val="none" w:sz="0" w:space="0" w:color="auto"/>
        <w:bottom w:val="none" w:sz="0" w:space="0" w:color="auto"/>
        <w:right w:val="none" w:sz="0" w:space="0" w:color="auto"/>
      </w:divBdr>
    </w:div>
    <w:div w:id="784034627">
      <w:bodyDiv w:val="1"/>
      <w:marLeft w:val="0"/>
      <w:marRight w:val="0"/>
      <w:marTop w:val="0"/>
      <w:marBottom w:val="0"/>
      <w:divBdr>
        <w:top w:val="none" w:sz="0" w:space="0" w:color="auto"/>
        <w:left w:val="none" w:sz="0" w:space="0" w:color="auto"/>
        <w:bottom w:val="none" w:sz="0" w:space="0" w:color="auto"/>
        <w:right w:val="none" w:sz="0" w:space="0" w:color="auto"/>
      </w:divBdr>
    </w:div>
    <w:div w:id="787236520">
      <w:bodyDiv w:val="1"/>
      <w:marLeft w:val="0"/>
      <w:marRight w:val="0"/>
      <w:marTop w:val="0"/>
      <w:marBottom w:val="0"/>
      <w:divBdr>
        <w:top w:val="none" w:sz="0" w:space="0" w:color="auto"/>
        <w:left w:val="none" w:sz="0" w:space="0" w:color="auto"/>
        <w:bottom w:val="none" w:sz="0" w:space="0" w:color="auto"/>
        <w:right w:val="none" w:sz="0" w:space="0" w:color="auto"/>
      </w:divBdr>
    </w:div>
    <w:div w:id="803813133">
      <w:bodyDiv w:val="1"/>
      <w:marLeft w:val="0"/>
      <w:marRight w:val="0"/>
      <w:marTop w:val="0"/>
      <w:marBottom w:val="0"/>
      <w:divBdr>
        <w:top w:val="none" w:sz="0" w:space="0" w:color="auto"/>
        <w:left w:val="none" w:sz="0" w:space="0" w:color="auto"/>
        <w:bottom w:val="none" w:sz="0" w:space="0" w:color="auto"/>
        <w:right w:val="none" w:sz="0" w:space="0" w:color="auto"/>
      </w:divBdr>
    </w:div>
    <w:div w:id="804857610">
      <w:bodyDiv w:val="1"/>
      <w:marLeft w:val="0"/>
      <w:marRight w:val="0"/>
      <w:marTop w:val="0"/>
      <w:marBottom w:val="0"/>
      <w:divBdr>
        <w:top w:val="none" w:sz="0" w:space="0" w:color="auto"/>
        <w:left w:val="none" w:sz="0" w:space="0" w:color="auto"/>
        <w:bottom w:val="none" w:sz="0" w:space="0" w:color="auto"/>
        <w:right w:val="none" w:sz="0" w:space="0" w:color="auto"/>
      </w:divBdr>
    </w:div>
    <w:div w:id="811679417">
      <w:bodyDiv w:val="1"/>
      <w:marLeft w:val="0"/>
      <w:marRight w:val="0"/>
      <w:marTop w:val="0"/>
      <w:marBottom w:val="0"/>
      <w:divBdr>
        <w:top w:val="none" w:sz="0" w:space="0" w:color="auto"/>
        <w:left w:val="none" w:sz="0" w:space="0" w:color="auto"/>
        <w:bottom w:val="none" w:sz="0" w:space="0" w:color="auto"/>
        <w:right w:val="none" w:sz="0" w:space="0" w:color="auto"/>
      </w:divBdr>
    </w:div>
    <w:div w:id="811941252">
      <w:bodyDiv w:val="1"/>
      <w:marLeft w:val="0"/>
      <w:marRight w:val="0"/>
      <w:marTop w:val="0"/>
      <w:marBottom w:val="0"/>
      <w:divBdr>
        <w:top w:val="none" w:sz="0" w:space="0" w:color="auto"/>
        <w:left w:val="none" w:sz="0" w:space="0" w:color="auto"/>
        <w:bottom w:val="none" w:sz="0" w:space="0" w:color="auto"/>
        <w:right w:val="none" w:sz="0" w:space="0" w:color="auto"/>
      </w:divBdr>
    </w:div>
    <w:div w:id="814374008">
      <w:bodyDiv w:val="1"/>
      <w:marLeft w:val="0"/>
      <w:marRight w:val="0"/>
      <w:marTop w:val="0"/>
      <w:marBottom w:val="0"/>
      <w:divBdr>
        <w:top w:val="none" w:sz="0" w:space="0" w:color="auto"/>
        <w:left w:val="none" w:sz="0" w:space="0" w:color="auto"/>
        <w:bottom w:val="none" w:sz="0" w:space="0" w:color="auto"/>
        <w:right w:val="none" w:sz="0" w:space="0" w:color="auto"/>
      </w:divBdr>
    </w:div>
    <w:div w:id="814906373">
      <w:bodyDiv w:val="1"/>
      <w:marLeft w:val="0"/>
      <w:marRight w:val="0"/>
      <w:marTop w:val="0"/>
      <w:marBottom w:val="0"/>
      <w:divBdr>
        <w:top w:val="none" w:sz="0" w:space="0" w:color="auto"/>
        <w:left w:val="none" w:sz="0" w:space="0" w:color="auto"/>
        <w:bottom w:val="none" w:sz="0" w:space="0" w:color="auto"/>
        <w:right w:val="none" w:sz="0" w:space="0" w:color="auto"/>
      </w:divBdr>
      <w:divsChild>
        <w:div w:id="1294092381">
          <w:marLeft w:val="0"/>
          <w:marRight w:val="0"/>
          <w:marTop w:val="0"/>
          <w:marBottom w:val="0"/>
          <w:divBdr>
            <w:top w:val="none" w:sz="0" w:space="0" w:color="auto"/>
            <w:left w:val="none" w:sz="0" w:space="0" w:color="auto"/>
            <w:bottom w:val="none" w:sz="0" w:space="0" w:color="auto"/>
            <w:right w:val="none" w:sz="0" w:space="0" w:color="auto"/>
          </w:divBdr>
        </w:div>
      </w:divsChild>
    </w:div>
    <w:div w:id="842356412">
      <w:bodyDiv w:val="1"/>
      <w:marLeft w:val="0"/>
      <w:marRight w:val="0"/>
      <w:marTop w:val="0"/>
      <w:marBottom w:val="0"/>
      <w:divBdr>
        <w:top w:val="none" w:sz="0" w:space="0" w:color="auto"/>
        <w:left w:val="none" w:sz="0" w:space="0" w:color="auto"/>
        <w:bottom w:val="none" w:sz="0" w:space="0" w:color="auto"/>
        <w:right w:val="none" w:sz="0" w:space="0" w:color="auto"/>
      </w:divBdr>
    </w:div>
    <w:div w:id="850340799">
      <w:bodyDiv w:val="1"/>
      <w:marLeft w:val="0"/>
      <w:marRight w:val="0"/>
      <w:marTop w:val="0"/>
      <w:marBottom w:val="0"/>
      <w:divBdr>
        <w:top w:val="none" w:sz="0" w:space="0" w:color="auto"/>
        <w:left w:val="none" w:sz="0" w:space="0" w:color="auto"/>
        <w:bottom w:val="none" w:sz="0" w:space="0" w:color="auto"/>
        <w:right w:val="none" w:sz="0" w:space="0" w:color="auto"/>
      </w:divBdr>
    </w:div>
    <w:div w:id="862087505">
      <w:bodyDiv w:val="1"/>
      <w:marLeft w:val="0"/>
      <w:marRight w:val="0"/>
      <w:marTop w:val="0"/>
      <w:marBottom w:val="0"/>
      <w:divBdr>
        <w:top w:val="none" w:sz="0" w:space="0" w:color="auto"/>
        <w:left w:val="none" w:sz="0" w:space="0" w:color="auto"/>
        <w:bottom w:val="none" w:sz="0" w:space="0" w:color="auto"/>
        <w:right w:val="none" w:sz="0" w:space="0" w:color="auto"/>
      </w:divBdr>
    </w:div>
    <w:div w:id="863398580">
      <w:bodyDiv w:val="1"/>
      <w:marLeft w:val="0"/>
      <w:marRight w:val="0"/>
      <w:marTop w:val="0"/>
      <w:marBottom w:val="0"/>
      <w:divBdr>
        <w:top w:val="none" w:sz="0" w:space="0" w:color="auto"/>
        <w:left w:val="none" w:sz="0" w:space="0" w:color="auto"/>
        <w:bottom w:val="none" w:sz="0" w:space="0" w:color="auto"/>
        <w:right w:val="none" w:sz="0" w:space="0" w:color="auto"/>
      </w:divBdr>
    </w:div>
    <w:div w:id="864443240">
      <w:marLeft w:val="0"/>
      <w:marRight w:val="0"/>
      <w:marTop w:val="0"/>
      <w:marBottom w:val="0"/>
      <w:divBdr>
        <w:top w:val="none" w:sz="0" w:space="0" w:color="auto"/>
        <w:left w:val="none" w:sz="0" w:space="0" w:color="auto"/>
        <w:bottom w:val="none" w:sz="0" w:space="0" w:color="auto"/>
        <w:right w:val="none" w:sz="0" w:space="0" w:color="auto"/>
      </w:divBdr>
    </w:div>
    <w:div w:id="865479825">
      <w:bodyDiv w:val="1"/>
      <w:marLeft w:val="0"/>
      <w:marRight w:val="0"/>
      <w:marTop w:val="0"/>
      <w:marBottom w:val="0"/>
      <w:divBdr>
        <w:top w:val="none" w:sz="0" w:space="0" w:color="auto"/>
        <w:left w:val="none" w:sz="0" w:space="0" w:color="auto"/>
        <w:bottom w:val="none" w:sz="0" w:space="0" w:color="auto"/>
        <w:right w:val="none" w:sz="0" w:space="0" w:color="auto"/>
      </w:divBdr>
    </w:div>
    <w:div w:id="869807582">
      <w:bodyDiv w:val="1"/>
      <w:marLeft w:val="0"/>
      <w:marRight w:val="0"/>
      <w:marTop w:val="0"/>
      <w:marBottom w:val="0"/>
      <w:divBdr>
        <w:top w:val="none" w:sz="0" w:space="0" w:color="auto"/>
        <w:left w:val="none" w:sz="0" w:space="0" w:color="auto"/>
        <w:bottom w:val="none" w:sz="0" w:space="0" w:color="auto"/>
        <w:right w:val="none" w:sz="0" w:space="0" w:color="auto"/>
      </w:divBdr>
    </w:div>
    <w:div w:id="887573622">
      <w:bodyDiv w:val="1"/>
      <w:marLeft w:val="0"/>
      <w:marRight w:val="0"/>
      <w:marTop w:val="0"/>
      <w:marBottom w:val="0"/>
      <w:divBdr>
        <w:top w:val="none" w:sz="0" w:space="0" w:color="auto"/>
        <w:left w:val="none" w:sz="0" w:space="0" w:color="auto"/>
        <w:bottom w:val="none" w:sz="0" w:space="0" w:color="auto"/>
        <w:right w:val="none" w:sz="0" w:space="0" w:color="auto"/>
      </w:divBdr>
    </w:div>
    <w:div w:id="894239697">
      <w:bodyDiv w:val="1"/>
      <w:marLeft w:val="0"/>
      <w:marRight w:val="0"/>
      <w:marTop w:val="0"/>
      <w:marBottom w:val="0"/>
      <w:divBdr>
        <w:top w:val="none" w:sz="0" w:space="0" w:color="auto"/>
        <w:left w:val="none" w:sz="0" w:space="0" w:color="auto"/>
        <w:bottom w:val="none" w:sz="0" w:space="0" w:color="auto"/>
        <w:right w:val="none" w:sz="0" w:space="0" w:color="auto"/>
      </w:divBdr>
    </w:div>
    <w:div w:id="917858943">
      <w:bodyDiv w:val="1"/>
      <w:marLeft w:val="0"/>
      <w:marRight w:val="0"/>
      <w:marTop w:val="0"/>
      <w:marBottom w:val="0"/>
      <w:divBdr>
        <w:top w:val="none" w:sz="0" w:space="0" w:color="auto"/>
        <w:left w:val="none" w:sz="0" w:space="0" w:color="auto"/>
        <w:bottom w:val="none" w:sz="0" w:space="0" w:color="auto"/>
        <w:right w:val="none" w:sz="0" w:space="0" w:color="auto"/>
      </w:divBdr>
    </w:div>
    <w:div w:id="934241167">
      <w:bodyDiv w:val="1"/>
      <w:marLeft w:val="0"/>
      <w:marRight w:val="0"/>
      <w:marTop w:val="0"/>
      <w:marBottom w:val="0"/>
      <w:divBdr>
        <w:top w:val="none" w:sz="0" w:space="0" w:color="auto"/>
        <w:left w:val="none" w:sz="0" w:space="0" w:color="auto"/>
        <w:bottom w:val="none" w:sz="0" w:space="0" w:color="auto"/>
        <w:right w:val="none" w:sz="0" w:space="0" w:color="auto"/>
      </w:divBdr>
    </w:div>
    <w:div w:id="945501063">
      <w:bodyDiv w:val="1"/>
      <w:marLeft w:val="0"/>
      <w:marRight w:val="0"/>
      <w:marTop w:val="0"/>
      <w:marBottom w:val="0"/>
      <w:divBdr>
        <w:top w:val="none" w:sz="0" w:space="0" w:color="auto"/>
        <w:left w:val="none" w:sz="0" w:space="0" w:color="auto"/>
        <w:bottom w:val="none" w:sz="0" w:space="0" w:color="auto"/>
        <w:right w:val="none" w:sz="0" w:space="0" w:color="auto"/>
      </w:divBdr>
    </w:div>
    <w:div w:id="955866813">
      <w:bodyDiv w:val="1"/>
      <w:marLeft w:val="0"/>
      <w:marRight w:val="0"/>
      <w:marTop w:val="0"/>
      <w:marBottom w:val="0"/>
      <w:divBdr>
        <w:top w:val="none" w:sz="0" w:space="0" w:color="auto"/>
        <w:left w:val="none" w:sz="0" w:space="0" w:color="auto"/>
        <w:bottom w:val="none" w:sz="0" w:space="0" w:color="auto"/>
        <w:right w:val="none" w:sz="0" w:space="0" w:color="auto"/>
      </w:divBdr>
    </w:div>
    <w:div w:id="962341830">
      <w:bodyDiv w:val="1"/>
      <w:marLeft w:val="0"/>
      <w:marRight w:val="0"/>
      <w:marTop w:val="0"/>
      <w:marBottom w:val="0"/>
      <w:divBdr>
        <w:top w:val="none" w:sz="0" w:space="0" w:color="auto"/>
        <w:left w:val="none" w:sz="0" w:space="0" w:color="auto"/>
        <w:bottom w:val="none" w:sz="0" w:space="0" w:color="auto"/>
        <w:right w:val="none" w:sz="0" w:space="0" w:color="auto"/>
      </w:divBdr>
      <w:divsChild>
        <w:div w:id="451363389">
          <w:marLeft w:val="0"/>
          <w:marRight w:val="0"/>
          <w:marTop w:val="0"/>
          <w:marBottom w:val="0"/>
          <w:divBdr>
            <w:top w:val="none" w:sz="0" w:space="0" w:color="auto"/>
            <w:left w:val="none" w:sz="0" w:space="0" w:color="auto"/>
            <w:bottom w:val="none" w:sz="0" w:space="0" w:color="auto"/>
            <w:right w:val="none" w:sz="0" w:space="0" w:color="auto"/>
          </w:divBdr>
        </w:div>
      </w:divsChild>
    </w:div>
    <w:div w:id="967316653">
      <w:bodyDiv w:val="1"/>
      <w:marLeft w:val="0"/>
      <w:marRight w:val="0"/>
      <w:marTop w:val="0"/>
      <w:marBottom w:val="0"/>
      <w:divBdr>
        <w:top w:val="none" w:sz="0" w:space="0" w:color="auto"/>
        <w:left w:val="none" w:sz="0" w:space="0" w:color="auto"/>
        <w:bottom w:val="none" w:sz="0" w:space="0" w:color="auto"/>
        <w:right w:val="none" w:sz="0" w:space="0" w:color="auto"/>
      </w:divBdr>
    </w:div>
    <w:div w:id="967511273">
      <w:bodyDiv w:val="1"/>
      <w:marLeft w:val="0"/>
      <w:marRight w:val="0"/>
      <w:marTop w:val="0"/>
      <w:marBottom w:val="0"/>
      <w:divBdr>
        <w:top w:val="none" w:sz="0" w:space="0" w:color="auto"/>
        <w:left w:val="none" w:sz="0" w:space="0" w:color="auto"/>
        <w:bottom w:val="none" w:sz="0" w:space="0" w:color="auto"/>
        <w:right w:val="none" w:sz="0" w:space="0" w:color="auto"/>
      </w:divBdr>
    </w:div>
    <w:div w:id="968558595">
      <w:bodyDiv w:val="1"/>
      <w:marLeft w:val="0"/>
      <w:marRight w:val="0"/>
      <w:marTop w:val="0"/>
      <w:marBottom w:val="0"/>
      <w:divBdr>
        <w:top w:val="none" w:sz="0" w:space="0" w:color="auto"/>
        <w:left w:val="none" w:sz="0" w:space="0" w:color="auto"/>
        <w:bottom w:val="none" w:sz="0" w:space="0" w:color="auto"/>
        <w:right w:val="none" w:sz="0" w:space="0" w:color="auto"/>
      </w:divBdr>
    </w:div>
    <w:div w:id="971785319">
      <w:bodyDiv w:val="1"/>
      <w:marLeft w:val="0"/>
      <w:marRight w:val="0"/>
      <w:marTop w:val="0"/>
      <w:marBottom w:val="0"/>
      <w:divBdr>
        <w:top w:val="none" w:sz="0" w:space="0" w:color="auto"/>
        <w:left w:val="none" w:sz="0" w:space="0" w:color="auto"/>
        <w:bottom w:val="none" w:sz="0" w:space="0" w:color="auto"/>
        <w:right w:val="none" w:sz="0" w:space="0" w:color="auto"/>
      </w:divBdr>
    </w:div>
    <w:div w:id="979650957">
      <w:bodyDiv w:val="1"/>
      <w:marLeft w:val="0"/>
      <w:marRight w:val="0"/>
      <w:marTop w:val="0"/>
      <w:marBottom w:val="0"/>
      <w:divBdr>
        <w:top w:val="none" w:sz="0" w:space="0" w:color="auto"/>
        <w:left w:val="none" w:sz="0" w:space="0" w:color="auto"/>
        <w:bottom w:val="none" w:sz="0" w:space="0" w:color="auto"/>
        <w:right w:val="none" w:sz="0" w:space="0" w:color="auto"/>
      </w:divBdr>
    </w:div>
    <w:div w:id="979771026">
      <w:bodyDiv w:val="1"/>
      <w:marLeft w:val="0"/>
      <w:marRight w:val="0"/>
      <w:marTop w:val="0"/>
      <w:marBottom w:val="0"/>
      <w:divBdr>
        <w:top w:val="none" w:sz="0" w:space="0" w:color="auto"/>
        <w:left w:val="none" w:sz="0" w:space="0" w:color="auto"/>
        <w:bottom w:val="none" w:sz="0" w:space="0" w:color="auto"/>
        <w:right w:val="none" w:sz="0" w:space="0" w:color="auto"/>
      </w:divBdr>
    </w:div>
    <w:div w:id="980883263">
      <w:bodyDiv w:val="1"/>
      <w:marLeft w:val="0"/>
      <w:marRight w:val="0"/>
      <w:marTop w:val="0"/>
      <w:marBottom w:val="0"/>
      <w:divBdr>
        <w:top w:val="none" w:sz="0" w:space="0" w:color="auto"/>
        <w:left w:val="none" w:sz="0" w:space="0" w:color="auto"/>
        <w:bottom w:val="none" w:sz="0" w:space="0" w:color="auto"/>
        <w:right w:val="none" w:sz="0" w:space="0" w:color="auto"/>
      </w:divBdr>
    </w:div>
    <w:div w:id="993608891">
      <w:bodyDiv w:val="1"/>
      <w:marLeft w:val="0"/>
      <w:marRight w:val="0"/>
      <w:marTop w:val="0"/>
      <w:marBottom w:val="0"/>
      <w:divBdr>
        <w:top w:val="none" w:sz="0" w:space="0" w:color="auto"/>
        <w:left w:val="none" w:sz="0" w:space="0" w:color="auto"/>
        <w:bottom w:val="none" w:sz="0" w:space="0" w:color="auto"/>
        <w:right w:val="none" w:sz="0" w:space="0" w:color="auto"/>
      </w:divBdr>
    </w:div>
    <w:div w:id="997072233">
      <w:bodyDiv w:val="1"/>
      <w:marLeft w:val="0"/>
      <w:marRight w:val="0"/>
      <w:marTop w:val="0"/>
      <w:marBottom w:val="0"/>
      <w:divBdr>
        <w:top w:val="none" w:sz="0" w:space="0" w:color="auto"/>
        <w:left w:val="none" w:sz="0" w:space="0" w:color="auto"/>
        <w:bottom w:val="none" w:sz="0" w:space="0" w:color="auto"/>
        <w:right w:val="none" w:sz="0" w:space="0" w:color="auto"/>
      </w:divBdr>
    </w:div>
    <w:div w:id="1001348873">
      <w:bodyDiv w:val="1"/>
      <w:marLeft w:val="0"/>
      <w:marRight w:val="0"/>
      <w:marTop w:val="0"/>
      <w:marBottom w:val="0"/>
      <w:divBdr>
        <w:top w:val="none" w:sz="0" w:space="0" w:color="auto"/>
        <w:left w:val="none" w:sz="0" w:space="0" w:color="auto"/>
        <w:bottom w:val="none" w:sz="0" w:space="0" w:color="auto"/>
        <w:right w:val="none" w:sz="0" w:space="0" w:color="auto"/>
      </w:divBdr>
    </w:div>
    <w:div w:id="1008363408">
      <w:marLeft w:val="0"/>
      <w:marRight w:val="0"/>
      <w:marTop w:val="0"/>
      <w:marBottom w:val="0"/>
      <w:divBdr>
        <w:top w:val="none" w:sz="0" w:space="0" w:color="auto"/>
        <w:left w:val="none" w:sz="0" w:space="0" w:color="auto"/>
        <w:bottom w:val="none" w:sz="0" w:space="0" w:color="auto"/>
        <w:right w:val="none" w:sz="0" w:space="0" w:color="auto"/>
      </w:divBdr>
    </w:div>
    <w:div w:id="1011182657">
      <w:bodyDiv w:val="1"/>
      <w:marLeft w:val="0"/>
      <w:marRight w:val="0"/>
      <w:marTop w:val="0"/>
      <w:marBottom w:val="0"/>
      <w:divBdr>
        <w:top w:val="none" w:sz="0" w:space="0" w:color="auto"/>
        <w:left w:val="none" w:sz="0" w:space="0" w:color="auto"/>
        <w:bottom w:val="none" w:sz="0" w:space="0" w:color="auto"/>
        <w:right w:val="none" w:sz="0" w:space="0" w:color="auto"/>
      </w:divBdr>
    </w:div>
    <w:div w:id="1011646103">
      <w:bodyDiv w:val="1"/>
      <w:marLeft w:val="0"/>
      <w:marRight w:val="0"/>
      <w:marTop w:val="0"/>
      <w:marBottom w:val="0"/>
      <w:divBdr>
        <w:top w:val="none" w:sz="0" w:space="0" w:color="auto"/>
        <w:left w:val="none" w:sz="0" w:space="0" w:color="auto"/>
        <w:bottom w:val="none" w:sz="0" w:space="0" w:color="auto"/>
        <w:right w:val="none" w:sz="0" w:space="0" w:color="auto"/>
      </w:divBdr>
    </w:div>
    <w:div w:id="1014302621">
      <w:bodyDiv w:val="1"/>
      <w:marLeft w:val="0"/>
      <w:marRight w:val="0"/>
      <w:marTop w:val="0"/>
      <w:marBottom w:val="0"/>
      <w:divBdr>
        <w:top w:val="none" w:sz="0" w:space="0" w:color="auto"/>
        <w:left w:val="none" w:sz="0" w:space="0" w:color="auto"/>
        <w:bottom w:val="none" w:sz="0" w:space="0" w:color="auto"/>
        <w:right w:val="none" w:sz="0" w:space="0" w:color="auto"/>
      </w:divBdr>
    </w:div>
    <w:div w:id="1015956499">
      <w:bodyDiv w:val="1"/>
      <w:marLeft w:val="0"/>
      <w:marRight w:val="0"/>
      <w:marTop w:val="0"/>
      <w:marBottom w:val="0"/>
      <w:divBdr>
        <w:top w:val="none" w:sz="0" w:space="0" w:color="auto"/>
        <w:left w:val="none" w:sz="0" w:space="0" w:color="auto"/>
        <w:bottom w:val="none" w:sz="0" w:space="0" w:color="auto"/>
        <w:right w:val="none" w:sz="0" w:space="0" w:color="auto"/>
      </w:divBdr>
    </w:div>
    <w:div w:id="1033263732">
      <w:bodyDiv w:val="1"/>
      <w:marLeft w:val="0"/>
      <w:marRight w:val="0"/>
      <w:marTop w:val="0"/>
      <w:marBottom w:val="0"/>
      <w:divBdr>
        <w:top w:val="none" w:sz="0" w:space="0" w:color="auto"/>
        <w:left w:val="none" w:sz="0" w:space="0" w:color="auto"/>
        <w:bottom w:val="none" w:sz="0" w:space="0" w:color="auto"/>
        <w:right w:val="none" w:sz="0" w:space="0" w:color="auto"/>
      </w:divBdr>
    </w:div>
    <w:div w:id="1033848232">
      <w:bodyDiv w:val="1"/>
      <w:marLeft w:val="0"/>
      <w:marRight w:val="0"/>
      <w:marTop w:val="0"/>
      <w:marBottom w:val="0"/>
      <w:divBdr>
        <w:top w:val="none" w:sz="0" w:space="0" w:color="auto"/>
        <w:left w:val="none" w:sz="0" w:space="0" w:color="auto"/>
        <w:bottom w:val="none" w:sz="0" w:space="0" w:color="auto"/>
        <w:right w:val="none" w:sz="0" w:space="0" w:color="auto"/>
      </w:divBdr>
    </w:div>
    <w:div w:id="1042175949">
      <w:bodyDiv w:val="1"/>
      <w:marLeft w:val="0"/>
      <w:marRight w:val="0"/>
      <w:marTop w:val="0"/>
      <w:marBottom w:val="0"/>
      <w:divBdr>
        <w:top w:val="none" w:sz="0" w:space="0" w:color="auto"/>
        <w:left w:val="none" w:sz="0" w:space="0" w:color="auto"/>
        <w:bottom w:val="none" w:sz="0" w:space="0" w:color="auto"/>
        <w:right w:val="none" w:sz="0" w:space="0" w:color="auto"/>
      </w:divBdr>
    </w:div>
    <w:div w:id="1050957034">
      <w:bodyDiv w:val="1"/>
      <w:marLeft w:val="0"/>
      <w:marRight w:val="0"/>
      <w:marTop w:val="0"/>
      <w:marBottom w:val="0"/>
      <w:divBdr>
        <w:top w:val="none" w:sz="0" w:space="0" w:color="auto"/>
        <w:left w:val="none" w:sz="0" w:space="0" w:color="auto"/>
        <w:bottom w:val="none" w:sz="0" w:space="0" w:color="auto"/>
        <w:right w:val="none" w:sz="0" w:space="0" w:color="auto"/>
      </w:divBdr>
    </w:div>
    <w:div w:id="1059399920">
      <w:bodyDiv w:val="1"/>
      <w:marLeft w:val="0"/>
      <w:marRight w:val="0"/>
      <w:marTop w:val="0"/>
      <w:marBottom w:val="0"/>
      <w:divBdr>
        <w:top w:val="none" w:sz="0" w:space="0" w:color="auto"/>
        <w:left w:val="none" w:sz="0" w:space="0" w:color="auto"/>
        <w:bottom w:val="none" w:sz="0" w:space="0" w:color="auto"/>
        <w:right w:val="none" w:sz="0" w:space="0" w:color="auto"/>
      </w:divBdr>
    </w:div>
    <w:div w:id="1060441677">
      <w:bodyDiv w:val="1"/>
      <w:marLeft w:val="0"/>
      <w:marRight w:val="0"/>
      <w:marTop w:val="0"/>
      <w:marBottom w:val="0"/>
      <w:divBdr>
        <w:top w:val="none" w:sz="0" w:space="0" w:color="auto"/>
        <w:left w:val="none" w:sz="0" w:space="0" w:color="auto"/>
        <w:bottom w:val="none" w:sz="0" w:space="0" w:color="auto"/>
        <w:right w:val="none" w:sz="0" w:space="0" w:color="auto"/>
      </w:divBdr>
    </w:div>
    <w:div w:id="1064181023">
      <w:bodyDiv w:val="1"/>
      <w:marLeft w:val="0"/>
      <w:marRight w:val="0"/>
      <w:marTop w:val="0"/>
      <w:marBottom w:val="0"/>
      <w:divBdr>
        <w:top w:val="none" w:sz="0" w:space="0" w:color="auto"/>
        <w:left w:val="none" w:sz="0" w:space="0" w:color="auto"/>
        <w:bottom w:val="none" w:sz="0" w:space="0" w:color="auto"/>
        <w:right w:val="none" w:sz="0" w:space="0" w:color="auto"/>
      </w:divBdr>
    </w:div>
    <w:div w:id="1068111685">
      <w:bodyDiv w:val="1"/>
      <w:marLeft w:val="0"/>
      <w:marRight w:val="0"/>
      <w:marTop w:val="0"/>
      <w:marBottom w:val="0"/>
      <w:divBdr>
        <w:top w:val="none" w:sz="0" w:space="0" w:color="auto"/>
        <w:left w:val="none" w:sz="0" w:space="0" w:color="auto"/>
        <w:bottom w:val="none" w:sz="0" w:space="0" w:color="auto"/>
        <w:right w:val="none" w:sz="0" w:space="0" w:color="auto"/>
      </w:divBdr>
    </w:div>
    <w:div w:id="1070496928">
      <w:bodyDiv w:val="1"/>
      <w:marLeft w:val="0"/>
      <w:marRight w:val="0"/>
      <w:marTop w:val="0"/>
      <w:marBottom w:val="0"/>
      <w:divBdr>
        <w:top w:val="none" w:sz="0" w:space="0" w:color="auto"/>
        <w:left w:val="none" w:sz="0" w:space="0" w:color="auto"/>
        <w:bottom w:val="none" w:sz="0" w:space="0" w:color="auto"/>
        <w:right w:val="none" w:sz="0" w:space="0" w:color="auto"/>
      </w:divBdr>
    </w:div>
    <w:div w:id="1070737528">
      <w:bodyDiv w:val="1"/>
      <w:marLeft w:val="0"/>
      <w:marRight w:val="0"/>
      <w:marTop w:val="0"/>
      <w:marBottom w:val="0"/>
      <w:divBdr>
        <w:top w:val="none" w:sz="0" w:space="0" w:color="auto"/>
        <w:left w:val="none" w:sz="0" w:space="0" w:color="auto"/>
        <w:bottom w:val="none" w:sz="0" w:space="0" w:color="auto"/>
        <w:right w:val="none" w:sz="0" w:space="0" w:color="auto"/>
      </w:divBdr>
    </w:div>
    <w:div w:id="1073308096">
      <w:bodyDiv w:val="1"/>
      <w:marLeft w:val="0"/>
      <w:marRight w:val="0"/>
      <w:marTop w:val="0"/>
      <w:marBottom w:val="0"/>
      <w:divBdr>
        <w:top w:val="none" w:sz="0" w:space="0" w:color="auto"/>
        <w:left w:val="none" w:sz="0" w:space="0" w:color="auto"/>
        <w:bottom w:val="none" w:sz="0" w:space="0" w:color="auto"/>
        <w:right w:val="none" w:sz="0" w:space="0" w:color="auto"/>
      </w:divBdr>
    </w:div>
    <w:div w:id="1082215402">
      <w:bodyDiv w:val="1"/>
      <w:marLeft w:val="0"/>
      <w:marRight w:val="0"/>
      <w:marTop w:val="0"/>
      <w:marBottom w:val="0"/>
      <w:divBdr>
        <w:top w:val="none" w:sz="0" w:space="0" w:color="auto"/>
        <w:left w:val="none" w:sz="0" w:space="0" w:color="auto"/>
        <w:bottom w:val="none" w:sz="0" w:space="0" w:color="auto"/>
        <w:right w:val="none" w:sz="0" w:space="0" w:color="auto"/>
      </w:divBdr>
    </w:div>
    <w:div w:id="1087923671">
      <w:bodyDiv w:val="1"/>
      <w:marLeft w:val="0"/>
      <w:marRight w:val="0"/>
      <w:marTop w:val="0"/>
      <w:marBottom w:val="0"/>
      <w:divBdr>
        <w:top w:val="none" w:sz="0" w:space="0" w:color="auto"/>
        <w:left w:val="none" w:sz="0" w:space="0" w:color="auto"/>
        <w:bottom w:val="none" w:sz="0" w:space="0" w:color="auto"/>
        <w:right w:val="none" w:sz="0" w:space="0" w:color="auto"/>
      </w:divBdr>
    </w:div>
    <w:div w:id="1089036198">
      <w:bodyDiv w:val="1"/>
      <w:marLeft w:val="0"/>
      <w:marRight w:val="0"/>
      <w:marTop w:val="0"/>
      <w:marBottom w:val="0"/>
      <w:divBdr>
        <w:top w:val="none" w:sz="0" w:space="0" w:color="auto"/>
        <w:left w:val="none" w:sz="0" w:space="0" w:color="auto"/>
        <w:bottom w:val="none" w:sz="0" w:space="0" w:color="auto"/>
        <w:right w:val="none" w:sz="0" w:space="0" w:color="auto"/>
      </w:divBdr>
    </w:div>
    <w:div w:id="1089620137">
      <w:bodyDiv w:val="1"/>
      <w:marLeft w:val="0"/>
      <w:marRight w:val="0"/>
      <w:marTop w:val="0"/>
      <w:marBottom w:val="0"/>
      <w:divBdr>
        <w:top w:val="none" w:sz="0" w:space="0" w:color="auto"/>
        <w:left w:val="none" w:sz="0" w:space="0" w:color="auto"/>
        <w:bottom w:val="none" w:sz="0" w:space="0" w:color="auto"/>
        <w:right w:val="none" w:sz="0" w:space="0" w:color="auto"/>
      </w:divBdr>
      <w:divsChild>
        <w:div w:id="1303194061">
          <w:marLeft w:val="0"/>
          <w:marRight w:val="0"/>
          <w:marTop w:val="0"/>
          <w:marBottom w:val="0"/>
          <w:divBdr>
            <w:top w:val="none" w:sz="0" w:space="0" w:color="auto"/>
            <w:left w:val="none" w:sz="0" w:space="0" w:color="auto"/>
            <w:bottom w:val="none" w:sz="0" w:space="0" w:color="auto"/>
            <w:right w:val="none" w:sz="0" w:space="0" w:color="auto"/>
          </w:divBdr>
        </w:div>
      </w:divsChild>
    </w:div>
    <w:div w:id="1091201787">
      <w:bodyDiv w:val="1"/>
      <w:marLeft w:val="0"/>
      <w:marRight w:val="0"/>
      <w:marTop w:val="0"/>
      <w:marBottom w:val="0"/>
      <w:divBdr>
        <w:top w:val="none" w:sz="0" w:space="0" w:color="auto"/>
        <w:left w:val="none" w:sz="0" w:space="0" w:color="auto"/>
        <w:bottom w:val="none" w:sz="0" w:space="0" w:color="auto"/>
        <w:right w:val="none" w:sz="0" w:space="0" w:color="auto"/>
      </w:divBdr>
    </w:div>
    <w:div w:id="1114983161">
      <w:bodyDiv w:val="1"/>
      <w:marLeft w:val="0"/>
      <w:marRight w:val="0"/>
      <w:marTop w:val="0"/>
      <w:marBottom w:val="0"/>
      <w:divBdr>
        <w:top w:val="none" w:sz="0" w:space="0" w:color="auto"/>
        <w:left w:val="none" w:sz="0" w:space="0" w:color="auto"/>
        <w:bottom w:val="none" w:sz="0" w:space="0" w:color="auto"/>
        <w:right w:val="none" w:sz="0" w:space="0" w:color="auto"/>
      </w:divBdr>
      <w:divsChild>
        <w:div w:id="530145802">
          <w:marLeft w:val="0"/>
          <w:marRight w:val="0"/>
          <w:marTop w:val="0"/>
          <w:marBottom w:val="0"/>
          <w:divBdr>
            <w:top w:val="none" w:sz="0" w:space="0" w:color="auto"/>
            <w:left w:val="none" w:sz="0" w:space="0" w:color="auto"/>
            <w:bottom w:val="none" w:sz="0" w:space="0" w:color="auto"/>
            <w:right w:val="none" w:sz="0" w:space="0" w:color="auto"/>
          </w:divBdr>
        </w:div>
      </w:divsChild>
    </w:div>
    <w:div w:id="1124615207">
      <w:bodyDiv w:val="1"/>
      <w:marLeft w:val="0"/>
      <w:marRight w:val="0"/>
      <w:marTop w:val="0"/>
      <w:marBottom w:val="0"/>
      <w:divBdr>
        <w:top w:val="none" w:sz="0" w:space="0" w:color="auto"/>
        <w:left w:val="none" w:sz="0" w:space="0" w:color="auto"/>
        <w:bottom w:val="none" w:sz="0" w:space="0" w:color="auto"/>
        <w:right w:val="none" w:sz="0" w:space="0" w:color="auto"/>
      </w:divBdr>
    </w:div>
    <w:div w:id="1131093124">
      <w:bodyDiv w:val="1"/>
      <w:marLeft w:val="0"/>
      <w:marRight w:val="0"/>
      <w:marTop w:val="0"/>
      <w:marBottom w:val="0"/>
      <w:divBdr>
        <w:top w:val="none" w:sz="0" w:space="0" w:color="auto"/>
        <w:left w:val="none" w:sz="0" w:space="0" w:color="auto"/>
        <w:bottom w:val="none" w:sz="0" w:space="0" w:color="auto"/>
        <w:right w:val="none" w:sz="0" w:space="0" w:color="auto"/>
      </w:divBdr>
    </w:div>
    <w:div w:id="1133911815">
      <w:bodyDiv w:val="1"/>
      <w:marLeft w:val="0"/>
      <w:marRight w:val="0"/>
      <w:marTop w:val="0"/>
      <w:marBottom w:val="0"/>
      <w:divBdr>
        <w:top w:val="none" w:sz="0" w:space="0" w:color="auto"/>
        <w:left w:val="none" w:sz="0" w:space="0" w:color="auto"/>
        <w:bottom w:val="none" w:sz="0" w:space="0" w:color="auto"/>
        <w:right w:val="none" w:sz="0" w:space="0" w:color="auto"/>
      </w:divBdr>
    </w:div>
    <w:div w:id="1148328441">
      <w:bodyDiv w:val="1"/>
      <w:marLeft w:val="0"/>
      <w:marRight w:val="0"/>
      <w:marTop w:val="0"/>
      <w:marBottom w:val="0"/>
      <w:divBdr>
        <w:top w:val="none" w:sz="0" w:space="0" w:color="auto"/>
        <w:left w:val="none" w:sz="0" w:space="0" w:color="auto"/>
        <w:bottom w:val="none" w:sz="0" w:space="0" w:color="auto"/>
        <w:right w:val="none" w:sz="0" w:space="0" w:color="auto"/>
      </w:divBdr>
      <w:divsChild>
        <w:div w:id="1897087796">
          <w:marLeft w:val="0"/>
          <w:marRight w:val="0"/>
          <w:marTop w:val="0"/>
          <w:marBottom w:val="0"/>
          <w:divBdr>
            <w:top w:val="none" w:sz="0" w:space="0" w:color="auto"/>
            <w:left w:val="none" w:sz="0" w:space="0" w:color="auto"/>
            <w:bottom w:val="none" w:sz="0" w:space="0" w:color="auto"/>
            <w:right w:val="none" w:sz="0" w:space="0" w:color="auto"/>
          </w:divBdr>
          <w:divsChild>
            <w:div w:id="1533692602">
              <w:marLeft w:val="0"/>
              <w:marRight w:val="0"/>
              <w:marTop w:val="0"/>
              <w:marBottom w:val="0"/>
              <w:divBdr>
                <w:top w:val="none" w:sz="0" w:space="0" w:color="auto"/>
                <w:left w:val="none" w:sz="0" w:space="0" w:color="auto"/>
                <w:bottom w:val="none" w:sz="0" w:space="0" w:color="auto"/>
                <w:right w:val="none" w:sz="0" w:space="0" w:color="auto"/>
              </w:divBdr>
              <w:divsChild>
                <w:div w:id="403652261">
                  <w:marLeft w:val="0"/>
                  <w:marRight w:val="0"/>
                  <w:marTop w:val="0"/>
                  <w:marBottom w:val="0"/>
                  <w:divBdr>
                    <w:top w:val="none" w:sz="0" w:space="0" w:color="auto"/>
                    <w:left w:val="none" w:sz="0" w:space="0" w:color="auto"/>
                    <w:bottom w:val="none" w:sz="0" w:space="0" w:color="auto"/>
                    <w:right w:val="none" w:sz="0" w:space="0" w:color="auto"/>
                  </w:divBdr>
                  <w:divsChild>
                    <w:div w:id="390932053">
                      <w:marLeft w:val="0"/>
                      <w:marRight w:val="0"/>
                      <w:marTop w:val="0"/>
                      <w:marBottom w:val="0"/>
                      <w:divBdr>
                        <w:top w:val="none" w:sz="0" w:space="0" w:color="auto"/>
                        <w:left w:val="none" w:sz="0" w:space="0" w:color="auto"/>
                        <w:bottom w:val="none" w:sz="0" w:space="0" w:color="auto"/>
                        <w:right w:val="none" w:sz="0" w:space="0" w:color="auto"/>
                      </w:divBdr>
                      <w:divsChild>
                        <w:div w:id="311522723">
                          <w:marLeft w:val="0"/>
                          <w:marRight w:val="0"/>
                          <w:marTop w:val="0"/>
                          <w:marBottom w:val="0"/>
                          <w:divBdr>
                            <w:top w:val="none" w:sz="0" w:space="0" w:color="auto"/>
                            <w:left w:val="none" w:sz="0" w:space="0" w:color="auto"/>
                            <w:bottom w:val="none" w:sz="0" w:space="0" w:color="auto"/>
                            <w:right w:val="none" w:sz="0" w:space="0" w:color="auto"/>
                          </w:divBdr>
                          <w:divsChild>
                            <w:div w:id="853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681089">
      <w:bodyDiv w:val="1"/>
      <w:marLeft w:val="0"/>
      <w:marRight w:val="0"/>
      <w:marTop w:val="0"/>
      <w:marBottom w:val="0"/>
      <w:divBdr>
        <w:top w:val="none" w:sz="0" w:space="0" w:color="auto"/>
        <w:left w:val="none" w:sz="0" w:space="0" w:color="auto"/>
        <w:bottom w:val="none" w:sz="0" w:space="0" w:color="auto"/>
        <w:right w:val="none" w:sz="0" w:space="0" w:color="auto"/>
      </w:divBdr>
    </w:div>
    <w:div w:id="1153332260">
      <w:bodyDiv w:val="1"/>
      <w:marLeft w:val="0"/>
      <w:marRight w:val="0"/>
      <w:marTop w:val="0"/>
      <w:marBottom w:val="0"/>
      <w:divBdr>
        <w:top w:val="none" w:sz="0" w:space="0" w:color="auto"/>
        <w:left w:val="none" w:sz="0" w:space="0" w:color="auto"/>
        <w:bottom w:val="none" w:sz="0" w:space="0" w:color="auto"/>
        <w:right w:val="none" w:sz="0" w:space="0" w:color="auto"/>
      </w:divBdr>
    </w:div>
    <w:div w:id="1157765303">
      <w:bodyDiv w:val="1"/>
      <w:marLeft w:val="0"/>
      <w:marRight w:val="0"/>
      <w:marTop w:val="0"/>
      <w:marBottom w:val="0"/>
      <w:divBdr>
        <w:top w:val="none" w:sz="0" w:space="0" w:color="auto"/>
        <w:left w:val="none" w:sz="0" w:space="0" w:color="auto"/>
        <w:bottom w:val="none" w:sz="0" w:space="0" w:color="auto"/>
        <w:right w:val="none" w:sz="0" w:space="0" w:color="auto"/>
      </w:divBdr>
    </w:div>
    <w:div w:id="1162313159">
      <w:bodyDiv w:val="1"/>
      <w:marLeft w:val="0"/>
      <w:marRight w:val="0"/>
      <w:marTop w:val="0"/>
      <w:marBottom w:val="0"/>
      <w:divBdr>
        <w:top w:val="none" w:sz="0" w:space="0" w:color="auto"/>
        <w:left w:val="none" w:sz="0" w:space="0" w:color="auto"/>
        <w:bottom w:val="none" w:sz="0" w:space="0" w:color="auto"/>
        <w:right w:val="none" w:sz="0" w:space="0" w:color="auto"/>
      </w:divBdr>
    </w:div>
    <w:div w:id="1169756794">
      <w:marLeft w:val="0"/>
      <w:marRight w:val="0"/>
      <w:marTop w:val="0"/>
      <w:marBottom w:val="0"/>
      <w:divBdr>
        <w:top w:val="none" w:sz="0" w:space="0" w:color="auto"/>
        <w:left w:val="none" w:sz="0" w:space="0" w:color="auto"/>
        <w:bottom w:val="none" w:sz="0" w:space="0" w:color="auto"/>
        <w:right w:val="none" w:sz="0" w:space="0" w:color="auto"/>
      </w:divBdr>
    </w:div>
    <w:div w:id="1175269439">
      <w:bodyDiv w:val="1"/>
      <w:marLeft w:val="0"/>
      <w:marRight w:val="0"/>
      <w:marTop w:val="0"/>
      <w:marBottom w:val="0"/>
      <w:divBdr>
        <w:top w:val="none" w:sz="0" w:space="0" w:color="auto"/>
        <w:left w:val="none" w:sz="0" w:space="0" w:color="auto"/>
        <w:bottom w:val="none" w:sz="0" w:space="0" w:color="auto"/>
        <w:right w:val="none" w:sz="0" w:space="0" w:color="auto"/>
      </w:divBdr>
    </w:div>
    <w:div w:id="1178696249">
      <w:bodyDiv w:val="1"/>
      <w:marLeft w:val="0"/>
      <w:marRight w:val="0"/>
      <w:marTop w:val="0"/>
      <w:marBottom w:val="0"/>
      <w:divBdr>
        <w:top w:val="none" w:sz="0" w:space="0" w:color="auto"/>
        <w:left w:val="none" w:sz="0" w:space="0" w:color="auto"/>
        <w:bottom w:val="none" w:sz="0" w:space="0" w:color="auto"/>
        <w:right w:val="none" w:sz="0" w:space="0" w:color="auto"/>
      </w:divBdr>
    </w:div>
    <w:div w:id="1181578910">
      <w:bodyDiv w:val="1"/>
      <w:marLeft w:val="0"/>
      <w:marRight w:val="0"/>
      <w:marTop w:val="0"/>
      <w:marBottom w:val="0"/>
      <w:divBdr>
        <w:top w:val="none" w:sz="0" w:space="0" w:color="auto"/>
        <w:left w:val="none" w:sz="0" w:space="0" w:color="auto"/>
        <w:bottom w:val="none" w:sz="0" w:space="0" w:color="auto"/>
        <w:right w:val="none" w:sz="0" w:space="0" w:color="auto"/>
      </w:divBdr>
    </w:div>
    <w:div w:id="1203133775">
      <w:bodyDiv w:val="1"/>
      <w:marLeft w:val="0"/>
      <w:marRight w:val="0"/>
      <w:marTop w:val="0"/>
      <w:marBottom w:val="0"/>
      <w:divBdr>
        <w:top w:val="none" w:sz="0" w:space="0" w:color="auto"/>
        <w:left w:val="none" w:sz="0" w:space="0" w:color="auto"/>
        <w:bottom w:val="none" w:sz="0" w:space="0" w:color="auto"/>
        <w:right w:val="none" w:sz="0" w:space="0" w:color="auto"/>
      </w:divBdr>
    </w:div>
    <w:div w:id="1205093753">
      <w:bodyDiv w:val="1"/>
      <w:marLeft w:val="0"/>
      <w:marRight w:val="0"/>
      <w:marTop w:val="0"/>
      <w:marBottom w:val="0"/>
      <w:divBdr>
        <w:top w:val="none" w:sz="0" w:space="0" w:color="auto"/>
        <w:left w:val="none" w:sz="0" w:space="0" w:color="auto"/>
        <w:bottom w:val="none" w:sz="0" w:space="0" w:color="auto"/>
        <w:right w:val="none" w:sz="0" w:space="0" w:color="auto"/>
      </w:divBdr>
    </w:div>
    <w:div w:id="1210534114">
      <w:bodyDiv w:val="1"/>
      <w:marLeft w:val="0"/>
      <w:marRight w:val="0"/>
      <w:marTop w:val="0"/>
      <w:marBottom w:val="0"/>
      <w:divBdr>
        <w:top w:val="none" w:sz="0" w:space="0" w:color="auto"/>
        <w:left w:val="none" w:sz="0" w:space="0" w:color="auto"/>
        <w:bottom w:val="none" w:sz="0" w:space="0" w:color="auto"/>
        <w:right w:val="none" w:sz="0" w:space="0" w:color="auto"/>
      </w:divBdr>
    </w:div>
    <w:div w:id="1222399807">
      <w:bodyDiv w:val="1"/>
      <w:marLeft w:val="0"/>
      <w:marRight w:val="0"/>
      <w:marTop w:val="0"/>
      <w:marBottom w:val="0"/>
      <w:divBdr>
        <w:top w:val="none" w:sz="0" w:space="0" w:color="auto"/>
        <w:left w:val="none" w:sz="0" w:space="0" w:color="auto"/>
        <w:bottom w:val="none" w:sz="0" w:space="0" w:color="auto"/>
        <w:right w:val="none" w:sz="0" w:space="0" w:color="auto"/>
      </w:divBdr>
    </w:div>
    <w:div w:id="1223832981">
      <w:bodyDiv w:val="1"/>
      <w:marLeft w:val="0"/>
      <w:marRight w:val="0"/>
      <w:marTop w:val="0"/>
      <w:marBottom w:val="0"/>
      <w:divBdr>
        <w:top w:val="none" w:sz="0" w:space="0" w:color="auto"/>
        <w:left w:val="none" w:sz="0" w:space="0" w:color="auto"/>
        <w:bottom w:val="none" w:sz="0" w:space="0" w:color="auto"/>
        <w:right w:val="none" w:sz="0" w:space="0" w:color="auto"/>
      </w:divBdr>
    </w:div>
    <w:div w:id="1225331290">
      <w:bodyDiv w:val="1"/>
      <w:marLeft w:val="0"/>
      <w:marRight w:val="0"/>
      <w:marTop w:val="0"/>
      <w:marBottom w:val="0"/>
      <w:divBdr>
        <w:top w:val="none" w:sz="0" w:space="0" w:color="auto"/>
        <w:left w:val="none" w:sz="0" w:space="0" w:color="auto"/>
        <w:bottom w:val="none" w:sz="0" w:space="0" w:color="auto"/>
        <w:right w:val="none" w:sz="0" w:space="0" w:color="auto"/>
      </w:divBdr>
    </w:div>
    <w:div w:id="1252545268">
      <w:bodyDiv w:val="1"/>
      <w:marLeft w:val="0"/>
      <w:marRight w:val="0"/>
      <w:marTop w:val="0"/>
      <w:marBottom w:val="0"/>
      <w:divBdr>
        <w:top w:val="none" w:sz="0" w:space="0" w:color="auto"/>
        <w:left w:val="none" w:sz="0" w:space="0" w:color="auto"/>
        <w:bottom w:val="none" w:sz="0" w:space="0" w:color="auto"/>
        <w:right w:val="none" w:sz="0" w:space="0" w:color="auto"/>
      </w:divBdr>
    </w:div>
    <w:div w:id="1262029731">
      <w:bodyDiv w:val="1"/>
      <w:marLeft w:val="0"/>
      <w:marRight w:val="0"/>
      <w:marTop w:val="0"/>
      <w:marBottom w:val="0"/>
      <w:divBdr>
        <w:top w:val="none" w:sz="0" w:space="0" w:color="auto"/>
        <w:left w:val="none" w:sz="0" w:space="0" w:color="auto"/>
        <w:bottom w:val="none" w:sz="0" w:space="0" w:color="auto"/>
        <w:right w:val="none" w:sz="0" w:space="0" w:color="auto"/>
      </w:divBdr>
    </w:div>
    <w:div w:id="1272393430">
      <w:bodyDiv w:val="1"/>
      <w:marLeft w:val="0"/>
      <w:marRight w:val="0"/>
      <w:marTop w:val="0"/>
      <w:marBottom w:val="0"/>
      <w:divBdr>
        <w:top w:val="none" w:sz="0" w:space="0" w:color="auto"/>
        <w:left w:val="none" w:sz="0" w:space="0" w:color="auto"/>
        <w:bottom w:val="none" w:sz="0" w:space="0" w:color="auto"/>
        <w:right w:val="none" w:sz="0" w:space="0" w:color="auto"/>
      </w:divBdr>
    </w:div>
    <w:div w:id="1274823150">
      <w:bodyDiv w:val="1"/>
      <w:marLeft w:val="0"/>
      <w:marRight w:val="0"/>
      <w:marTop w:val="0"/>
      <w:marBottom w:val="0"/>
      <w:divBdr>
        <w:top w:val="none" w:sz="0" w:space="0" w:color="auto"/>
        <w:left w:val="none" w:sz="0" w:space="0" w:color="auto"/>
        <w:bottom w:val="none" w:sz="0" w:space="0" w:color="auto"/>
        <w:right w:val="none" w:sz="0" w:space="0" w:color="auto"/>
      </w:divBdr>
    </w:div>
    <w:div w:id="1276254620">
      <w:bodyDiv w:val="1"/>
      <w:marLeft w:val="0"/>
      <w:marRight w:val="0"/>
      <w:marTop w:val="0"/>
      <w:marBottom w:val="0"/>
      <w:divBdr>
        <w:top w:val="none" w:sz="0" w:space="0" w:color="auto"/>
        <w:left w:val="none" w:sz="0" w:space="0" w:color="auto"/>
        <w:bottom w:val="none" w:sz="0" w:space="0" w:color="auto"/>
        <w:right w:val="none" w:sz="0" w:space="0" w:color="auto"/>
      </w:divBdr>
    </w:div>
    <w:div w:id="1281573958">
      <w:marLeft w:val="0"/>
      <w:marRight w:val="0"/>
      <w:marTop w:val="0"/>
      <w:marBottom w:val="0"/>
      <w:divBdr>
        <w:top w:val="none" w:sz="0" w:space="0" w:color="auto"/>
        <w:left w:val="none" w:sz="0" w:space="0" w:color="auto"/>
        <w:bottom w:val="none" w:sz="0" w:space="0" w:color="auto"/>
        <w:right w:val="none" w:sz="0" w:space="0" w:color="auto"/>
      </w:divBdr>
    </w:div>
    <w:div w:id="1284580305">
      <w:marLeft w:val="0"/>
      <w:marRight w:val="0"/>
      <w:marTop w:val="0"/>
      <w:marBottom w:val="0"/>
      <w:divBdr>
        <w:top w:val="none" w:sz="0" w:space="0" w:color="auto"/>
        <w:left w:val="none" w:sz="0" w:space="0" w:color="auto"/>
        <w:bottom w:val="none" w:sz="0" w:space="0" w:color="auto"/>
        <w:right w:val="none" w:sz="0" w:space="0" w:color="auto"/>
      </w:divBdr>
    </w:div>
    <w:div w:id="1286885065">
      <w:marLeft w:val="0"/>
      <w:marRight w:val="0"/>
      <w:marTop w:val="0"/>
      <w:marBottom w:val="0"/>
      <w:divBdr>
        <w:top w:val="none" w:sz="0" w:space="0" w:color="auto"/>
        <w:left w:val="none" w:sz="0" w:space="0" w:color="auto"/>
        <w:bottom w:val="none" w:sz="0" w:space="0" w:color="auto"/>
        <w:right w:val="none" w:sz="0" w:space="0" w:color="auto"/>
      </w:divBdr>
    </w:div>
    <w:div w:id="1288582824">
      <w:marLeft w:val="0"/>
      <w:marRight w:val="0"/>
      <w:marTop w:val="0"/>
      <w:marBottom w:val="0"/>
      <w:divBdr>
        <w:top w:val="none" w:sz="0" w:space="0" w:color="auto"/>
        <w:left w:val="none" w:sz="0" w:space="0" w:color="auto"/>
        <w:bottom w:val="none" w:sz="0" w:space="0" w:color="auto"/>
        <w:right w:val="none" w:sz="0" w:space="0" w:color="auto"/>
      </w:divBdr>
    </w:div>
    <w:div w:id="1291201662">
      <w:bodyDiv w:val="1"/>
      <w:marLeft w:val="0"/>
      <w:marRight w:val="0"/>
      <w:marTop w:val="0"/>
      <w:marBottom w:val="0"/>
      <w:divBdr>
        <w:top w:val="none" w:sz="0" w:space="0" w:color="auto"/>
        <w:left w:val="none" w:sz="0" w:space="0" w:color="auto"/>
        <w:bottom w:val="none" w:sz="0" w:space="0" w:color="auto"/>
        <w:right w:val="none" w:sz="0" w:space="0" w:color="auto"/>
      </w:divBdr>
    </w:div>
    <w:div w:id="1291861951">
      <w:bodyDiv w:val="1"/>
      <w:marLeft w:val="0"/>
      <w:marRight w:val="0"/>
      <w:marTop w:val="0"/>
      <w:marBottom w:val="0"/>
      <w:divBdr>
        <w:top w:val="none" w:sz="0" w:space="0" w:color="auto"/>
        <w:left w:val="none" w:sz="0" w:space="0" w:color="auto"/>
        <w:bottom w:val="none" w:sz="0" w:space="0" w:color="auto"/>
        <w:right w:val="none" w:sz="0" w:space="0" w:color="auto"/>
      </w:divBdr>
    </w:div>
    <w:div w:id="1292636890">
      <w:bodyDiv w:val="1"/>
      <w:marLeft w:val="0"/>
      <w:marRight w:val="0"/>
      <w:marTop w:val="0"/>
      <w:marBottom w:val="0"/>
      <w:divBdr>
        <w:top w:val="none" w:sz="0" w:space="0" w:color="auto"/>
        <w:left w:val="none" w:sz="0" w:space="0" w:color="auto"/>
        <w:bottom w:val="none" w:sz="0" w:space="0" w:color="auto"/>
        <w:right w:val="none" w:sz="0" w:space="0" w:color="auto"/>
      </w:divBdr>
    </w:div>
    <w:div w:id="1294483436">
      <w:marLeft w:val="0"/>
      <w:marRight w:val="0"/>
      <w:marTop w:val="0"/>
      <w:marBottom w:val="0"/>
      <w:divBdr>
        <w:top w:val="none" w:sz="0" w:space="0" w:color="auto"/>
        <w:left w:val="none" w:sz="0" w:space="0" w:color="auto"/>
        <w:bottom w:val="none" w:sz="0" w:space="0" w:color="auto"/>
        <w:right w:val="none" w:sz="0" w:space="0" w:color="auto"/>
      </w:divBdr>
    </w:div>
    <w:div w:id="1308166032">
      <w:bodyDiv w:val="1"/>
      <w:marLeft w:val="0"/>
      <w:marRight w:val="0"/>
      <w:marTop w:val="0"/>
      <w:marBottom w:val="0"/>
      <w:divBdr>
        <w:top w:val="none" w:sz="0" w:space="0" w:color="auto"/>
        <w:left w:val="none" w:sz="0" w:space="0" w:color="auto"/>
        <w:bottom w:val="none" w:sz="0" w:space="0" w:color="auto"/>
        <w:right w:val="none" w:sz="0" w:space="0" w:color="auto"/>
      </w:divBdr>
    </w:div>
    <w:div w:id="1312324347">
      <w:marLeft w:val="0"/>
      <w:marRight w:val="0"/>
      <w:marTop w:val="0"/>
      <w:marBottom w:val="0"/>
      <w:divBdr>
        <w:top w:val="none" w:sz="0" w:space="0" w:color="auto"/>
        <w:left w:val="none" w:sz="0" w:space="0" w:color="auto"/>
        <w:bottom w:val="none" w:sz="0" w:space="0" w:color="auto"/>
        <w:right w:val="none" w:sz="0" w:space="0" w:color="auto"/>
      </w:divBdr>
    </w:div>
    <w:div w:id="1333140833">
      <w:bodyDiv w:val="1"/>
      <w:marLeft w:val="0"/>
      <w:marRight w:val="0"/>
      <w:marTop w:val="0"/>
      <w:marBottom w:val="0"/>
      <w:divBdr>
        <w:top w:val="none" w:sz="0" w:space="0" w:color="auto"/>
        <w:left w:val="none" w:sz="0" w:space="0" w:color="auto"/>
        <w:bottom w:val="none" w:sz="0" w:space="0" w:color="auto"/>
        <w:right w:val="none" w:sz="0" w:space="0" w:color="auto"/>
      </w:divBdr>
    </w:div>
    <w:div w:id="1333340776">
      <w:bodyDiv w:val="1"/>
      <w:marLeft w:val="0"/>
      <w:marRight w:val="0"/>
      <w:marTop w:val="0"/>
      <w:marBottom w:val="0"/>
      <w:divBdr>
        <w:top w:val="none" w:sz="0" w:space="0" w:color="auto"/>
        <w:left w:val="none" w:sz="0" w:space="0" w:color="auto"/>
        <w:bottom w:val="none" w:sz="0" w:space="0" w:color="auto"/>
        <w:right w:val="none" w:sz="0" w:space="0" w:color="auto"/>
      </w:divBdr>
    </w:div>
    <w:div w:id="1338654998">
      <w:bodyDiv w:val="1"/>
      <w:marLeft w:val="0"/>
      <w:marRight w:val="0"/>
      <w:marTop w:val="0"/>
      <w:marBottom w:val="0"/>
      <w:divBdr>
        <w:top w:val="none" w:sz="0" w:space="0" w:color="auto"/>
        <w:left w:val="none" w:sz="0" w:space="0" w:color="auto"/>
        <w:bottom w:val="none" w:sz="0" w:space="0" w:color="auto"/>
        <w:right w:val="none" w:sz="0" w:space="0" w:color="auto"/>
      </w:divBdr>
    </w:div>
    <w:div w:id="1340893301">
      <w:bodyDiv w:val="1"/>
      <w:marLeft w:val="0"/>
      <w:marRight w:val="0"/>
      <w:marTop w:val="0"/>
      <w:marBottom w:val="0"/>
      <w:divBdr>
        <w:top w:val="none" w:sz="0" w:space="0" w:color="auto"/>
        <w:left w:val="none" w:sz="0" w:space="0" w:color="auto"/>
        <w:bottom w:val="none" w:sz="0" w:space="0" w:color="auto"/>
        <w:right w:val="none" w:sz="0" w:space="0" w:color="auto"/>
      </w:divBdr>
    </w:div>
    <w:div w:id="1348749778">
      <w:marLeft w:val="0"/>
      <w:marRight w:val="0"/>
      <w:marTop w:val="0"/>
      <w:marBottom w:val="0"/>
      <w:divBdr>
        <w:top w:val="none" w:sz="0" w:space="0" w:color="auto"/>
        <w:left w:val="none" w:sz="0" w:space="0" w:color="auto"/>
        <w:bottom w:val="none" w:sz="0" w:space="0" w:color="auto"/>
        <w:right w:val="none" w:sz="0" w:space="0" w:color="auto"/>
      </w:divBdr>
    </w:div>
    <w:div w:id="1348822822">
      <w:marLeft w:val="0"/>
      <w:marRight w:val="0"/>
      <w:marTop w:val="0"/>
      <w:marBottom w:val="0"/>
      <w:divBdr>
        <w:top w:val="none" w:sz="0" w:space="0" w:color="auto"/>
        <w:left w:val="none" w:sz="0" w:space="0" w:color="auto"/>
        <w:bottom w:val="none" w:sz="0" w:space="0" w:color="auto"/>
        <w:right w:val="none" w:sz="0" w:space="0" w:color="auto"/>
      </w:divBdr>
    </w:div>
    <w:div w:id="1366323271">
      <w:bodyDiv w:val="1"/>
      <w:marLeft w:val="0"/>
      <w:marRight w:val="0"/>
      <w:marTop w:val="0"/>
      <w:marBottom w:val="0"/>
      <w:divBdr>
        <w:top w:val="none" w:sz="0" w:space="0" w:color="auto"/>
        <w:left w:val="none" w:sz="0" w:space="0" w:color="auto"/>
        <w:bottom w:val="none" w:sz="0" w:space="0" w:color="auto"/>
        <w:right w:val="none" w:sz="0" w:space="0" w:color="auto"/>
      </w:divBdr>
    </w:div>
    <w:div w:id="1371765257">
      <w:bodyDiv w:val="1"/>
      <w:marLeft w:val="0"/>
      <w:marRight w:val="0"/>
      <w:marTop w:val="0"/>
      <w:marBottom w:val="0"/>
      <w:divBdr>
        <w:top w:val="none" w:sz="0" w:space="0" w:color="auto"/>
        <w:left w:val="none" w:sz="0" w:space="0" w:color="auto"/>
        <w:bottom w:val="none" w:sz="0" w:space="0" w:color="auto"/>
        <w:right w:val="none" w:sz="0" w:space="0" w:color="auto"/>
      </w:divBdr>
    </w:div>
    <w:div w:id="1372804527">
      <w:bodyDiv w:val="1"/>
      <w:marLeft w:val="0"/>
      <w:marRight w:val="0"/>
      <w:marTop w:val="0"/>
      <w:marBottom w:val="0"/>
      <w:divBdr>
        <w:top w:val="none" w:sz="0" w:space="0" w:color="auto"/>
        <w:left w:val="none" w:sz="0" w:space="0" w:color="auto"/>
        <w:bottom w:val="none" w:sz="0" w:space="0" w:color="auto"/>
        <w:right w:val="none" w:sz="0" w:space="0" w:color="auto"/>
      </w:divBdr>
    </w:div>
    <w:div w:id="1385713421">
      <w:marLeft w:val="0"/>
      <w:marRight w:val="0"/>
      <w:marTop w:val="0"/>
      <w:marBottom w:val="0"/>
      <w:divBdr>
        <w:top w:val="none" w:sz="0" w:space="0" w:color="auto"/>
        <w:left w:val="none" w:sz="0" w:space="0" w:color="auto"/>
        <w:bottom w:val="none" w:sz="0" w:space="0" w:color="auto"/>
        <w:right w:val="none" w:sz="0" w:space="0" w:color="auto"/>
      </w:divBdr>
    </w:div>
    <w:div w:id="1397894416">
      <w:marLeft w:val="0"/>
      <w:marRight w:val="0"/>
      <w:marTop w:val="0"/>
      <w:marBottom w:val="0"/>
      <w:divBdr>
        <w:top w:val="none" w:sz="0" w:space="0" w:color="auto"/>
        <w:left w:val="none" w:sz="0" w:space="0" w:color="auto"/>
        <w:bottom w:val="none" w:sz="0" w:space="0" w:color="auto"/>
        <w:right w:val="none" w:sz="0" w:space="0" w:color="auto"/>
      </w:divBdr>
    </w:div>
    <w:div w:id="1438520985">
      <w:bodyDiv w:val="1"/>
      <w:marLeft w:val="0"/>
      <w:marRight w:val="0"/>
      <w:marTop w:val="0"/>
      <w:marBottom w:val="0"/>
      <w:divBdr>
        <w:top w:val="none" w:sz="0" w:space="0" w:color="auto"/>
        <w:left w:val="none" w:sz="0" w:space="0" w:color="auto"/>
        <w:bottom w:val="none" w:sz="0" w:space="0" w:color="auto"/>
        <w:right w:val="none" w:sz="0" w:space="0" w:color="auto"/>
      </w:divBdr>
    </w:div>
    <w:div w:id="1448281187">
      <w:bodyDiv w:val="1"/>
      <w:marLeft w:val="0"/>
      <w:marRight w:val="0"/>
      <w:marTop w:val="0"/>
      <w:marBottom w:val="0"/>
      <w:divBdr>
        <w:top w:val="none" w:sz="0" w:space="0" w:color="auto"/>
        <w:left w:val="none" w:sz="0" w:space="0" w:color="auto"/>
        <w:bottom w:val="none" w:sz="0" w:space="0" w:color="auto"/>
        <w:right w:val="none" w:sz="0" w:space="0" w:color="auto"/>
      </w:divBdr>
    </w:div>
    <w:div w:id="1450853800">
      <w:bodyDiv w:val="1"/>
      <w:marLeft w:val="0"/>
      <w:marRight w:val="0"/>
      <w:marTop w:val="0"/>
      <w:marBottom w:val="0"/>
      <w:divBdr>
        <w:top w:val="none" w:sz="0" w:space="0" w:color="auto"/>
        <w:left w:val="none" w:sz="0" w:space="0" w:color="auto"/>
        <w:bottom w:val="none" w:sz="0" w:space="0" w:color="auto"/>
        <w:right w:val="none" w:sz="0" w:space="0" w:color="auto"/>
      </w:divBdr>
    </w:div>
    <w:div w:id="1451581775">
      <w:bodyDiv w:val="1"/>
      <w:marLeft w:val="0"/>
      <w:marRight w:val="0"/>
      <w:marTop w:val="0"/>
      <w:marBottom w:val="0"/>
      <w:divBdr>
        <w:top w:val="none" w:sz="0" w:space="0" w:color="auto"/>
        <w:left w:val="none" w:sz="0" w:space="0" w:color="auto"/>
        <w:bottom w:val="none" w:sz="0" w:space="0" w:color="auto"/>
        <w:right w:val="none" w:sz="0" w:space="0" w:color="auto"/>
      </w:divBdr>
    </w:div>
    <w:div w:id="1458639584">
      <w:bodyDiv w:val="1"/>
      <w:marLeft w:val="0"/>
      <w:marRight w:val="0"/>
      <w:marTop w:val="0"/>
      <w:marBottom w:val="0"/>
      <w:divBdr>
        <w:top w:val="none" w:sz="0" w:space="0" w:color="auto"/>
        <w:left w:val="none" w:sz="0" w:space="0" w:color="auto"/>
        <w:bottom w:val="none" w:sz="0" w:space="0" w:color="auto"/>
        <w:right w:val="none" w:sz="0" w:space="0" w:color="auto"/>
      </w:divBdr>
    </w:div>
    <w:div w:id="1468934684">
      <w:bodyDiv w:val="1"/>
      <w:marLeft w:val="0"/>
      <w:marRight w:val="0"/>
      <w:marTop w:val="0"/>
      <w:marBottom w:val="0"/>
      <w:divBdr>
        <w:top w:val="none" w:sz="0" w:space="0" w:color="auto"/>
        <w:left w:val="none" w:sz="0" w:space="0" w:color="auto"/>
        <w:bottom w:val="none" w:sz="0" w:space="0" w:color="auto"/>
        <w:right w:val="none" w:sz="0" w:space="0" w:color="auto"/>
      </w:divBdr>
    </w:div>
    <w:div w:id="1472753099">
      <w:bodyDiv w:val="1"/>
      <w:marLeft w:val="0"/>
      <w:marRight w:val="0"/>
      <w:marTop w:val="0"/>
      <w:marBottom w:val="0"/>
      <w:divBdr>
        <w:top w:val="none" w:sz="0" w:space="0" w:color="auto"/>
        <w:left w:val="none" w:sz="0" w:space="0" w:color="auto"/>
        <w:bottom w:val="none" w:sz="0" w:space="0" w:color="auto"/>
        <w:right w:val="none" w:sz="0" w:space="0" w:color="auto"/>
      </w:divBdr>
    </w:div>
    <w:div w:id="1474954179">
      <w:bodyDiv w:val="1"/>
      <w:marLeft w:val="0"/>
      <w:marRight w:val="0"/>
      <w:marTop w:val="0"/>
      <w:marBottom w:val="0"/>
      <w:divBdr>
        <w:top w:val="none" w:sz="0" w:space="0" w:color="auto"/>
        <w:left w:val="none" w:sz="0" w:space="0" w:color="auto"/>
        <w:bottom w:val="none" w:sz="0" w:space="0" w:color="auto"/>
        <w:right w:val="none" w:sz="0" w:space="0" w:color="auto"/>
      </w:divBdr>
    </w:div>
    <w:div w:id="1475484118">
      <w:bodyDiv w:val="1"/>
      <w:marLeft w:val="0"/>
      <w:marRight w:val="0"/>
      <w:marTop w:val="0"/>
      <w:marBottom w:val="0"/>
      <w:divBdr>
        <w:top w:val="none" w:sz="0" w:space="0" w:color="auto"/>
        <w:left w:val="none" w:sz="0" w:space="0" w:color="auto"/>
        <w:bottom w:val="none" w:sz="0" w:space="0" w:color="auto"/>
        <w:right w:val="none" w:sz="0" w:space="0" w:color="auto"/>
      </w:divBdr>
      <w:divsChild>
        <w:div w:id="961576347">
          <w:marLeft w:val="0"/>
          <w:marRight w:val="0"/>
          <w:marTop w:val="0"/>
          <w:marBottom w:val="0"/>
          <w:divBdr>
            <w:top w:val="none" w:sz="0" w:space="0" w:color="auto"/>
            <w:left w:val="none" w:sz="0" w:space="0" w:color="auto"/>
            <w:bottom w:val="none" w:sz="0" w:space="0" w:color="auto"/>
            <w:right w:val="none" w:sz="0" w:space="0" w:color="auto"/>
          </w:divBdr>
        </w:div>
      </w:divsChild>
    </w:div>
    <w:div w:id="1476870324">
      <w:marLeft w:val="0"/>
      <w:marRight w:val="0"/>
      <w:marTop w:val="0"/>
      <w:marBottom w:val="0"/>
      <w:divBdr>
        <w:top w:val="none" w:sz="0" w:space="0" w:color="auto"/>
        <w:left w:val="none" w:sz="0" w:space="0" w:color="auto"/>
        <w:bottom w:val="none" w:sz="0" w:space="0" w:color="auto"/>
        <w:right w:val="none" w:sz="0" w:space="0" w:color="auto"/>
      </w:divBdr>
    </w:div>
    <w:div w:id="1478372809">
      <w:bodyDiv w:val="1"/>
      <w:marLeft w:val="0"/>
      <w:marRight w:val="0"/>
      <w:marTop w:val="0"/>
      <w:marBottom w:val="0"/>
      <w:divBdr>
        <w:top w:val="none" w:sz="0" w:space="0" w:color="auto"/>
        <w:left w:val="none" w:sz="0" w:space="0" w:color="auto"/>
        <w:bottom w:val="none" w:sz="0" w:space="0" w:color="auto"/>
        <w:right w:val="none" w:sz="0" w:space="0" w:color="auto"/>
      </w:divBdr>
    </w:div>
    <w:div w:id="1481534848">
      <w:bodyDiv w:val="1"/>
      <w:marLeft w:val="0"/>
      <w:marRight w:val="0"/>
      <w:marTop w:val="0"/>
      <w:marBottom w:val="0"/>
      <w:divBdr>
        <w:top w:val="none" w:sz="0" w:space="0" w:color="auto"/>
        <w:left w:val="none" w:sz="0" w:space="0" w:color="auto"/>
        <w:bottom w:val="none" w:sz="0" w:space="0" w:color="auto"/>
        <w:right w:val="none" w:sz="0" w:space="0" w:color="auto"/>
      </w:divBdr>
    </w:div>
    <w:div w:id="1482841538">
      <w:bodyDiv w:val="1"/>
      <w:marLeft w:val="0"/>
      <w:marRight w:val="0"/>
      <w:marTop w:val="0"/>
      <w:marBottom w:val="0"/>
      <w:divBdr>
        <w:top w:val="none" w:sz="0" w:space="0" w:color="auto"/>
        <w:left w:val="none" w:sz="0" w:space="0" w:color="auto"/>
        <w:bottom w:val="none" w:sz="0" w:space="0" w:color="auto"/>
        <w:right w:val="none" w:sz="0" w:space="0" w:color="auto"/>
      </w:divBdr>
    </w:div>
    <w:div w:id="1483038743">
      <w:bodyDiv w:val="1"/>
      <w:marLeft w:val="0"/>
      <w:marRight w:val="0"/>
      <w:marTop w:val="0"/>
      <w:marBottom w:val="0"/>
      <w:divBdr>
        <w:top w:val="none" w:sz="0" w:space="0" w:color="auto"/>
        <w:left w:val="none" w:sz="0" w:space="0" w:color="auto"/>
        <w:bottom w:val="none" w:sz="0" w:space="0" w:color="auto"/>
        <w:right w:val="none" w:sz="0" w:space="0" w:color="auto"/>
      </w:divBdr>
    </w:div>
    <w:div w:id="1491214620">
      <w:bodyDiv w:val="1"/>
      <w:marLeft w:val="0"/>
      <w:marRight w:val="0"/>
      <w:marTop w:val="0"/>
      <w:marBottom w:val="0"/>
      <w:divBdr>
        <w:top w:val="none" w:sz="0" w:space="0" w:color="auto"/>
        <w:left w:val="none" w:sz="0" w:space="0" w:color="auto"/>
        <w:bottom w:val="none" w:sz="0" w:space="0" w:color="auto"/>
        <w:right w:val="none" w:sz="0" w:space="0" w:color="auto"/>
      </w:divBdr>
    </w:div>
    <w:div w:id="1495102774">
      <w:bodyDiv w:val="1"/>
      <w:marLeft w:val="0"/>
      <w:marRight w:val="0"/>
      <w:marTop w:val="0"/>
      <w:marBottom w:val="0"/>
      <w:divBdr>
        <w:top w:val="none" w:sz="0" w:space="0" w:color="auto"/>
        <w:left w:val="none" w:sz="0" w:space="0" w:color="auto"/>
        <w:bottom w:val="none" w:sz="0" w:space="0" w:color="auto"/>
        <w:right w:val="none" w:sz="0" w:space="0" w:color="auto"/>
      </w:divBdr>
    </w:div>
    <w:div w:id="1496534055">
      <w:bodyDiv w:val="1"/>
      <w:marLeft w:val="0"/>
      <w:marRight w:val="0"/>
      <w:marTop w:val="0"/>
      <w:marBottom w:val="0"/>
      <w:divBdr>
        <w:top w:val="none" w:sz="0" w:space="0" w:color="auto"/>
        <w:left w:val="none" w:sz="0" w:space="0" w:color="auto"/>
        <w:bottom w:val="none" w:sz="0" w:space="0" w:color="auto"/>
        <w:right w:val="none" w:sz="0" w:space="0" w:color="auto"/>
      </w:divBdr>
    </w:div>
    <w:div w:id="1496608246">
      <w:bodyDiv w:val="1"/>
      <w:marLeft w:val="0"/>
      <w:marRight w:val="0"/>
      <w:marTop w:val="0"/>
      <w:marBottom w:val="0"/>
      <w:divBdr>
        <w:top w:val="none" w:sz="0" w:space="0" w:color="auto"/>
        <w:left w:val="none" w:sz="0" w:space="0" w:color="auto"/>
        <w:bottom w:val="none" w:sz="0" w:space="0" w:color="auto"/>
        <w:right w:val="none" w:sz="0" w:space="0" w:color="auto"/>
      </w:divBdr>
    </w:div>
    <w:div w:id="1498690827">
      <w:marLeft w:val="0"/>
      <w:marRight w:val="0"/>
      <w:marTop w:val="0"/>
      <w:marBottom w:val="0"/>
      <w:divBdr>
        <w:top w:val="none" w:sz="0" w:space="0" w:color="auto"/>
        <w:left w:val="none" w:sz="0" w:space="0" w:color="auto"/>
        <w:bottom w:val="none" w:sz="0" w:space="0" w:color="auto"/>
        <w:right w:val="none" w:sz="0" w:space="0" w:color="auto"/>
      </w:divBdr>
    </w:div>
    <w:div w:id="1507549879">
      <w:bodyDiv w:val="1"/>
      <w:marLeft w:val="0"/>
      <w:marRight w:val="0"/>
      <w:marTop w:val="0"/>
      <w:marBottom w:val="0"/>
      <w:divBdr>
        <w:top w:val="none" w:sz="0" w:space="0" w:color="auto"/>
        <w:left w:val="none" w:sz="0" w:space="0" w:color="auto"/>
        <w:bottom w:val="none" w:sz="0" w:space="0" w:color="auto"/>
        <w:right w:val="none" w:sz="0" w:space="0" w:color="auto"/>
      </w:divBdr>
    </w:div>
    <w:div w:id="1525946009">
      <w:marLeft w:val="0"/>
      <w:marRight w:val="0"/>
      <w:marTop w:val="0"/>
      <w:marBottom w:val="0"/>
      <w:divBdr>
        <w:top w:val="none" w:sz="0" w:space="0" w:color="auto"/>
        <w:left w:val="none" w:sz="0" w:space="0" w:color="auto"/>
        <w:bottom w:val="none" w:sz="0" w:space="0" w:color="auto"/>
        <w:right w:val="none" w:sz="0" w:space="0" w:color="auto"/>
      </w:divBdr>
    </w:div>
    <w:div w:id="1527865537">
      <w:marLeft w:val="0"/>
      <w:marRight w:val="0"/>
      <w:marTop w:val="0"/>
      <w:marBottom w:val="0"/>
      <w:divBdr>
        <w:top w:val="none" w:sz="0" w:space="0" w:color="auto"/>
        <w:left w:val="none" w:sz="0" w:space="0" w:color="auto"/>
        <w:bottom w:val="none" w:sz="0" w:space="0" w:color="auto"/>
        <w:right w:val="none" w:sz="0" w:space="0" w:color="auto"/>
      </w:divBdr>
    </w:div>
    <w:div w:id="1529223099">
      <w:bodyDiv w:val="1"/>
      <w:marLeft w:val="0"/>
      <w:marRight w:val="0"/>
      <w:marTop w:val="0"/>
      <w:marBottom w:val="0"/>
      <w:divBdr>
        <w:top w:val="none" w:sz="0" w:space="0" w:color="auto"/>
        <w:left w:val="none" w:sz="0" w:space="0" w:color="auto"/>
        <w:bottom w:val="none" w:sz="0" w:space="0" w:color="auto"/>
        <w:right w:val="none" w:sz="0" w:space="0" w:color="auto"/>
      </w:divBdr>
    </w:div>
    <w:div w:id="1536118811">
      <w:bodyDiv w:val="1"/>
      <w:marLeft w:val="0"/>
      <w:marRight w:val="0"/>
      <w:marTop w:val="0"/>
      <w:marBottom w:val="0"/>
      <w:divBdr>
        <w:top w:val="none" w:sz="0" w:space="0" w:color="auto"/>
        <w:left w:val="none" w:sz="0" w:space="0" w:color="auto"/>
        <w:bottom w:val="none" w:sz="0" w:space="0" w:color="auto"/>
        <w:right w:val="none" w:sz="0" w:space="0" w:color="auto"/>
      </w:divBdr>
    </w:div>
    <w:div w:id="1542211562">
      <w:bodyDiv w:val="1"/>
      <w:marLeft w:val="0"/>
      <w:marRight w:val="0"/>
      <w:marTop w:val="0"/>
      <w:marBottom w:val="0"/>
      <w:divBdr>
        <w:top w:val="none" w:sz="0" w:space="0" w:color="auto"/>
        <w:left w:val="none" w:sz="0" w:space="0" w:color="auto"/>
        <w:bottom w:val="none" w:sz="0" w:space="0" w:color="auto"/>
        <w:right w:val="none" w:sz="0" w:space="0" w:color="auto"/>
      </w:divBdr>
    </w:div>
    <w:div w:id="1560281144">
      <w:bodyDiv w:val="1"/>
      <w:marLeft w:val="0"/>
      <w:marRight w:val="0"/>
      <w:marTop w:val="0"/>
      <w:marBottom w:val="0"/>
      <w:divBdr>
        <w:top w:val="none" w:sz="0" w:space="0" w:color="auto"/>
        <w:left w:val="none" w:sz="0" w:space="0" w:color="auto"/>
        <w:bottom w:val="none" w:sz="0" w:space="0" w:color="auto"/>
        <w:right w:val="none" w:sz="0" w:space="0" w:color="auto"/>
      </w:divBdr>
    </w:div>
    <w:div w:id="1567034480">
      <w:bodyDiv w:val="1"/>
      <w:marLeft w:val="0"/>
      <w:marRight w:val="0"/>
      <w:marTop w:val="0"/>
      <w:marBottom w:val="0"/>
      <w:divBdr>
        <w:top w:val="none" w:sz="0" w:space="0" w:color="auto"/>
        <w:left w:val="none" w:sz="0" w:space="0" w:color="auto"/>
        <w:bottom w:val="none" w:sz="0" w:space="0" w:color="auto"/>
        <w:right w:val="none" w:sz="0" w:space="0" w:color="auto"/>
      </w:divBdr>
    </w:div>
    <w:div w:id="1576279226">
      <w:bodyDiv w:val="1"/>
      <w:marLeft w:val="0"/>
      <w:marRight w:val="0"/>
      <w:marTop w:val="0"/>
      <w:marBottom w:val="0"/>
      <w:divBdr>
        <w:top w:val="none" w:sz="0" w:space="0" w:color="auto"/>
        <w:left w:val="none" w:sz="0" w:space="0" w:color="auto"/>
        <w:bottom w:val="none" w:sz="0" w:space="0" w:color="auto"/>
        <w:right w:val="none" w:sz="0" w:space="0" w:color="auto"/>
      </w:divBdr>
    </w:div>
    <w:div w:id="1583836458">
      <w:bodyDiv w:val="1"/>
      <w:marLeft w:val="0"/>
      <w:marRight w:val="0"/>
      <w:marTop w:val="0"/>
      <w:marBottom w:val="0"/>
      <w:divBdr>
        <w:top w:val="none" w:sz="0" w:space="0" w:color="auto"/>
        <w:left w:val="none" w:sz="0" w:space="0" w:color="auto"/>
        <w:bottom w:val="none" w:sz="0" w:space="0" w:color="auto"/>
        <w:right w:val="none" w:sz="0" w:space="0" w:color="auto"/>
      </w:divBdr>
      <w:divsChild>
        <w:div w:id="1088381621">
          <w:marLeft w:val="0"/>
          <w:marRight w:val="0"/>
          <w:marTop w:val="0"/>
          <w:marBottom w:val="0"/>
          <w:divBdr>
            <w:top w:val="none" w:sz="0" w:space="0" w:color="auto"/>
            <w:left w:val="none" w:sz="0" w:space="0" w:color="auto"/>
            <w:bottom w:val="none" w:sz="0" w:space="0" w:color="auto"/>
            <w:right w:val="none" w:sz="0" w:space="0" w:color="auto"/>
          </w:divBdr>
        </w:div>
      </w:divsChild>
    </w:div>
    <w:div w:id="1584492833">
      <w:bodyDiv w:val="1"/>
      <w:marLeft w:val="0"/>
      <w:marRight w:val="0"/>
      <w:marTop w:val="0"/>
      <w:marBottom w:val="0"/>
      <w:divBdr>
        <w:top w:val="none" w:sz="0" w:space="0" w:color="auto"/>
        <w:left w:val="none" w:sz="0" w:space="0" w:color="auto"/>
        <w:bottom w:val="none" w:sz="0" w:space="0" w:color="auto"/>
        <w:right w:val="none" w:sz="0" w:space="0" w:color="auto"/>
      </w:divBdr>
    </w:div>
    <w:div w:id="1585187068">
      <w:bodyDiv w:val="1"/>
      <w:marLeft w:val="0"/>
      <w:marRight w:val="0"/>
      <w:marTop w:val="0"/>
      <w:marBottom w:val="0"/>
      <w:divBdr>
        <w:top w:val="none" w:sz="0" w:space="0" w:color="auto"/>
        <w:left w:val="none" w:sz="0" w:space="0" w:color="auto"/>
        <w:bottom w:val="none" w:sz="0" w:space="0" w:color="auto"/>
        <w:right w:val="none" w:sz="0" w:space="0" w:color="auto"/>
      </w:divBdr>
    </w:div>
    <w:div w:id="1585258984">
      <w:bodyDiv w:val="1"/>
      <w:marLeft w:val="0"/>
      <w:marRight w:val="0"/>
      <w:marTop w:val="0"/>
      <w:marBottom w:val="0"/>
      <w:divBdr>
        <w:top w:val="none" w:sz="0" w:space="0" w:color="auto"/>
        <w:left w:val="none" w:sz="0" w:space="0" w:color="auto"/>
        <w:bottom w:val="none" w:sz="0" w:space="0" w:color="auto"/>
        <w:right w:val="none" w:sz="0" w:space="0" w:color="auto"/>
      </w:divBdr>
    </w:div>
    <w:div w:id="1616474066">
      <w:bodyDiv w:val="1"/>
      <w:marLeft w:val="0"/>
      <w:marRight w:val="0"/>
      <w:marTop w:val="0"/>
      <w:marBottom w:val="0"/>
      <w:divBdr>
        <w:top w:val="none" w:sz="0" w:space="0" w:color="auto"/>
        <w:left w:val="none" w:sz="0" w:space="0" w:color="auto"/>
        <w:bottom w:val="none" w:sz="0" w:space="0" w:color="auto"/>
        <w:right w:val="none" w:sz="0" w:space="0" w:color="auto"/>
      </w:divBdr>
    </w:div>
    <w:div w:id="1622689544">
      <w:bodyDiv w:val="1"/>
      <w:marLeft w:val="0"/>
      <w:marRight w:val="0"/>
      <w:marTop w:val="0"/>
      <w:marBottom w:val="0"/>
      <w:divBdr>
        <w:top w:val="none" w:sz="0" w:space="0" w:color="auto"/>
        <w:left w:val="none" w:sz="0" w:space="0" w:color="auto"/>
        <w:bottom w:val="none" w:sz="0" w:space="0" w:color="auto"/>
        <w:right w:val="none" w:sz="0" w:space="0" w:color="auto"/>
      </w:divBdr>
    </w:div>
    <w:div w:id="1631980360">
      <w:bodyDiv w:val="1"/>
      <w:marLeft w:val="0"/>
      <w:marRight w:val="0"/>
      <w:marTop w:val="0"/>
      <w:marBottom w:val="0"/>
      <w:divBdr>
        <w:top w:val="none" w:sz="0" w:space="0" w:color="auto"/>
        <w:left w:val="none" w:sz="0" w:space="0" w:color="auto"/>
        <w:bottom w:val="none" w:sz="0" w:space="0" w:color="auto"/>
        <w:right w:val="none" w:sz="0" w:space="0" w:color="auto"/>
      </w:divBdr>
    </w:div>
    <w:div w:id="1632396117">
      <w:marLeft w:val="0"/>
      <w:marRight w:val="0"/>
      <w:marTop w:val="0"/>
      <w:marBottom w:val="0"/>
      <w:divBdr>
        <w:top w:val="none" w:sz="0" w:space="0" w:color="auto"/>
        <w:left w:val="none" w:sz="0" w:space="0" w:color="auto"/>
        <w:bottom w:val="none" w:sz="0" w:space="0" w:color="auto"/>
        <w:right w:val="none" w:sz="0" w:space="0" w:color="auto"/>
      </w:divBdr>
    </w:div>
    <w:div w:id="1635329503">
      <w:bodyDiv w:val="1"/>
      <w:marLeft w:val="0"/>
      <w:marRight w:val="0"/>
      <w:marTop w:val="0"/>
      <w:marBottom w:val="0"/>
      <w:divBdr>
        <w:top w:val="none" w:sz="0" w:space="0" w:color="auto"/>
        <w:left w:val="none" w:sz="0" w:space="0" w:color="auto"/>
        <w:bottom w:val="none" w:sz="0" w:space="0" w:color="auto"/>
        <w:right w:val="none" w:sz="0" w:space="0" w:color="auto"/>
      </w:divBdr>
      <w:divsChild>
        <w:div w:id="1218971331">
          <w:marLeft w:val="0"/>
          <w:marRight w:val="0"/>
          <w:marTop w:val="0"/>
          <w:marBottom w:val="0"/>
          <w:divBdr>
            <w:top w:val="none" w:sz="0" w:space="0" w:color="auto"/>
            <w:left w:val="none" w:sz="0" w:space="0" w:color="auto"/>
            <w:bottom w:val="none" w:sz="0" w:space="0" w:color="auto"/>
            <w:right w:val="none" w:sz="0" w:space="0" w:color="auto"/>
          </w:divBdr>
          <w:divsChild>
            <w:div w:id="36391406">
              <w:marLeft w:val="0"/>
              <w:marRight w:val="0"/>
              <w:marTop w:val="0"/>
              <w:marBottom w:val="0"/>
              <w:divBdr>
                <w:top w:val="none" w:sz="0" w:space="0" w:color="auto"/>
                <w:left w:val="none" w:sz="0" w:space="0" w:color="auto"/>
                <w:bottom w:val="none" w:sz="0" w:space="0" w:color="auto"/>
                <w:right w:val="none" w:sz="0" w:space="0" w:color="auto"/>
              </w:divBdr>
              <w:divsChild>
                <w:div w:id="783967242">
                  <w:marLeft w:val="0"/>
                  <w:marRight w:val="0"/>
                  <w:marTop w:val="0"/>
                  <w:marBottom w:val="0"/>
                  <w:divBdr>
                    <w:top w:val="none" w:sz="0" w:space="0" w:color="auto"/>
                    <w:left w:val="none" w:sz="0" w:space="0" w:color="auto"/>
                    <w:bottom w:val="none" w:sz="0" w:space="0" w:color="auto"/>
                    <w:right w:val="none" w:sz="0" w:space="0" w:color="auto"/>
                  </w:divBdr>
                  <w:divsChild>
                    <w:div w:id="848521605">
                      <w:marLeft w:val="0"/>
                      <w:marRight w:val="0"/>
                      <w:marTop w:val="0"/>
                      <w:marBottom w:val="0"/>
                      <w:divBdr>
                        <w:top w:val="none" w:sz="0" w:space="0" w:color="auto"/>
                        <w:left w:val="none" w:sz="0" w:space="0" w:color="auto"/>
                        <w:bottom w:val="none" w:sz="0" w:space="0" w:color="auto"/>
                        <w:right w:val="none" w:sz="0" w:space="0" w:color="auto"/>
                      </w:divBdr>
                      <w:divsChild>
                        <w:div w:id="114057345">
                          <w:marLeft w:val="0"/>
                          <w:marRight w:val="0"/>
                          <w:marTop w:val="0"/>
                          <w:marBottom w:val="0"/>
                          <w:divBdr>
                            <w:top w:val="none" w:sz="0" w:space="0" w:color="auto"/>
                            <w:left w:val="none" w:sz="0" w:space="0" w:color="auto"/>
                            <w:bottom w:val="none" w:sz="0" w:space="0" w:color="auto"/>
                            <w:right w:val="none" w:sz="0" w:space="0" w:color="auto"/>
                          </w:divBdr>
                          <w:divsChild>
                            <w:div w:id="641809469">
                              <w:marLeft w:val="0"/>
                              <w:marRight w:val="0"/>
                              <w:marTop w:val="0"/>
                              <w:marBottom w:val="0"/>
                              <w:divBdr>
                                <w:top w:val="none" w:sz="0" w:space="0" w:color="auto"/>
                                <w:left w:val="none" w:sz="0" w:space="0" w:color="auto"/>
                                <w:bottom w:val="none" w:sz="0" w:space="0" w:color="auto"/>
                                <w:right w:val="none" w:sz="0" w:space="0" w:color="auto"/>
                              </w:divBdr>
                              <w:divsChild>
                                <w:div w:id="1431313658">
                                  <w:marLeft w:val="0"/>
                                  <w:marRight w:val="0"/>
                                  <w:marTop w:val="0"/>
                                  <w:marBottom w:val="0"/>
                                  <w:divBdr>
                                    <w:top w:val="none" w:sz="0" w:space="0" w:color="auto"/>
                                    <w:left w:val="none" w:sz="0" w:space="0" w:color="auto"/>
                                    <w:bottom w:val="none" w:sz="0" w:space="0" w:color="auto"/>
                                    <w:right w:val="none" w:sz="0" w:space="0" w:color="auto"/>
                                  </w:divBdr>
                                  <w:divsChild>
                                    <w:div w:id="115444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8303">
                          <w:marLeft w:val="0"/>
                          <w:marRight w:val="0"/>
                          <w:marTop w:val="0"/>
                          <w:marBottom w:val="0"/>
                          <w:divBdr>
                            <w:top w:val="none" w:sz="0" w:space="0" w:color="auto"/>
                            <w:left w:val="none" w:sz="0" w:space="0" w:color="auto"/>
                            <w:bottom w:val="none" w:sz="0" w:space="0" w:color="auto"/>
                            <w:right w:val="none" w:sz="0" w:space="0" w:color="auto"/>
                          </w:divBdr>
                          <w:divsChild>
                            <w:div w:id="419178530">
                              <w:marLeft w:val="0"/>
                              <w:marRight w:val="0"/>
                              <w:marTop w:val="0"/>
                              <w:marBottom w:val="0"/>
                              <w:divBdr>
                                <w:top w:val="none" w:sz="0" w:space="0" w:color="auto"/>
                                <w:left w:val="none" w:sz="0" w:space="0" w:color="auto"/>
                                <w:bottom w:val="none" w:sz="0" w:space="0" w:color="auto"/>
                                <w:right w:val="none" w:sz="0" w:space="0" w:color="auto"/>
                              </w:divBdr>
                              <w:divsChild>
                                <w:div w:id="2146242185">
                                  <w:marLeft w:val="0"/>
                                  <w:marRight w:val="0"/>
                                  <w:marTop w:val="0"/>
                                  <w:marBottom w:val="0"/>
                                  <w:divBdr>
                                    <w:top w:val="none" w:sz="0" w:space="0" w:color="auto"/>
                                    <w:left w:val="none" w:sz="0" w:space="0" w:color="auto"/>
                                    <w:bottom w:val="none" w:sz="0" w:space="0" w:color="auto"/>
                                    <w:right w:val="none" w:sz="0" w:space="0" w:color="auto"/>
                                  </w:divBdr>
                                  <w:divsChild>
                                    <w:div w:id="15801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073495">
          <w:marLeft w:val="0"/>
          <w:marRight w:val="0"/>
          <w:marTop w:val="0"/>
          <w:marBottom w:val="0"/>
          <w:divBdr>
            <w:top w:val="none" w:sz="0" w:space="0" w:color="auto"/>
            <w:left w:val="none" w:sz="0" w:space="0" w:color="auto"/>
            <w:bottom w:val="none" w:sz="0" w:space="0" w:color="auto"/>
            <w:right w:val="none" w:sz="0" w:space="0" w:color="auto"/>
          </w:divBdr>
          <w:divsChild>
            <w:div w:id="551700356">
              <w:marLeft w:val="0"/>
              <w:marRight w:val="0"/>
              <w:marTop w:val="0"/>
              <w:marBottom w:val="0"/>
              <w:divBdr>
                <w:top w:val="none" w:sz="0" w:space="0" w:color="auto"/>
                <w:left w:val="none" w:sz="0" w:space="0" w:color="auto"/>
                <w:bottom w:val="none" w:sz="0" w:space="0" w:color="auto"/>
                <w:right w:val="none" w:sz="0" w:space="0" w:color="auto"/>
              </w:divBdr>
              <w:divsChild>
                <w:div w:id="408845535">
                  <w:marLeft w:val="0"/>
                  <w:marRight w:val="0"/>
                  <w:marTop w:val="0"/>
                  <w:marBottom w:val="0"/>
                  <w:divBdr>
                    <w:top w:val="none" w:sz="0" w:space="0" w:color="auto"/>
                    <w:left w:val="none" w:sz="0" w:space="0" w:color="auto"/>
                    <w:bottom w:val="none" w:sz="0" w:space="0" w:color="auto"/>
                    <w:right w:val="none" w:sz="0" w:space="0" w:color="auto"/>
                  </w:divBdr>
                  <w:divsChild>
                    <w:div w:id="209267949">
                      <w:marLeft w:val="0"/>
                      <w:marRight w:val="0"/>
                      <w:marTop w:val="0"/>
                      <w:marBottom w:val="0"/>
                      <w:divBdr>
                        <w:top w:val="none" w:sz="0" w:space="0" w:color="auto"/>
                        <w:left w:val="none" w:sz="0" w:space="0" w:color="auto"/>
                        <w:bottom w:val="none" w:sz="0" w:space="0" w:color="auto"/>
                        <w:right w:val="none" w:sz="0" w:space="0" w:color="auto"/>
                      </w:divBdr>
                      <w:divsChild>
                        <w:div w:id="935404336">
                          <w:marLeft w:val="0"/>
                          <w:marRight w:val="0"/>
                          <w:marTop w:val="0"/>
                          <w:marBottom w:val="0"/>
                          <w:divBdr>
                            <w:top w:val="none" w:sz="0" w:space="0" w:color="auto"/>
                            <w:left w:val="none" w:sz="0" w:space="0" w:color="auto"/>
                            <w:bottom w:val="none" w:sz="0" w:space="0" w:color="auto"/>
                            <w:right w:val="none" w:sz="0" w:space="0" w:color="auto"/>
                          </w:divBdr>
                          <w:divsChild>
                            <w:div w:id="1638606795">
                              <w:marLeft w:val="0"/>
                              <w:marRight w:val="0"/>
                              <w:marTop w:val="0"/>
                              <w:marBottom w:val="0"/>
                              <w:divBdr>
                                <w:top w:val="none" w:sz="0" w:space="0" w:color="auto"/>
                                <w:left w:val="none" w:sz="0" w:space="0" w:color="auto"/>
                                <w:bottom w:val="none" w:sz="0" w:space="0" w:color="auto"/>
                                <w:right w:val="none" w:sz="0" w:space="0" w:color="auto"/>
                              </w:divBdr>
                              <w:divsChild>
                                <w:div w:id="555433661">
                                  <w:marLeft w:val="0"/>
                                  <w:marRight w:val="0"/>
                                  <w:marTop w:val="0"/>
                                  <w:marBottom w:val="0"/>
                                  <w:divBdr>
                                    <w:top w:val="none" w:sz="0" w:space="0" w:color="auto"/>
                                    <w:left w:val="none" w:sz="0" w:space="0" w:color="auto"/>
                                    <w:bottom w:val="none" w:sz="0" w:space="0" w:color="auto"/>
                                    <w:right w:val="none" w:sz="0" w:space="0" w:color="auto"/>
                                  </w:divBdr>
                                  <w:divsChild>
                                    <w:div w:id="105122217">
                                      <w:marLeft w:val="0"/>
                                      <w:marRight w:val="0"/>
                                      <w:marTop w:val="0"/>
                                      <w:marBottom w:val="0"/>
                                      <w:divBdr>
                                        <w:top w:val="none" w:sz="0" w:space="0" w:color="auto"/>
                                        <w:left w:val="none" w:sz="0" w:space="0" w:color="auto"/>
                                        <w:bottom w:val="none" w:sz="0" w:space="0" w:color="auto"/>
                                        <w:right w:val="none" w:sz="0" w:space="0" w:color="auto"/>
                                      </w:divBdr>
                                      <w:divsChild>
                                        <w:div w:id="5111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760283">
          <w:marLeft w:val="0"/>
          <w:marRight w:val="0"/>
          <w:marTop w:val="0"/>
          <w:marBottom w:val="0"/>
          <w:divBdr>
            <w:top w:val="none" w:sz="0" w:space="0" w:color="auto"/>
            <w:left w:val="none" w:sz="0" w:space="0" w:color="auto"/>
            <w:bottom w:val="none" w:sz="0" w:space="0" w:color="auto"/>
            <w:right w:val="none" w:sz="0" w:space="0" w:color="auto"/>
          </w:divBdr>
          <w:divsChild>
            <w:div w:id="950435349">
              <w:marLeft w:val="0"/>
              <w:marRight w:val="0"/>
              <w:marTop w:val="0"/>
              <w:marBottom w:val="0"/>
              <w:divBdr>
                <w:top w:val="none" w:sz="0" w:space="0" w:color="auto"/>
                <w:left w:val="none" w:sz="0" w:space="0" w:color="auto"/>
                <w:bottom w:val="none" w:sz="0" w:space="0" w:color="auto"/>
                <w:right w:val="none" w:sz="0" w:space="0" w:color="auto"/>
              </w:divBdr>
              <w:divsChild>
                <w:div w:id="330641850">
                  <w:marLeft w:val="0"/>
                  <w:marRight w:val="0"/>
                  <w:marTop w:val="0"/>
                  <w:marBottom w:val="0"/>
                  <w:divBdr>
                    <w:top w:val="none" w:sz="0" w:space="0" w:color="auto"/>
                    <w:left w:val="none" w:sz="0" w:space="0" w:color="auto"/>
                    <w:bottom w:val="none" w:sz="0" w:space="0" w:color="auto"/>
                    <w:right w:val="none" w:sz="0" w:space="0" w:color="auto"/>
                  </w:divBdr>
                  <w:divsChild>
                    <w:div w:id="1284002655">
                      <w:marLeft w:val="0"/>
                      <w:marRight w:val="0"/>
                      <w:marTop w:val="0"/>
                      <w:marBottom w:val="0"/>
                      <w:divBdr>
                        <w:top w:val="none" w:sz="0" w:space="0" w:color="auto"/>
                        <w:left w:val="none" w:sz="0" w:space="0" w:color="auto"/>
                        <w:bottom w:val="none" w:sz="0" w:space="0" w:color="auto"/>
                        <w:right w:val="none" w:sz="0" w:space="0" w:color="auto"/>
                      </w:divBdr>
                      <w:divsChild>
                        <w:div w:id="592511789">
                          <w:marLeft w:val="0"/>
                          <w:marRight w:val="0"/>
                          <w:marTop w:val="0"/>
                          <w:marBottom w:val="0"/>
                          <w:divBdr>
                            <w:top w:val="none" w:sz="0" w:space="0" w:color="auto"/>
                            <w:left w:val="none" w:sz="0" w:space="0" w:color="auto"/>
                            <w:bottom w:val="none" w:sz="0" w:space="0" w:color="auto"/>
                            <w:right w:val="none" w:sz="0" w:space="0" w:color="auto"/>
                          </w:divBdr>
                          <w:divsChild>
                            <w:div w:id="1643997279">
                              <w:marLeft w:val="0"/>
                              <w:marRight w:val="0"/>
                              <w:marTop w:val="0"/>
                              <w:marBottom w:val="0"/>
                              <w:divBdr>
                                <w:top w:val="none" w:sz="0" w:space="0" w:color="auto"/>
                                <w:left w:val="none" w:sz="0" w:space="0" w:color="auto"/>
                                <w:bottom w:val="none" w:sz="0" w:space="0" w:color="auto"/>
                                <w:right w:val="none" w:sz="0" w:space="0" w:color="auto"/>
                              </w:divBdr>
                              <w:divsChild>
                                <w:div w:id="214534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2079">
                  <w:marLeft w:val="0"/>
                  <w:marRight w:val="0"/>
                  <w:marTop w:val="0"/>
                  <w:marBottom w:val="0"/>
                  <w:divBdr>
                    <w:top w:val="none" w:sz="0" w:space="0" w:color="auto"/>
                    <w:left w:val="none" w:sz="0" w:space="0" w:color="auto"/>
                    <w:bottom w:val="none" w:sz="0" w:space="0" w:color="auto"/>
                    <w:right w:val="none" w:sz="0" w:space="0" w:color="auto"/>
                  </w:divBdr>
                  <w:divsChild>
                    <w:div w:id="1016345190">
                      <w:marLeft w:val="0"/>
                      <w:marRight w:val="0"/>
                      <w:marTop w:val="0"/>
                      <w:marBottom w:val="0"/>
                      <w:divBdr>
                        <w:top w:val="none" w:sz="0" w:space="0" w:color="auto"/>
                        <w:left w:val="none" w:sz="0" w:space="0" w:color="auto"/>
                        <w:bottom w:val="none" w:sz="0" w:space="0" w:color="auto"/>
                        <w:right w:val="none" w:sz="0" w:space="0" w:color="auto"/>
                      </w:divBdr>
                      <w:divsChild>
                        <w:div w:id="1818108706">
                          <w:marLeft w:val="0"/>
                          <w:marRight w:val="0"/>
                          <w:marTop w:val="0"/>
                          <w:marBottom w:val="0"/>
                          <w:divBdr>
                            <w:top w:val="none" w:sz="0" w:space="0" w:color="auto"/>
                            <w:left w:val="none" w:sz="0" w:space="0" w:color="auto"/>
                            <w:bottom w:val="none" w:sz="0" w:space="0" w:color="auto"/>
                            <w:right w:val="none" w:sz="0" w:space="0" w:color="auto"/>
                          </w:divBdr>
                          <w:divsChild>
                            <w:div w:id="1172455361">
                              <w:marLeft w:val="0"/>
                              <w:marRight w:val="0"/>
                              <w:marTop w:val="0"/>
                              <w:marBottom w:val="0"/>
                              <w:divBdr>
                                <w:top w:val="none" w:sz="0" w:space="0" w:color="auto"/>
                                <w:left w:val="none" w:sz="0" w:space="0" w:color="auto"/>
                                <w:bottom w:val="none" w:sz="0" w:space="0" w:color="auto"/>
                                <w:right w:val="none" w:sz="0" w:space="0" w:color="auto"/>
                              </w:divBdr>
                              <w:divsChild>
                                <w:div w:id="1525899846">
                                  <w:marLeft w:val="0"/>
                                  <w:marRight w:val="0"/>
                                  <w:marTop w:val="0"/>
                                  <w:marBottom w:val="0"/>
                                  <w:divBdr>
                                    <w:top w:val="none" w:sz="0" w:space="0" w:color="auto"/>
                                    <w:left w:val="none" w:sz="0" w:space="0" w:color="auto"/>
                                    <w:bottom w:val="none" w:sz="0" w:space="0" w:color="auto"/>
                                    <w:right w:val="none" w:sz="0" w:space="0" w:color="auto"/>
                                  </w:divBdr>
                                  <w:divsChild>
                                    <w:div w:id="3094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82436">
                          <w:marLeft w:val="0"/>
                          <w:marRight w:val="0"/>
                          <w:marTop w:val="0"/>
                          <w:marBottom w:val="0"/>
                          <w:divBdr>
                            <w:top w:val="none" w:sz="0" w:space="0" w:color="auto"/>
                            <w:left w:val="none" w:sz="0" w:space="0" w:color="auto"/>
                            <w:bottom w:val="none" w:sz="0" w:space="0" w:color="auto"/>
                            <w:right w:val="none" w:sz="0" w:space="0" w:color="auto"/>
                          </w:divBdr>
                          <w:divsChild>
                            <w:div w:id="599489338">
                              <w:marLeft w:val="0"/>
                              <w:marRight w:val="0"/>
                              <w:marTop w:val="0"/>
                              <w:marBottom w:val="0"/>
                              <w:divBdr>
                                <w:top w:val="none" w:sz="0" w:space="0" w:color="auto"/>
                                <w:left w:val="none" w:sz="0" w:space="0" w:color="auto"/>
                                <w:bottom w:val="none" w:sz="0" w:space="0" w:color="auto"/>
                                <w:right w:val="none" w:sz="0" w:space="0" w:color="auto"/>
                              </w:divBdr>
                              <w:divsChild>
                                <w:div w:id="1470397443">
                                  <w:marLeft w:val="0"/>
                                  <w:marRight w:val="0"/>
                                  <w:marTop w:val="0"/>
                                  <w:marBottom w:val="0"/>
                                  <w:divBdr>
                                    <w:top w:val="none" w:sz="0" w:space="0" w:color="auto"/>
                                    <w:left w:val="none" w:sz="0" w:space="0" w:color="auto"/>
                                    <w:bottom w:val="none" w:sz="0" w:space="0" w:color="auto"/>
                                    <w:right w:val="none" w:sz="0" w:space="0" w:color="auto"/>
                                  </w:divBdr>
                                  <w:divsChild>
                                    <w:div w:id="13668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642464">
          <w:marLeft w:val="0"/>
          <w:marRight w:val="0"/>
          <w:marTop w:val="0"/>
          <w:marBottom w:val="0"/>
          <w:divBdr>
            <w:top w:val="none" w:sz="0" w:space="0" w:color="auto"/>
            <w:left w:val="none" w:sz="0" w:space="0" w:color="auto"/>
            <w:bottom w:val="none" w:sz="0" w:space="0" w:color="auto"/>
            <w:right w:val="none" w:sz="0" w:space="0" w:color="auto"/>
          </w:divBdr>
          <w:divsChild>
            <w:div w:id="530189740">
              <w:marLeft w:val="0"/>
              <w:marRight w:val="0"/>
              <w:marTop w:val="0"/>
              <w:marBottom w:val="0"/>
              <w:divBdr>
                <w:top w:val="none" w:sz="0" w:space="0" w:color="auto"/>
                <w:left w:val="none" w:sz="0" w:space="0" w:color="auto"/>
                <w:bottom w:val="none" w:sz="0" w:space="0" w:color="auto"/>
                <w:right w:val="none" w:sz="0" w:space="0" w:color="auto"/>
              </w:divBdr>
              <w:divsChild>
                <w:div w:id="12348224">
                  <w:marLeft w:val="0"/>
                  <w:marRight w:val="0"/>
                  <w:marTop w:val="0"/>
                  <w:marBottom w:val="0"/>
                  <w:divBdr>
                    <w:top w:val="none" w:sz="0" w:space="0" w:color="auto"/>
                    <w:left w:val="none" w:sz="0" w:space="0" w:color="auto"/>
                    <w:bottom w:val="none" w:sz="0" w:space="0" w:color="auto"/>
                    <w:right w:val="none" w:sz="0" w:space="0" w:color="auto"/>
                  </w:divBdr>
                  <w:divsChild>
                    <w:div w:id="584923323">
                      <w:marLeft w:val="0"/>
                      <w:marRight w:val="0"/>
                      <w:marTop w:val="0"/>
                      <w:marBottom w:val="0"/>
                      <w:divBdr>
                        <w:top w:val="none" w:sz="0" w:space="0" w:color="auto"/>
                        <w:left w:val="none" w:sz="0" w:space="0" w:color="auto"/>
                        <w:bottom w:val="none" w:sz="0" w:space="0" w:color="auto"/>
                        <w:right w:val="none" w:sz="0" w:space="0" w:color="auto"/>
                      </w:divBdr>
                      <w:divsChild>
                        <w:div w:id="1796950642">
                          <w:marLeft w:val="0"/>
                          <w:marRight w:val="0"/>
                          <w:marTop w:val="0"/>
                          <w:marBottom w:val="0"/>
                          <w:divBdr>
                            <w:top w:val="none" w:sz="0" w:space="0" w:color="auto"/>
                            <w:left w:val="none" w:sz="0" w:space="0" w:color="auto"/>
                            <w:bottom w:val="none" w:sz="0" w:space="0" w:color="auto"/>
                            <w:right w:val="none" w:sz="0" w:space="0" w:color="auto"/>
                          </w:divBdr>
                          <w:divsChild>
                            <w:div w:id="585111029">
                              <w:marLeft w:val="0"/>
                              <w:marRight w:val="0"/>
                              <w:marTop w:val="0"/>
                              <w:marBottom w:val="0"/>
                              <w:divBdr>
                                <w:top w:val="none" w:sz="0" w:space="0" w:color="auto"/>
                                <w:left w:val="none" w:sz="0" w:space="0" w:color="auto"/>
                                <w:bottom w:val="none" w:sz="0" w:space="0" w:color="auto"/>
                                <w:right w:val="none" w:sz="0" w:space="0" w:color="auto"/>
                              </w:divBdr>
                              <w:divsChild>
                                <w:div w:id="584653206">
                                  <w:marLeft w:val="0"/>
                                  <w:marRight w:val="0"/>
                                  <w:marTop w:val="0"/>
                                  <w:marBottom w:val="0"/>
                                  <w:divBdr>
                                    <w:top w:val="none" w:sz="0" w:space="0" w:color="auto"/>
                                    <w:left w:val="none" w:sz="0" w:space="0" w:color="auto"/>
                                    <w:bottom w:val="none" w:sz="0" w:space="0" w:color="auto"/>
                                    <w:right w:val="none" w:sz="0" w:space="0" w:color="auto"/>
                                  </w:divBdr>
                                  <w:divsChild>
                                    <w:div w:id="1952468251">
                                      <w:marLeft w:val="0"/>
                                      <w:marRight w:val="0"/>
                                      <w:marTop w:val="0"/>
                                      <w:marBottom w:val="0"/>
                                      <w:divBdr>
                                        <w:top w:val="none" w:sz="0" w:space="0" w:color="auto"/>
                                        <w:left w:val="none" w:sz="0" w:space="0" w:color="auto"/>
                                        <w:bottom w:val="none" w:sz="0" w:space="0" w:color="auto"/>
                                        <w:right w:val="none" w:sz="0" w:space="0" w:color="auto"/>
                                      </w:divBdr>
                                      <w:divsChild>
                                        <w:div w:id="82635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071501">
          <w:marLeft w:val="0"/>
          <w:marRight w:val="0"/>
          <w:marTop w:val="0"/>
          <w:marBottom w:val="0"/>
          <w:divBdr>
            <w:top w:val="none" w:sz="0" w:space="0" w:color="auto"/>
            <w:left w:val="none" w:sz="0" w:space="0" w:color="auto"/>
            <w:bottom w:val="none" w:sz="0" w:space="0" w:color="auto"/>
            <w:right w:val="none" w:sz="0" w:space="0" w:color="auto"/>
          </w:divBdr>
          <w:divsChild>
            <w:div w:id="747003363">
              <w:marLeft w:val="0"/>
              <w:marRight w:val="0"/>
              <w:marTop w:val="0"/>
              <w:marBottom w:val="0"/>
              <w:divBdr>
                <w:top w:val="none" w:sz="0" w:space="0" w:color="auto"/>
                <w:left w:val="none" w:sz="0" w:space="0" w:color="auto"/>
                <w:bottom w:val="none" w:sz="0" w:space="0" w:color="auto"/>
                <w:right w:val="none" w:sz="0" w:space="0" w:color="auto"/>
              </w:divBdr>
              <w:divsChild>
                <w:div w:id="1904019034">
                  <w:marLeft w:val="0"/>
                  <w:marRight w:val="0"/>
                  <w:marTop w:val="0"/>
                  <w:marBottom w:val="0"/>
                  <w:divBdr>
                    <w:top w:val="none" w:sz="0" w:space="0" w:color="auto"/>
                    <w:left w:val="none" w:sz="0" w:space="0" w:color="auto"/>
                    <w:bottom w:val="none" w:sz="0" w:space="0" w:color="auto"/>
                    <w:right w:val="none" w:sz="0" w:space="0" w:color="auto"/>
                  </w:divBdr>
                  <w:divsChild>
                    <w:div w:id="1638297854">
                      <w:marLeft w:val="0"/>
                      <w:marRight w:val="0"/>
                      <w:marTop w:val="0"/>
                      <w:marBottom w:val="0"/>
                      <w:divBdr>
                        <w:top w:val="none" w:sz="0" w:space="0" w:color="auto"/>
                        <w:left w:val="none" w:sz="0" w:space="0" w:color="auto"/>
                        <w:bottom w:val="none" w:sz="0" w:space="0" w:color="auto"/>
                        <w:right w:val="none" w:sz="0" w:space="0" w:color="auto"/>
                      </w:divBdr>
                      <w:divsChild>
                        <w:div w:id="499469884">
                          <w:marLeft w:val="0"/>
                          <w:marRight w:val="0"/>
                          <w:marTop w:val="0"/>
                          <w:marBottom w:val="0"/>
                          <w:divBdr>
                            <w:top w:val="none" w:sz="0" w:space="0" w:color="auto"/>
                            <w:left w:val="none" w:sz="0" w:space="0" w:color="auto"/>
                            <w:bottom w:val="none" w:sz="0" w:space="0" w:color="auto"/>
                            <w:right w:val="none" w:sz="0" w:space="0" w:color="auto"/>
                          </w:divBdr>
                          <w:divsChild>
                            <w:div w:id="748504957">
                              <w:marLeft w:val="0"/>
                              <w:marRight w:val="0"/>
                              <w:marTop w:val="0"/>
                              <w:marBottom w:val="0"/>
                              <w:divBdr>
                                <w:top w:val="none" w:sz="0" w:space="0" w:color="auto"/>
                                <w:left w:val="none" w:sz="0" w:space="0" w:color="auto"/>
                                <w:bottom w:val="none" w:sz="0" w:space="0" w:color="auto"/>
                                <w:right w:val="none" w:sz="0" w:space="0" w:color="auto"/>
                              </w:divBdr>
                              <w:divsChild>
                                <w:div w:id="174155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770766">
                  <w:marLeft w:val="0"/>
                  <w:marRight w:val="0"/>
                  <w:marTop w:val="0"/>
                  <w:marBottom w:val="0"/>
                  <w:divBdr>
                    <w:top w:val="none" w:sz="0" w:space="0" w:color="auto"/>
                    <w:left w:val="none" w:sz="0" w:space="0" w:color="auto"/>
                    <w:bottom w:val="none" w:sz="0" w:space="0" w:color="auto"/>
                    <w:right w:val="none" w:sz="0" w:space="0" w:color="auto"/>
                  </w:divBdr>
                  <w:divsChild>
                    <w:div w:id="639765916">
                      <w:marLeft w:val="0"/>
                      <w:marRight w:val="0"/>
                      <w:marTop w:val="0"/>
                      <w:marBottom w:val="0"/>
                      <w:divBdr>
                        <w:top w:val="none" w:sz="0" w:space="0" w:color="auto"/>
                        <w:left w:val="none" w:sz="0" w:space="0" w:color="auto"/>
                        <w:bottom w:val="none" w:sz="0" w:space="0" w:color="auto"/>
                        <w:right w:val="none" w:sz="0" w:space="0" w:color="auto"/>
                      </w:divBdr>
                      <w:divsChild>
                        <w:div w:id="1183861205">
                          <w:marLeft w:val="0"/>
                          <w:marRight w:val="0"/>
                          <w:marTop w:val="0"/>
                          <w:marBottom w:val="0"/>
                          <w:divBdr>
                            <w:top w:val="none" w:sz="0" w:space="0" w:color="auto"/>
                            <w:left w:val="none" w:sz="0" w:space="0" w:color="auto"/>
                            <w:bottom w:val="none" w:sz="0" w:space="0" w:color="auto"/>
                            <w:right w:val="none" w:sz="0" w:space="0" w:color="auto"/>
                          </w:divBdr>
                          <w:divsChild>
                            <w:div w:id="163133249">
                              <w:marLeft w:val="0"/>
                              <w:marRight w:val="0"/>
                              <w:marTop w:val="0"/>
                              <w:marBottom w:val="0"/>
                              <w:divBdr>
                                <w:top w:val="none" w:sz="0" w:space="0" w:color="auto"/>
                                <w:left w:val="none" w:sz="0" w:space="0" w:color="auto"/>
                                <w:bottom w:val="none" w:sz="0" w:space="0" w:color="auto"/>
                                <w:right w:val="none" w:sz="0" w:space="0" w:color="auto"/>
                              </w:divBdr>
                              <w:divsChild>
                                <w:div w:id="1147742531">
                                  <w:marLeft w:val="0"/>
                                  <w:marRight w:val="0"/>
                                  <w:marTop w:val="0"/>
                                  <w:marBottom w:val="0"/>
                                  <w:divBdr>
                                    <w:top w:val="none" w:sz="0" w:space="0" w:color="auto"/>
                                    <w:left w:val="none" w:sz="0" w:space="0" w:color="auto"/>
                                    <w:bottom w:val="none" w:sz="0" w:space="0" w:color="auto"/>
                                    <w:right w:val="none" w:sz="0" w:space="0" w:color="auto"/>
                                  </w:divBdr>
                                  <w:divsChild>
                                    <w:div w:id="73231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901968">
                          <w:marLeft w:val="0"/>
                          <w:marRight w:val="0"/>
                          <w:marTop w:val="0"/>
                          <w:marBottom w:val="0"/>
                          <w:divBdr>
                            <w:top w:val="none" w:sz="0" w:space="0" w:color="auto"/>
                            <w:left w:val="none" w:sz="0" w:space="0" w:color="auto"/>
                            <w:bottom w:val="none" w:sz="0" w:space="0" w:color="auto"/>
                            <w:right w:val="none" w:sz="0" w:space="0" w:color="auto"/>
                          </w:divBdr>
                          <w:divsChild>
                            <w:div w:id="607737553">
                              <w:marLeft w:val="0"/>
                              <w:marRight w:val="0"/>
                              <w:marTop w:val="0"/>
                              <w:marBottom w:val="0"/>
                              <w:divBdr>
                                <w:top w:val="none" w:sz="0" w:space="0" w:color="auto"/>
                                <w:left w:val="none" w:sz="0" w:space="0" w:color="auto"/>
                                <w:bottom w:val="none" w:sz="0" w:space="0" w:color="auto"/>
                                <w:right w:val="none" w:sz="0" w:space="0" w:color="auto"/>
                              </w:divBdr>
                              <w:divsChild>
                                <w:div w:id="543952207">
                                  <w:marLeft w:val="0"/>
                                  <w:marRight w:val="0"/>
                                  <w:marTop w:val="0"/>
                                  <w:marBottom w:val="0"/>
                                  <w:divBdr>
                                    <w:top w:val="none" w:sz="0" w:space="0" w:color="auto"/>
                                    <w:left w:val="none" w:sz="0" w:space="0" w:color="auto"/>
                                    <w:bottom w:val="none" w:sz="0" w:space="0" w:color="auto"/>
                                    <w:right w:val="none" w:sz="0" w:space="0" w:color="auto"/>
                                  </w:divBdr>
                                  <w:divsChild>
                                    <w:div w:id="20820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798029">
      <w:bodyDiv w:val="1"/>
      <w:marLeft w:val="0"/>
      <w:marRight w:val="0"/>
      <w:marTop w:val="0"/>
      <w:marBottom w:val="0"/>
      <w:divBdr>
        <w:top w:val="none" w:sz="0" w:space="0" w:color="auto"/>
        <w:left w:val="none" w:sz="0" w:space="0" w:color="auto"/>
        <w:bottom w:val="none" w:sz="0" w:space="0" w:color="auto"/>
        <w:right w:val="none" w:sz="0" w:space="0" w:color="auto"/>
      </w:divBdr>
    </w:div>
    <w:div w:id="1643540713">
      <w:bodyDiv w:val="1"/>
      <w:marLeft w:val="0"/>
      <w:marRight w:val="0"/>
      <w:marTop w:val="0"/>
      <w:marBottom w:val="0"/>
      <w:divBdr>
        <w:top w:val="none" w:sz="0" w:space="0" w:color="auto"/>
        <w:left w:val="none" w:sz="0" w:space="0" w:color="auto"/>
        <w:bottom w:val="none" w:sz="0" w:space="0" w:color="auto"/>
        <w:right w:val="none" w:sz="0" w:space="0" w:color="auto"/>
      </w:divBdr>
    </w:div>
    <w:div w:id="1645043220">
      <w:bodyDiv w:val="1"/>
      <w:marLeft w:val="0"/>
      <w:marRight w:val="0"/>
      <w:marTop w:val="0"/>
      <w:marBottom w:val="0"/>
      <w:divBdr>
        <w:top w:val="none" w:sz="0" w:space="0" w:color="auto"/>
        <w:left w:val="none" w:sz="0" w:space="0" w:color="auto"/>
        <w:bottom w:val="none" w:sz="0" w:space="0" w:color="auto"/>
        <w:right w:val="none" w:sz="0" w:space="0" w:color="auto"/>
      </w:divBdr>
    </w:div>
    <w:div w:id="1648318461">
      <w:bodyDiv w:val="1"/>
      <w:marLeft w:val="0"/>
      <w:marRight w:val="0"/>
      <w:marTop w:val="0"/>
      <w:marBottom w:val="0"/>
      <w:divBdr>
        <w:top w:val="none" w:sz="0" w:space="0" w:color="auto"/>
        <w:left w:val="none" w:sz="0" w:space="0" w:color="auto"/>
        <w:bottom w:val="none" w:sz="0" w:space="0" w:color="auto"/>
        <w:right w:val="none" w:sz="0" w:space="0" w:color="auto"/>
      </w:divBdr>
    </w:div>
    <w:div w:id="1648822808">
      <w:marLeft w:val="0"/>
      <w:marRight w:val="0"/>
      <w:marTop w:val="0"/>
      <w:marBottom w:val="0"/>
      <w:divBdr>
        <w:top w:val="none" w:sz="0" w:space="0" w:color="auto"/>
        <w:left w:val="none" w:sz="0" w:space="0" w:color="auto"/>
        <w:bottom w:val="none" w:sz="0" w:space="0" w:color="auto"/>
        <w:right w:val="none" w:sz="0" w:space="0" w:color="auto"/>
      </w:divBdr>
    </w:div>
    <w:div w:id="1656645291">
      <w:marLeft w:val="0"/>
      <w:marRight w:val="0"/>
      <w:marTop w:val="0"/>
      <w:marBottom w:val="0"/>
      <w:divBdr>
        <w:top w:val="none" w:sz="0" w:space="0" w:color="auto"/>
        <w:left w:val="none" w:sz="0" w:space="0" w:color="auto"/>
        <w:bottom w:val="none" w:sz="0" w:space="0" w:color="auto"/>
        <w:right w:val="none" w:sz="0" w:space="0" w:color="auto"/>
      </w:divBdr>
    </w:div>
    <w:div w:id="1670475145">
      <w:bodyDiv w:val="1"/>
      <w:marLeft w:val="0"/>
      <w:marRight w:val="0"/>
      <w:marTop w:val="0"/>
      <w:marBottom w:val="0"/>
      <w:divBdr>
        <w:top w:val="none" w:sz="0" w:space="0" w:color="auto"/>
        <w:left w:val="none" w:sz="0" w:space="0" w:color="auto"/>
        <w:bottom w:val="none" w:sz="0" w:space="0" w:color="auto"/>
        <w:right w:val="none" w:sz="0" w:space="0" w:color="auto"/>
      </w:divBdr>
    </w:div>
    <w:div w:id="1677879537">
      <w:bodyDiv w:val="1"/>
      <w:marLeft w:val="0"/>
      <w:marRight w:val="0"/>
      <w:marTop w:val="0"/>
      <w:marBottom w:val="0"/>
      <w:divBdr>
        <w:top w:val="none" w:sz="0" w:space="0" w:color="auto"/>
        <w:left w:val="none" w:sz="0" w:space="0" w:color="auto"/>
        <w:bottom w:val="none" w:sz="0" w:space="0" w:color="auto"/>
        <w:right w:val="none" w:sz="0" w:space="0" w:color="auto"/>
      </w:divBdr>
    </w:div>
    <w:div w:id="1679654344">
      <w:bodyDiv w:val="1"/>
      <w:marLeft w:val="0"/>
      <w:marRight w:val="0"/>
      <w:marTop w:val="0"/>
      <w:marBottom w:val="0"/>
      <w:divBdr>
        <w:top w:val="none" w:sz="0" w:space="0" w:color="auto"/>
        <w:left w:val="none" w:sz="0" w:space="0" w:color="auto"/>
        <w:bottom w:val="none" w:sz="0" w:space="0" w:color="auto"/>
        <w:right w:val="none" w:sz="0" w:space="0" w:color="auto"/>
      </w:divBdr>
    </w:div>
    <w:div w:id="1689522620">
      <w:bodyDiv w:val="1"/>
      <w:marLeft w:val="0"/>
      <w:marRight w:val="0"/>
      <w:marTop w:val="0"/>
      <w:marBottom w:val="0"/>
      <w:divBdr>
        <w:top w:val="none" w:sz="0" w:space="0" w:color="auto"/>
        <w:left w:val="none" w:sz="0" w:space="0" w:color="auto"/>
        <w:bottom w:val="none" w:sz="0" w:space="0" w:color="auto"/>
        <w:right w:val="none" w:sz="0" w:space="0" w:color="auto"/>
      </w:divBdr>
    </w:div>
    <w:div w:id="1690643770">
      <w:bodyDiv w:val="1"/>
      <w:marLeft w:val="0"/>
      <w:marRight w:val="0"/>
      <w:marTop w:val="0"/>
      <w:marBottom w:val="0"/>
      <w:divBdr>
        <w:top w:val="none" w:sz="0" w:space="0" w:color="auto"/>
        <w:left w:val="none" w:sz="0" w:space="0" w:color="auto"/>
        <w:bottom w:val="none" w:sz="0" w:space="0" w:color="auto"/>
        <w:right w:val="none" w:sz="0" w:space="0" w:color="auto"/>
      </w:divBdr>
    </w:div>
    <w:div w:id="1702587055">
      <w:bodyDiv w:val="1"/>
      <w:marLeft w:val="0"/>
      <w:marRight w:val="0"/>
      <w:marTop w:val="0"/>
      <w:marBottom w:val="0"/>
      <w:divBdr>
        <w:top w:val="none" w:sz="0" w:space="0" w:color="auto"/>
        <w:left w:val="none" w:sz="0" w:space="0" w:color="auto"/>
        <w:bottom w:val="none" w:sz="0" w:space="0" w:color="auto"/>
        <w:right w:val="none" w:sz="0" w:space="0" w:color="auto"/>
      </w:divBdr>
      <w:divsChild>
        <w:div w:id="17395043">
          <w:marLeft w:val="0"/>
          <w:marRight w:val="0"/>
          <w:marTop w:val="0"/>
          <w:marBottom w:val="0"/>
          <w:divBdr>
            <w:top w:val="none" w:sz="0" w:space="0" w:color="auto"/>
            <w:left w:val="none" w:sz="0" w:space="0" w:color="auto"/>
            <w:bottom w:val="none" w:sz="0" w:space="0" w:color="auto"/>
            <w:right w:val="none" w:sz="0" w:space="0" w:color="auto"/>
          </w:divBdr>
          <w:divsChild>
            <w:div w:id="693190403">
              <w:marLeft w:val="0"/>
              <w:marRight w:val="0"/>
              <w:marTop w:val="0"/>
              <w:marBottom w:val="0"/>
              <w:divBdr>
                <w:top w:val="none" w:sz="0" w:space="0" w:color="auto"/>
                <w:left w:val="none" w:sz="0" w:space="0" w:color="auto"/>
                <w:bottom w:val="none" w:sz="0" w:space="0" w:color="auto"/>
                <w:right w:val="none" w:sz="0" w:space="0" w:color="auto"/>
              </w:divBdr>
              <w:divsChild>
                <w:div w:id="760178162">
                  <w:marLeft w:val="0"/>
                  <w:marRight w:val="0"/>
                  <w:marTop w:val="0"/>
                  <w:marBottom w:val="0"/>
                  <w:divBdr>
                    <w:top w:val="none" w:sz="0" w:space="0" w:color="auto"/>
                    <w:left w:val="none" w:sz="0" w:space="0" w:color="auto"/>
                    <w:bottom w:val="none" w:sz="0" w:space="0" w:color="auto"/>
                    <w:right w:val="none" w:sz="0" w:space="0" w:color="auto"/>
                  </w:divBdr>
                  <w:divsChild>
                    <w:div w:id="1213929401">
                      <w:marLeft w:val="0"/>
                      <w:marRight w:val="0"/>
                      <w:marTop w:val="0"/>
                      <w:marBottom w:val="0"/>
                      <w:divBdr>
                        <w:top w:val="none" w:sz="0" w:space="0" w:color="auto"/>
                        <w:left w:val="none" w:sz="0" w:space="0" w:color="auto"/>
                        <w:bottom w:val="none" w:sz="0" w:space="0" w:color="auto"/>
                        <w:right w:val="none" w:sz="0" w:space="0" w:color="auto"/>
                      </w:divBdr>
                      <w:divsChild>
                        <w:div w:id="1124688551">
                          <w:marLeft w:val="0"/>
                          <w:marRight w:val="0"/>
                          <w:marTop w:val="0"/>
                          <w:marBottom w:val="0"/>
                          <w:divBdr>
                            <w:top w:val="none" w:sz="0" w:space="0" w:color="auto"/>
                            <w:left w:val="none" w:sz="0" w:space="0" w:color="auto"/>
                            <w:bottom w:val="none" w:sz="0" w:space="0" w:color="auto"/>
                            <w:right w:val="none" w:sz="0" w:space="0" w:color="auto"/>
                          </w:divBdr>
                          <w:divsChild>
                            <w:div w:id="2068335219">
                              <w:marLeft w:val="0"/>
                              <w:marRight w:val="0"/>
                              <w:marTop w:val="0"/>
                              <w:marBottom w:val="0"/>
                              <w:divBdr>
                                <w:top w:val="none" w:sz="0" w:space="0" w:color="auto"/>
                                <w:left w:val="none" w:sz="0" w:space="0" w:color="auto"/>
                                <w:bottom w:val="none" w:sz="0" w:space="0" w:color="auto"/>
                                <w:right w:val="none" w:sz="0" w:space="0" w:color="auto"/>
                              </w:divBdr>
                              <w:divsChild>
                                <w:div w:id="1710102456">
                                  <w:marLeft w:val="0"/>
                                  <w:marRight w:val="0"/>
                                  <w:marTop w:val="0"/>
                                  <w:marBottom w:val="0"/>
                                  <w:divBdr>
                                    <w:top w:val="none" w:sz="0" w:space="0" w:color="auto"/>
                                    <w:left w:val="none" w:sz="0" w:space="0" w:color="auto"/>
                                    <w:bottom w:val="none" w:sz="0" w:space="0" w:color="auto"/>
                                    <w:right w:val="none" w:sz="0" w:space="0" w:color="auto"/>
                                  </w:divBdr>
                                  <w:divsChild>
                                    <w:div w:id="134941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8553">
                          <w:marLeft w:val="0"/>
                          <w:marRight w:val="0"/>
                          <w:marTop w:val="0"/>
                          <w:marBottom w:val="0"/>
                          <w:divBdr>
                            <w:top w:val="none" w:sz="0" w:space="0" w:color="auto"/>
                            <w:left w:val="none" w:sz="0" w:space="0" w:color="auto"/>
                            <w:bottom w:val="none" w:sz="0" w:space="0" w:color="auto"/>
                            <w:right w:val="none" w:sz="0" w:space="0" w:color="auto"/>
                          </w:divBdr>
                          <w:divsChild>
                            <w:div w:id="585578737">
                              <w:marLeft w:val="0"/>
                              <w:marRight w:val="0"/>
                              <w:marTop w:val="0"/>
                              <w:marBottom w:val="0"/>
                              <w:divBdr>
                                <w:top w:val="none" w:sz="0" w:space="0" w:color="auto"/>
                                <w:left w:val="none" w:sz="0" w:space="0" w:color="auto"/>
                                <w:bottom w:val="none" w:sz="0" w:space="0" w:color="auto"/>
                                <w:right w:val="none" w:sz="0" w:space="0" w:color="auto"/>
                              </w:divBdr>
                              <w:divsChild>
                                <w:div w:id="331108792">
                                  <w:marLeft w:val="0"/>
                                  <w:marRight w:val="0"/>
                                  <w:marTop w:val="0"/>
                                  <w:marBottom w:val="0"/>
                                  <w:divBdr>
                                    <w:top w:val="none" w:sz="0" w:space="0" w:color="auto"/>
                                    <w:left w:val="none" w:sz="0" w:space="0" w:color="auto"/>
                                    <w:bottom w:val="none" w:sz="0" w:space="0" w:color="auto"/>
                                    <w:right w:val="none" w:sz="0" w:space="0" w:color="auto"/>
                                  </w:divBdr>
                                  <w:divsChild>
                                    <w:div w:id="10259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25397">
          <w:marLeft w:val="0"/>
          <w:marRight w:val="0"/>
          <w:marTop w:val="0"/>
          <w:marBottom w:val="0"/>
          <w:divBdr>
            <w:top w:val="none" w:sz="0" w:space="0" w:color="auto"/>
            <w:left w:val="none" w:sz="0" w:space="0" w:color="auto"/>
            <w:bottom w:val="none" w:sz="0" w:space="0" w:color="auto"/>
            <w:right w:val="none" w:sz="0" w:space="0" w:color="auto"/>
          </w:divBdr>
          <w:divsChild>
            <w:div w:id="1134176729">
              <w:marLeft w:val="0"/>
              <w:marRight w:val="0"/>
              <w:marTop w:val="0"/>
              <w:marBottom w:val="0"/>
              <w:divBdr>
                <w:top w:val="none" w:sz="0" w:space="0" w:color="auto"/>
                <w:left w:val="none" w:sz="0" w:space="0" w:color="auto"/>
                <w:bottom w:val="none" w:sz="0" w:space="0" w:color="auto"/>
                <w:right w:val="none" w:sz="0" w:space="0" w:color="auto"/>
              </w:divBdr>
              <w:divsChild>
                <w:div w:id="297230258">
                  <w:marLeft w:val="0"/>
                  <w:marRight w:val="0"/>
                  <w:marTop w:val="0"/>
                  <w:marBottom w:val="0"/>
                  <w:divBdr>
                    <w:top w:val="none" w:sz="0" w:space="0" w:color="auto"/>
                    <w:left w:val="none" w:sz="0" w:space="0" w:color="auto"/>
                    <w:bottom w:val="none" w:sz="0" w:space="0" w:color="auto"/>
                    <w:right w:val="none" w:sz="0" w:space="0" w:color="auto"/>
                  </w:divBdr>
                  <w:divsChild>
                    <w:div w:id="1510834068">
                      <w:marLeft w:val="0"/>
                      <w:marRight w:val="0"/>
                      <w:marTop w:val="0"/>
                      <w:marBottom w:val="0"/>
                      <w:divBdr>
                        <w:top w:val="none" w:sz="0" w:space="0" w:color="auto"/>
                        <w:left w:val="none" w:sz="0" w:space="0" w:color="auto"/>
                        <w:bottom w:val="none" w:sz="0" w:space="0" w:color="auto"/>
                        <w:right w:val="none" w:sz="0" w:space="0" w:color="auto"/>
                      </w:divBdr>
                      <w:divsChild>
                        <w:div w:id="648293535">
                          <w:marLeft w:val="0"/>
                          <w:marRight w:val="0"/>
                          <w:marTop w:val="0"/>
                          <w:marBottom w:val="0"/>
                          <w:divBdr>
                            <w:top w:val="none" w:sz="0" w:space="0" w:color="auto"/>
                            <w:left w:val="none" w:sz="0" w:space="0" w:color="auto"/>
                            <w:bottom w:val="none" w:sz="0" w:space="0" w:color="auto"/>
                            <w:right w:val="none" w:sz="0" w:space="0" w:color="auto"/>
                          </w:divBdr>
                          <w:divsChild>
                            <w:div w:id="1632592507">
                              <w:marLeft w:val="0"/>
                              <w:marRight w:val="0"/>
                              <w:marTop w:val="0"/>
                              <w:marBottom w:val="0"/>
                              <w:divBdr>
                                <w:top w:val="none" w:sz="0" w:space="0" w:color="auto"/>
                                <w:left w:val="none" w:sz="0" w:space="0" w:color="auto"/>
                                <w:bottom w:val="none" w:sz="0" w:space="0" w:color="auto"/>
                                <w:right w:val="none" w:sz="0" w:space="0" w:color="auto"/>
                              </w:divBdr>
                              <w:divsChild>
                                <w:div w:id="202518871">
                                  <w:marLeft w:val="0"/>
                                  <w:marRight w:val="0"/>
                                  <w:marTop w:val="0"/>
                                  <w:marBottom w:val="0"/>
                                  <w:divBdr>
                                    <w:top w:val="none" w:sz="0" w:space="0" w:color="auto"/>
                                    <w:left w:val="none" w:sz="0" w:space="0" w:color="auto"/>
                                    <w:bottom w:val="none" w:sz="0" w:space="0" w:color="auto"/>
                                    <w:right w:val="none" w:sz="0" w:space="0" w:color="auto"/>
                                  </w:divBdr>
                                  <w:divsChild>
                                    <w:div w:id="1978949329">
                                      <w:marLeft w:val="0"/>
                                      <w:marRight w:val="0"/>
                                      <w:marTop w:val="0"/>
                                      <w:marBottom w:val="0"/>
                                      <w:divBdr>
                                        <w:top w:val="none" w:sz="0" w:space="0" w:color="auto"/>
                                        <w:left w:val="none" w:sz="0" w:space="0" w:color="auto"/>
                                        <w:bottom w:val="none" w:sz="0" w:space="0" w:color="auto"/>
                                        <w:right w:val="none" w:sz="0" w:space="0" w:color="auto"/>
                                      </w:divBdr>
                                      <w:divsChild>
                                        <w:div w:id="66683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2205928">
          <w:marLeft w:val="0"/>
          <w:marRight w:val="0"/>
          <w:marTop w:val="0"/>
          <w:marBottom w:val="0"/>
          <w:divBdr>
            <w:top w:val="none" w:sz="0" w:space="0" w:color="auto"/>
            <w:left w:val="none" w:sz="0" w:space="0" w:color="auto"/>
            <w:bottom w:val="none" w:sz="0" w:space="0" w:color="auto"/>
            <w:right w:val="none" w:sz="0" w:space="0" w:color="auto"/>
          </w:divBdr>
          <w:divsChild>
            <w:div w:id="202795214">
              <w:marLeft w:val="0"/>
              <w:marRight w:val="0"/>
              <w:marTop w:val="0"/>
              <w:marBottom w:val="0"/>
              <w:divBdr>
                <w:top w:val="none" w:sz="0" w:space="0" w:color="auto"/>
                <w:left w:val="none" w:sz="0" w:space="0" w:color="auto"/>
                <w:bottom w:val="none" w:sz="0" w:space="0" w:color="auto"/>
                <w:right w:val="none" w:sz="0" w:space="0" w:color="auto"/>
              </w:divBdr>
              <w:divsChild>
                <w:div w:id="194269489">
                  <w:marLeft w:val="0"/>
                  <w:marRight w:val="0"/>
                  <w:marTop w:val="0"/>
                  <w:marBottom w:val="0"/>
                  <w:divBdr>
                    <w:top w:val="none" w:sz="0" w:space="0" w:color="auto"/>
                    <w:left w:val="none" w:sz="0" w:space="0" w:color="auto"/>
                    <w:bottom w:val="none" w:sz="0" w:space="0" w:color="auto"/>
                    <w:right w:val="none" w:sz="0" w:space="0" w:color="auto"/>
                  </w:divBdr>
                  <w:divsChild>
                    <w:div w:id="322318650">
                      <w:marLeft w:val="0"/>
                      <w:marRight w:val="0"/>
                      <w:marTop w:val="0"/>
                      <w:marBottom w:val="0"/>
                      <w:divBdr>
                        <w:top w:val="none" w:sz="0" w:space="0" w:color="auto"/>
                        <w:left w:val="none" w:sz="0" w:space="0" w:color="auto"/>
                        <w:bottom w:val="none" w:sz="0" w:space="0" w:color="auto"/>
                        <w:right w:val="none" w:sz="0" w:space="0" w:color="auto"/>
                      </w:divBdr>
                      <w:divsChild>
                        <w:div w:id="1496648839">
                          <w:marLeft w:val="0"/>
                          <w:marRight w:val="0"/>
                          <w:marTop w:val="0"/>
                          <w:marBottom w:val="0"/>
                          <w:divBdr>
                            <w:top w:val="none" w:sz="0" w:space="0" w:color="auto"/>
                            <w:left w:val="none" w:sz="0" w:space="0" w:color="auto"/>
                            <w:bottom w:val="none" w:sz="0" w:space="0" w:color="auto"/>
                            <w:right w:val="none" w:sz="0" w:space="0" w:color="auto"/>
                          </w:divBdr>
                          <w:divsChild>
                            <w:div w:id="659622338">
                              <w:marLeft w:val="0"/>
                              <w:marRight w:val="0"/>
                              <w:marTop w:val="0"/>
                              <w:marBottom w:val="0"/>
                              <w:divBdr>
                                <w:top w:val="none" w:sz="0" w:space="0" w:color="auto"/>
                                <w:left w:val="none" w:sz="0" w:space="0" w:color="auto"/>
                                <w:bottom w:val="none" w:sz="0" w:space="0" w:color="auto"/>
                                <w:right w:val="none" w:sz="0" w:space="0" w:color="auto"/>
                              </w:divBdr>
                              <w:divsChild>
                                <w:div w:id="125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862343">
                  <w:marLeft w:val="0"/>
                  <w:marRight w:val="0"/>
                  <w:marTop w:val="0"/>
                  <w:marBottom w:val="0"/>
                  <w:divBdr>
                    <w:top w:val="none" w:sz="0" w:space="0" w:color="auto"/>
                    <w:left w:val="none" w:sz="0" w:space="0" w:color="auto"/>
                    <w:bottom w:val="none" w:sz="0" w:space="0" w:color="auto"/>
                    <w:right w:val="none" w:sz="0" w:space="0" w:color="auto"/>
                  </w:divBdr>
                  <w:divsChild>
                    <w:div w:id="1702514855">
                      <w:marLeft w:val="0"/>
                      <w:marRight w:val="0"/>
                      <w:marTop w:val="0"/>
                      <w:marBottom w:val="0"/>
                      <w:divBdr>
                        <w:top w:val="none" w:sz="0" w:space="0" w:color="auto"/>
                        <w:left w:val="none" w:sz="0" w:space="0" w:color="auto"/>
                        <w:bottom w:val="none" w:sz="0" w:space="0" w:color="auto"/>
                        <w:right w:val="none" w:sz="0" w:space="0" w:color="auto"/>
                      </w:divBdr>
                      <w:divsChild>
                        <w:div w:id="1117675513">
                          <w:marLeft w:val="0"/>
                          <w:marRight w:val="0"/>
                          <w:marTop w:val="0"/>
                          <w:marBottom w:val="0"/>
                          <w:divBdr>
                            <w:top w:val="none" w:sz="0" w:space="0" w:color="auto"/>
                            <w:left w:val="none" w:sz="0" w:space="0" w:color="auto"/>
                            <w:bottom w:val="none" w:sz="0" w:space="0" w:color="auto"/>
                            <w:right w:val="none" w:sz="0" w:space="0" w:color="auto"/>
                          </w:divBdr>
                          <w:divsChild>
                            <w:div w:id="1148278021">
                              <w:marLeft w:val="0"/>
                              <w:marRight w:val="0"/>
                              <w:marTop w:val="0"/>
                              <w:marBottom w:val="0"/>
                              <w:divBdr>
                                <w:top w:val="none" w:sz="0" w:space="0" w:color="auto"/>
                                <w:left w:val="none" w:sz="0" w:space="0" w:color="auto"/>
                                <w:bottom w:val="none" w:sz="0" w:space="0" w:color="auto"/>
                                <w:right w:val="none" w:sz="0" w:space="0" w:color="auto"/>
                              </w:divBdr>
                              <w:divsChild>
                                <w:div w:id="1347170566">
                                  <w:marLeft w:val="0"/>
                                  <w:marRight w:val="0"/>
                                  <w:marTop w:val="0"/>
                                  <w:marBottom w:val="0"/>
                                  <w:divBdr>
                                    <w:top w:val="none" w:sz="0" w:space="0" w:color="auto"/>
                                    <w:left w:val="none" w:sz="0" w:space="0" w:color="auto"/>
                                    <w:bottom w:val="none" w:sz="0" w:space="0" w:color="auto"/>
                                    <w:right w:val="none" w:sz="0" w:space="0" w:color="auto"/>
                                  </w:divBdr>
                                  <w:divsChild>
                                    <w:div w:id="18280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828922">
      <w:bodyDiv w:val="1"/>
      <w:marLeft w:val="0"/>
      <w:marRight w:val="0"/>
      <w:marTop w:val="0"/>
      <w:marBottom w:val="0"/>
      <w:divBdr>
        <w:top w:val="none" w:sz="0" w:space="0" w:color="auto"/>
        <w:left w:val="none" w:sz="0" w:space="0" w:color="auto"/>
        <w:bottom w:val="none" w:sz="0" w:space="0" w:color="auto"/>
        <w:right w:val="none" w:sz="0" w:space="0" w:color="auto"/>
      </w:divBdr>
    </w:div>
    <w:div w:id="1709404231">
      <w:bodyDiv w:val="1"/>
      <w:marLeft w:val="0"/>
      <w:marRight w:val="0"/>
      <w:marTop w:val="0"/>
      <w:marBottom w:val="0"/>
      <w:divBdr>
        <w:top w:val="none" w:sz="0" w:space="0" w:color="auto"/>
        <w:left w:val="none" w:sz="0" w:space="0" w:color="auto"/>
        <w:bottom w:val="none" w:sz="0" w:space="0" w:color="auto"/>
        <w:right w:val="none" w:sz="0" w:space="0" w:color="auto"/>
      </w:divBdr>
    </w:div>
    <w:div w:id="1722905493">
      <w:bodyDiv w:val="1"/>
      <w:marLeft w:val="0"/>
      <w:marRight w:val="0"/>
      <w:marTop w:val="0"/>
      <w:marBottom w:val="0"/>
      <w:divBdr>
        <w:top w:val="none" w:sz="0" w:space="0" w:color="auto"/>
        <w:left w:val="none" w:sz="0" w:space="0" w:color="auto"/>
        <w:bottom w:val="none" w:sz="0" w:space="0" w:color="auto"/>
        <w:right w:val="none" w:sz="0" w:space="0" w:color="auto"/>
      </w:divBdr>
    </w:div>
    <w:div w:id="1723207850">
      <w:bodyDiv w:val="1"/>
      <w:marLeft w:val="0"/>
      <w:marRight w:val="0"/>
      <w:marTop w:val="0"/>
      <w:marBottom w:val="0"/>
      <w:divBdr>
        <w:top w:val="none" w:sz="0" w:space="0" w:color="auto"/>
        <w:left w:val="none" w:sz="0" w:space="0" w:color="auto"/>
        <w:bottom w:val="none" w:sz="0" w:space="0" w:color="auto"/>
        <w:right w:val="none" w:sz="0" w:space="0" w:color="auto"/>
      </w:divBdr>
    </w:div>
    <w:div w:id="1733775562">
      <w:bodyDiv w:val="1"/>
      <w:marLeft w:val="0"/>
      <w:marRight w:val="0"/>
      <w:marTop w:val="0"/>
      <w:marBottom w:val="0"/>
      <w:divBdr>
        <w:top w:val="none" w:sz="0" w:space="0" w:color="auto"/>
        <w:left w:val="none" w:sz="0" w:space="0" w:color="auto"/>
        <w:bottom w:val="none" w:sz="0" w:space="0" w:color="auto"/>
        <w:right w:val="none" w:sz="0" w:space="0" w:color="auto"/>
      </w:divBdr>
    </w:div>
    <w:div w:id="1738016121">
      <w:bodyDiv w:val="1"/>
      <w:marLeft w:val="0"/>
      <w:marRight w:val="0"/>
      <w:marTop w:val="0"/>
      <w:marBottom w:val="0"/>
      <w:divBdr>
        <w:top w:val="none" w:sz="0" w:space="0" w:color="auto"/>
        <w:left w:val="none" w:sz="0" w:space="0" w:color="auto"/>
        <w:bottom w:val="none" w:sz="0" w:space="0" w:color="auto"/>
        <w:right w:val="none" w:sz="0" w:space="0" w:color="auto"/>
      </w:divBdr>
    </w:div>
    <w:div w:id="1742629644">
      <w:marLeft w:val="0"/>
      <w:marRight w:val="0"/>
      <w:marTop w:val="0"/>
      <w:marBottom w:val="0"/>
      <w:divBdr>
        <w:top w:val="none" w:sz="0" w:space="0" w:color="auto"/>
        <w:left w:val="none" w:sz="0" w:space="0" w:color="auto"/>
        <w:bottom w:val="none" w:sz="0" w:space="0" w:color="auto"/>
        <w:right w:val="none" w:sz="0" w:space="0" w:color="auto"/>
      </w:divBdr>
    </w:div>
    <w:div w:id="1743913351">
      <w:bodyDiv w:val="1"/>
      <w:marLeft w:val="0"/>
      <w:marRight w:val="0"/>
      <w:marTop w:val="0"/>
      <w:marBottom w:val="0"/>
      <w:divBdr>
        <w:top w:val="none" w:sz="0" w:space="0" w:color="auto"/>
        <w:left w:val="none" w:sz="0" w:space="0" w:color="auto"/>
        <w:bottom w:val="none" w:sz="0" w:space="0" w:color="auto"/>
        <w:right w:val="none" w:sz="0" w:space="0" w:color="auto"/>
      </w:divBdr>
    </w:div>
    <w:div w:id="1746415252">
      <w:bodyDiv w:val="1"/>
      <w:marLeft w:val="0"/>
      <w:marRight w:val="0"/>
      <w:marTop w:val="0"/>
      <w:marBottom w:val="0"/>
      <w:divBdr>
        <w:top w:val="none" w:sz="0" w:space="0" w:color="auto"/>
        <w:left w:val="none" w:sz="0" w:space="0" w:color="auto"/>
        <w:bottom w:val="none" w:sz="0" w:space="0" w:color="auto"/>
        <w:right w:val="none" w:sz="0" w:space="0" w:color="auto"/>
      </w:divBdr>
    </w:div>
    <w:div w:id="1753507950">
      <w:bodyDiv w:val="1"/>
      <w:marLeft w:val="0"/>
      <w:marRight w:val="0"/>
      <w:marTop w:val="0"/>
      <w:marBottom w:val="0"/>
      <w:divBdr>
        <w:top w:val="none" w:sz="0" w:space="0" w:color="auto"/>
        <w:left w:val="none" w:sz="0" w:space="0" w:color="auto"/>
        <w:bottom w:val="none" w:sz="0" w:space="0" w:color="auto"/>
        <w:right w:val="none" w:sz="0" w:space="0" w:color="auto"/>
      </w:divBdr>
    </w:div>
    <w:div w:id="1761871419">
      <w:bodyDiv w:val="1"/>
      <w:marLeft w:val="0"/>
      <w:marRight w:val="0"/>
      <w:marTop w:val="0"/>
      <w:marBottom w:val="0"/>
      <w:divBdr>
        <w:top w:val="none" w:sz="0" w:space="0" w:color="auto"/>
        <w:left w:val="none" w:sz="0" w:space="0" w:color="auto"/>
        <w:bottom w:val="none" w:sz="0" w:space="0" w:color="auto"/>
        <w:right w:val="none" w:sz="0" w:space="0" w:color="auto"/>
      </w:divBdr>
    </w:div>
    <w:div w:id="1771782217">
      <w:bodyDiv w:val="1"/>
      <w:marLeft w:val="0"/>
      <w:marRight w:val="0"/>
      <w:marTop w:val="0"/>
      <w:marBottom w:val="0"/>
      <w:divBdr>
        <w:top w:val="none" w:sz="0" w:space="0" w:color="auto"/>
        <w:left w:val="none" w:sz="0" w:space="0" w:color="auto"/>
        <w:bottom w:val="none" w:sz="0" w:space="0" w:color="auto"/>
        <w:right w:val="none" w:sz="0" w:space="0" w:color="auto"/>
      </w:divBdr>
    </w:div>
    <w:div w:id="1784839632">
      <w:bodyDiv w:val="1"/>
      <w:marLeft w:val="0"/>
      <w:marRight w:val="0"/>
      <w:marTop w:val="0"/>
      <w:marBottom w:val="0"/>
      <w:divBdr>
        <w:top w:val="none" w:sz="0" w:space="0" w:color="auto"/>
        <w:left w:val="none" w:sz="0" w:space="0" w:color="auto"/>
        <w:bottom w:val="none" w:sz="0" w:space="0" w:color="auto"/>
        <w:right w:val="none" w:sz="0" w:space="0" w:color="auto"/>
      </w:divBdr>
    </w:div>
    <w:div w:id="1789661396">
      <w:bodyDiv w:val="1"/>
      <w:marLeft w:val="0"/>
      <w:marRight w:val="0"/>
      <w:marTop w:val="0"/>
      <w:marBottom w:val="0"/>
      <w:divBdr>
        <w:top w:val="none" w:sz="0" w:space="0" w:color="auto"/>
        <w:left w:val="none" w:sz="0" w:space="0" w:color="auto"/>
        <w:bottom w:val="none" w:sz="0" w:space="0" w:color="auto"/>
        <w:right w:val="none" w:sz="0" w:space="0" w:color="auto"/>
      </w:divBdr>
    </w:div>
    <w:div w:id="1810244156">
      <w:bodyDiv w:val="1"/>
      <w:marLeft w:val="0"/>
      <w:marRight w:val="0"/>
      <w:marTop w:val="0"/>
      <w:marBottom w:val="0"/>
      <w:divBdr>
        <w:top w:val="none" w:sz="0" w:space="0" w:color="auto"/>
        <w:left w:val="none" w:sz="0" w:space="0" w:color="auto"/>
        <w:bottom w:val="none" w:sz="0" w:space="0" w:color="auto"/>
        <w:right w:val="none" w:sz="0" w:space="0" w:color="auto"/>
      </w:divBdr>
    </w:div>
    <w:div w:id="1812749248">
      <w:bodyDiv w:val="1"/>
      <w:marLeft w:val="0"/>
      <w:marRight w:val="0"/>
      <w:marTop w:val="0"/>
      <w:marBottom w:val="0"/>
      <w:divBdr>
        <w:top w:val="none" w:sz="0" w:space="0" w:color="auto"/>
        <w:left w:val="none" w:sz="0" w:space="0" w:color="auto"/>
        <w:bottom w:val="none" w:sz="0" w:space="0" w:color="auto"/>
        <w:right w:val="none" w:sz="0" w:space="0" w:color="auto"/>
      </w:divBdr>
    </w:div>
    <w:div w:id="1830947631">
      <w:bodyDiv w:val="1"/>
      <w:marLeft w:val="0"/>
      <w:marRight w:val="0"/>
      <w:marTop w:val="0"/>
      <w:marBottom w:val="0"/>
      <w:divBdr>
        <w:top w:val="none" w:sz="0" w:space="0" w:color="auto"/>
        <w:left w:val="none" w:sz="0" w:space="0" w:color="auto"/>
        <w:bottom w:val="none" w:sz="0" w:space="0" w:color="auto"/>
        <w:right w:val="none" w:sz="0" w:space="0" w:color="auto"/>
      </w:divBdr>
      <w:divsChild>
        <w:div w:id="697121345">
          <w:marLeft w:val="0"/>
          <w:marRight w:val="0"/>
          <w:marTop w:val="0"/>
          <w:marBottom w:val="0"/>
          <w:divBdr>
            <w:top w:val="none" w:sz="0" w:space="0" w:color="auto"/>
            <w:left w:val="none" w:sz="0" w:space="0" w:color="auto"/>
            <w:bottom w:val="none" w:sz="0" w:space="0" w:color="auto"/>
            <w:right w:val="none" w:sz="0" w:space="0" w:color="auto"/>
          </w:divBdr>
        </w:div>
      </w:divsChild>
    </w:div>
    <w:div w:id="1832406560">
      <w:bodyDiv w:val="1"/>
      <w:marLeft w:val="0"/>
      <w:marRight w:val="0"/>
      <w:marTop w:val="0"/>
      <w:marBottom w:val="0"/>
      <w:divBdr>
        <w:top w:val="none" w:sz="0" w:space="0" w:color="auto"/>
        <w:left w:val="none" w:sz="0" w:space="0" w:color="auto"/>
        <w:bottom w:val="none" w:sz="0" w:space="0" w:color="auto"/>
        <w:right w:val="none" w:sz="0" w:space="0" w:color="auto"/>
      </w:divBdr>
    </w:div>
    <w:div w:id="1838574821">
      <w:bodyDiv w:val="1"/>
      <w:marLeft w:val="0"/>
      <w:marRight w:val="0"/>
      <w:marTop w:val="0"/>
      <w:marBottom w:val="0"/>
      <w:divBdr>
        <w:top w:val="none" w:sz="0" w:space="0" w:color="auto"/>
        <w:left w:val="none" w:sz="0" w:space="0" w:color="auto"/>
        <w:bottom w:val="none" w:sz="0" w:space="0" w:color="auto"/>
        <w:right w:val="none" w:sz="0" w:space="0" w:color="auto"/>
      </w:divBdr>
    </w:div>
    <w:div w:id="1847595919">
      <w:marLeft w:val="0"/>
      <w:marRight w:val="0"/>
      <w:marTop w:val="0"/>
      <w:marBottom w:val="0"/>
      <w:divBdr>
        <w:top w:val="none" w:sz="0" w:space="0" w:color="auto"/>
        <w:left w:val="none" w:sz="0" w:space="0" w:color="auto"/>
        <w:bottom w:val="none" w:sz="0" w:space="0" w:color="auto"/>
        <w:right w:val="none" w:sz="0" w:space="0" w:color="auto"/>
      </w:divBdr>
    </w:div>
    <w:div w:id="1850217928">
      <w:bodyDiv w:val="1"/>
      <w:marLeft w:val="0"/>
      <w:marRight w:val="0"/>
      <w:marTop w:val="0"/>
      <w:marBottom w:val="0"/>
      <w:divBdr>
        <w:top w:val="none" w:sz="0" w:space="0" w:color="auto"/>
        <w:left w:val="none" w:sz="0" w:space="0" w:color="auto"/>
        <w:bottom w:val="none" w:sz="0" w:space="0" w:color="auto"/>
        <w:right w:val="none" w:sz="0" w:space="0" w:color="auto"/>
      </w:divBdr>
    </w:div>
    <w:div w:id="1857382272">
      <w:bodyDiv w:val="1"/>
      <w:marLeft w:val="0"/>
      <w:marRight w:val="0"/>
      <w:marTop w:val="0"/>
      <w:marBottom w:val="0"/>
      <w:divBdr>
        <w:top w:val="none" w:sz="0" w:space="0" w:color="auto"/>
        <w:left w:val="none" w:sz="0" w:space="0" w:color="auto"/>
        <w:bottom w:val="none" w:sz="0" w:space="0" w:color="auto"/>
        <w:right w:val="none" w:sz="0" w:space="0" w:color="auto"/>
      </w:divBdr>
      <w:divsChild>
        <w:div w:id="1820610225">
          <w:marLeft w:val="0"/>
          <w:marRight w:val="0"/>
          <w:marTop w:val="0"/>
          <w:marBottom w:val="0"/>
          <w:divBdr>
            <w:top w:val="none" w:sz="0" w:space="0" w:color="auto"/>
            <w:left w:val="none" w:sz="0" w:space="0" w:color="auto"/>
            <w:bottom w:val="none" w:sz="0" w:space="0" w:color="auto"/>
            <w:right w:val="none" w:sz="0" w:space="0" w:color="auto"/>
          </w:divBdr>
          <w:divsChild>
            <w:div w:id="181738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394">
      <w:bodyDiv w:val="1"/>
      <w:marLeft w:val="0"/>
      <w:marRight w:val="0"/>
      <w:marTop w:val="0"/>
      <w:marBottom w:val="0"/>
      <w:divBdr>
        <w:top w:val="none" w:sz="0" w:space="0" w:color="auto"/>
        <w:left w:val="none" w:sz="0" w:space="0" w:color="auto"/>
        <w:bottom w:val="none" w:sz="0" w:space="0" w:color="auto"/>
        <w:right w:val="none" w:sz="0" w:space="0" w:color="auto"/>
      </w:divBdr>
      <w:divsChild>
        <w:div w:id="1591348251">
          <w:marLeft w:val="0"/>
          <w:marRight w:val="0"/>
          <w:marTop w:val="0"/>
          <w:marBottom w:val="0"/>
          <w:divBdr>
            <w:top w:val="none" w:sz="0" w:space="0" w:color="auto"/>
            <w:left w:val="none" w:sz="0" w:space="0" w:color="auto"/>
            <w:bottom w:val="none" w:sz="0" w:space="0" w:color="auto"/>
            <w:right w:val="none" w:sz="0" w:space="0" w:color="auto"/>
          </w:divBdr>
        </w:div>
      </w:divsChild>
    </w:div>
    <w:div w:id="1865744764">
      <w:bodyDiv w:val="1"/>
      <w:marLeft w:val="0"/>
      <w:marRight w:val="0"/>
      <w:marTop w:val="0"/>
      <w:marBottom w:val="0"/>
      <w:divBdr>
        <w:top w:val="none" w:sz="0" w:space="0" w:color="auto"/>
        <w:left w:val="none" w:sz="0" w:space="0" w:color="auto"/>
        <w:bottom w:val="none" w:sz="0" w:space="0" w:color="auto"/>
        <w:right w:val="none" w:sz="0" w:space="0" w:color="auto"/>
      </w:divBdr>
    </w:div>
    <w:div w:id="1873498451">
      <w:bodyDiv w:val="1"/>
      <w:marLeft w:val="0"/>
      <w:marRight w:val="0"/>
      <w:marTop w:val="0"/>
      <w:marBottom w:val="0"/>
      <w:divBdr>
        <w:top w:val="none" w:sz="0" w:space="0" w:color="auto"/>
        <w:left w:val="none" w:sz="0" w:space="0" w:color="auto"/>
        <w:bottom w:val="none" w:sz="0" w:space="0" w:color="auto"/>
        <w:right w:val="none" w:sz="0" w:space="0" w:color="auto"/>
      </w:divBdr>
      <w:divsChild>
        <w:div w:id="622540039">
          <w:marLeft w:val="0"/>
          <w:marRight w:val="0"/>
          <w:marTop w:val="0"/>
          <w:marBottom w:val="0"/>
          <w:divBdr>
            <w:top w:val="none" w:sz="0" w:space="0" w:color="auto"/>
            <w:left w:val="none" w:sz="0" w:space="0" w:color="auto"/>
            <w:bottom w:val="none" w:sz="0" w:space="0" w:color="auto"/>
            <w:right w:val="none" w:sz="0" w:space="0" w:color="auto"/>
          </w:divBdr>
        </w:div>
        <w:div w:id="1734893637">
          <w:marLeft w:val="0"/>
          <w:marRight w:val="0"/>
          <w:marTop w:val="0"/>
          <w:marBottom w:val="0"/>
          <w:divBdr>
            <w:top w:val="none" w:sz="0" w:space="0" w:color="auto"/>
            <w:left w:val="none" w:sz="0" w:space="0" w:color="auto"/>
            <w:bottom w:val="none" w:sz="0" w:space="0" w:color="auto"/>
            <w:right w:val="none" w:sz="0" w:space="0" w:color="auto"/>
          </w:divBdr>
        </w:div>
        <w:div w:id="1690641167">
          <w:marLeft w:val="0"/>
          <w:marRight w:val="0"/>
          <w:marTop w:val="0"/>
          <w:marBottom w:val="0"/>
          <w:divBdr>
            <w:top w:val="none" w:sz="0" w:space="0" w:color="auto"/>
            <w:left w:val="none" w:sz="0" w:space="0" w:color="auto"/>
            <w:bottom w:val="none" w:sz="0" w:space="0" w:color="auto"/>
            <w:right w:val="none" w:sz="0" w:space="0" w:color="auto"/>
          </w:divBdr>
        </w:div>
        <w:div w:id="2136293020">
          <w:marLeft w:val="0"/>
          <w:marRight w:val="0"/>
          <w:marTop w:val="0"/>
          <w:marBottom w:val="0"/>
          <w:divBdr>
            <w:top w:val="none" w:sz="0" w:space="0" w:color="auto"/>
            <w:left w:val="none" w:sz="0" w:space="0" w:color="auto"/>
            <w:bottom w:val="none" w:sz="0" w:space="0" w:color="auto"/>
            <w:right w:val="none" w:sz="0" w:space="0" w:color="auto"/>
          </w:divBdr>
          <w:divsChild>
            <w:div w:id="1216432700">
              <w:marLeft w:val="-75"/>
              <w:marRight w:val="0"/>
              <w:marTop w:val="30"/>
              <w:marBottom w:val="30"/>
              <w:divBdr>
                <w:top w:val="none" w:sz="0" w:space="0" w:color="auto"/>
                <w:left w:val="none" w:sz="0" w:space="0" w:color="auto"/>
                <w:bottom w:val="none" w:sz="0" w:space="0" w:color="auto"/>
                <w:right w:val="none" w:sz="0" w:space="0" w:color="auto"/>
              </w:divBdr>
              <w:divsChild>
                <w:div w:id="269630660">
                  <w:marLeft w:val="0"/>
                  <w:marRight w:val="0"/>
                  <w:marTop w:val="0"/>
                  <w:marBottom w:val="0"/>
                  <w:divBdr>
                    <w:top w:val="none" w:sz="0" w:space="0" w:color="auto"/>
                    <w:left w:val="none" w:sz="0" w:space="0" w:color="auto"/>
                    <w:bottom w:val="none" w:sz="0" w:space="0" w:color="auto"/>
                    <w:right w:val="none" w:sz="0" w:space="0" w:color="auto"/>
                  </w:divBdr>
                  <w:divsChild>
                    <w:div w:id="226503473">
                      <w:marLeft w:val="0"/>
                      <w:marRight w:val="0"/>
                      <w:marTop w:val="0"/>
                      <w:marBottom w:val="0"/>
                      <w:divBdr>
                        <w:top w:val="none" w:sz="0" w:space="0" w:color="auto"/>
                        <w:left w:val="none" w:sz="0" w:space="0" w:color="auto"/>
                        <w:bottom w:val="none" w:sz="0" w:space="0" w:color="auto"/>
                        <w:right w:val="none" w:sz="0" w:space="0" w:color="auto"/>
                      </w:divBdr>
                    </w:div>
                  </w:divsChild>
                </w:div>
                <w:div w:id="764886925">
                  <w:marLeft w:val="0"/>
                  <w:marRight w:val="0"/>
                  <w:marTop w:val="0"/>
                  <w:marBottom w:val="0"/>
                  <w:divBdr>
                    <w:top w:val="none" w:sz="0" w:space="0" w:color="auto"/>
                    <w:left w:val="none" w:sz="0" w:space="0" w:color="auto"/>
                    <w:bottom w:val="none" w:sz="0" w:space="0" w:color="auto"/>
                    <w:right w:val="none" w:sz="0" w:space="0" w:color="auto"/>
                  </w:divBdr>
                  <w:divsChild>
                    <w:div w:id="1026831461">
                      <w:marLeft w:val="0"/>
                      <w:marRight w:val="0"/>
                      <w:marTop w:val="0"/>
                      <w:marBottom w:val="0"/>
                      <w:divBdr>
                        <w:top w:val="none" w:sz="0" w:space="0" w:color="auto"/>
                        <w:left w:val="none" w:sz="0" w:space="0" w:color="auto"/>
                        <w:bottom w:val="none" w:sz="0" w:space="0" w:color="auto"/>
                        <w:right w:val="none" w:sz="0" w:space="0" w:color="auto"/>
                      </w:divBdr>
                    </w:div>
                  </w:divsChild>
                </w:div>
                <w:div w:id="1453405454">
                  <w:marLeft w:val="0"/>
                  <w:marRight w:val="0"/>
                  <w:marTop w:val="0"/>
                  <w:marBottom w:val="0"/>
                  <w:divBdr>
                    <w:top w:val="none" w:sz="0" w:space="0" w:color="auto"/>
                    <w:left w:val="none" w:sz="0" w:space="0" w:color="auto"/>
                    <w:bottom w:val="none" w:sz="0" w:space="0" w:color="auto"/>
                    <w:right w:val="none" w:sz="0" w:space="0" w:color="auto"/>
                  </w:divBdr>
                  <w:divsChild>
                    <w:div w:id="364065941">
                      <w:marLeft w:val="0"/>
                      <w:marRight w:val="0"/>
                      <w:marTop w:val="0"/>
                      <w:marBottom w:val="0"/>
                      <w:divBdr>
                        <w:top w:val="none" w:sz="0" w:space="0" w:color="auto"/>
                        <w:left w:val="none" w:sz="0" w:space="0" w:color="auto"/>
                        <w:bottom w:val="none" w:sz="0" w:space="0" w:color="auto"/>
                        <w:right w:val="none" w:sz="0" w:space="0" w:color="auto"/>
                      </w:divBdr>
                    </w:div>
                  </w:divsChild>
                </w:div>
                <w:div w:id="1855264787">
                  <w:marLeft w:val="0"/>
                  <w:marRight w:val="0"/>
                  <w:marTop w:val="0"/>
                  <w:marBottom w:val="0"/>
                  <w:divBdr>
                    <w:top w:val="none" w:sz="0" w:space="0" w:color="auto"/>
                    <w:left w:val="none" w:sz="0" w:space="0" w:color="auto"/>
                    <w:bottom w:val="none" w:sz="0" w:space="0" w:color="auto"/>
                    <w:right w:val="none" w:sz="0" w:space="0" w:color="auto"/>
                  </w:divBdr>
                  <w:divsChild>
                    <w:div w:id="63113770">
                      <w:marLeft w:val="0"/>
                      <w:marRight w:val="0"/>
                      <w:marTop w:val="0"/>
                      <w:marBottom w:val="0"/>
                      <w:divBdr>
                        <w:top w:val="none" w:sz="0" w:space="0" w:color="auto"/>
                        <w:left w:val="none" w:sz="0" w:space="0" w:color="auto"/>
                        <w:bottom w:val="none" w:sz="0" w:space="0" w:color="auto"/>
                        <w:right w:val="none" w:sz="0" w:space="0" w:color="auto"/>
                      </w:divBdr>
                    </w:div>
                  </w:divsChild>
                </w:div>
                <w:div w:id="1427384529">
                  <w:marLeft w:val="0"/>
                  <w:marRight w:val="0"/>
                  <w:marTop w:val="0"/>
                  <w:marBottom w:val="0"/>
                  <w:divBdr>
                    <w:top w:val="none" w:sz="0" w:space="0" w:color="auto"/>
                    <w:left w:val="none" w:sz="0" w:space="0" w:color="auto"/>
                    <w:bottom w:val="none" w:sz="0" w:space="0" w:color="auto"/>
                    <w:right w:val="none" w:sz="0" w:space="0" w:color="auto"/>
                  </w:divBdr>
                  <w:divsChild>
                    <w:div w:id="562523776">
                      <w:marLeft w:val="0"/>
                      <w:marRight w:val="0"/>
                      <w:marTop w:val="0"/>
                      <w:marBottom w:val="0"/>
                      <w:divBdr>
                        <w:top w:val="none" w:sz="0" w:space="0" w:color="auto"/>
                        <w:left w:val="none" w:sz="0" w:space="0" w:color="auto"/>
                        <w:bottom w:val="none" w:sz="0" w:space="0" w:color="auto"/>
                        <w:right w:val="none" w:sz="0" w:space="0" w:color="auto"/>
                      </w:divBdr>
                    </w:div>
                  </w:divsChild>
                </w:div>
                <w:div w:id="1059941100">
                  <w:marLeft w:val="0"/>
                  <w:marRight w:val="0"/>
                  <w:marTop w:val="0"/>
                  <w:marBottom w:val="0"/>
                  <w:divBdr>
                    <w:top w:val="none" w:sz="0" w:space="0" w:color="auto"/>
                    <w:left w:val="none" w:sz="0" w:space="0" w:color="auto"/>
                    <w:bottom w:val="none" w:sz="0" w:space="0" w:color="auto"/>
                    <w:right w:val="none" w:sz="0" w:space="0" w:color="auto"/>
                  </w:divBdr>
                  <w:divsChild>
                    <w:div w:id="1869754930">
                      <w:marLeft w:val="0"/>
                      <w:marRight w:val="0"/>
                      <w:marTop w:val="0"/>
                      <w:marBottom w:val="0"/>
                      <w:divBdr>
                        <w:top w:val="none" w:sz="0" w:space="0" w:color="auto"/>
                        <w:left w:val="none" w:sz="0" w:space="0" w:color="auto"/>
                        <w:bottom w:val="none" w:sz="0" w:space="0" w:color="auto"/>
                        <w:right w:val="none" w:sz="0" w:space="0" w:color="auto"/>
                      </w:divBdr>
                    </w:div>
                  </w:divsChild>
                </w:div>
                <w:div w:id="1741635202">
                  <w:marLeft w:val="0"/>
                  <w:marRight w:val="0"/>
                  <w:marTop w:val="0"/>
                  <w:marBottom w:val="0"/>
                  <w:divBdr>
                    <w:top w:val="none" w:sz="0" w:space="0" w:color="auto"/>
                    <w:left w:val="none" w:sz="0" w:space="0" w:color="auto"/>
                    <w:bottom w:val="none" w:sz="0" w:space="0" w:color="auto"/>
                    <w:right w:val="none" w:sz="0" w:space="0" w:color="auto"/>
                  </w:divBdr>
                  <w:divsChild>
                    <w:div w:id="40518323">
                      <w:marLeft w:val="0"/>
                      <w:marRight w:val="0"/>
                      <w:marTop w:val="0"/>
                      <w:marBottom w:val="0"/>
                      <w:divBdr>
                        <w:top w:val="none" w:sz="0" w:space="0" w:color="auto"/>
                        <w:left w:val="none" w:sz="0" w:space="0" w:color="auto"/>
                        <w:bottom w:val="none" w:sz="0" w:space="0" w:color="auto"/>
                        <w:right w:val="none" w:sz="0" w:space="0" w:color="auto"/>
                      </w:divBdr>
                    </w:div>
                  </w:divsChild>
                </w:div>
                <w:div w:id="1587953218">
                  <w:marLeft w:val="0"/>
                  <w:marRight w:val="0"/>
                  <w:marTop w:val="0"/>
                  <w:marBottom w:val="0"/>
                  <w:divBdr>
                    <w:top w:val="none" w:sz="0" w:space="0" w:color="auto"/>
                    <w:left w:val="none" w:sz="0" w:space="0" w:color="auto"/>
                    <w:bottom w:val="none" w:sz="0" w:space="0" w:color="auto"/>
                    <w:right w:val="none" w:sz="0" w:space="0" w:color="auto"/>
                  </w:divBdr>
                  <w:divsChild>
                    <w:div w:id="709457831">
                      <w:marLeft w:val="0"/>
                      <w:marRight w:val="0"/>
                      <w:marTop w:val="0"/>
                      <w:marBottom w:val="0"/>
                      <w:divBdr>
                        <w:top w:val="none" w:sz="0" w:space="0" w:color="auto"/>
                        <w:left w:val="none" w:sz="0" w:space="0" w:color="auto"/>
                        <w:bottom w:val="none" w:sz="0" w:space="0" w:color="auto"/>
                        <w:right w:val="none" w:sz="0" w:space="0" w:color="auto"/>
                      </w:divBdr>
                    </w:div>
                  </w:divsChild>
                </w:div>
                <w:div w:id="200438563">
                  <w:marLeft w:val="0"/>
                  <w:marRight w:val="0"/>
                  <w:marTop w:val="0"/>
                  <w:marBottom w:val="0"/>
                  <w:divBdr>
                    <w:top w:val="none" w:sz="0" w:space="0" w:color="auto"/>
                    <w:left w:val="none" w:sz="0" w:space="0" w:color="auto"/>
                    <w:bottom w:val="none" w:sz="0" w:space="0" w:color="auto"/>
                    <w:right w:val="none" w:sz="0" w:space="0" w:color="auto"/>
                  </w:divBdr>
                  <w:divsChild>
                    <w:div w:id="194467052">
                      <w:marLeft w:val="0"/>
                      <w:marRight w:val="0"/>
                      <w:marTop w:val="0"/>
                      <w:marBottom w:val="0"/>
                      <w:divBdr>
                        <w:top w:val="none" w:sz="0" w:space="0" w:color="auto"/>
                        <w:left w:val="none" w:sz="0" w:space="0" w:color="auto"/>
                        <w:bottom w:val="none" w:sz="0" w:space="0" w:color="auto"/>
                        <w:right w:val="none" w:sz="0" w:space="0" w:color="auto"/>
                      </w:divBdr>
                    </w:div>
                  </w:divsChild>
                </w:div>
                <w:div w:id="599144625">
                  <w:marLeft w:val="0"/>
                  <w:marRight w:val="0"/>
                  <w:marTop w:val="0"/>
                  <w:marBottom w:val="0"/>
                  <w:divBdr>
                    <w:top w:val="none" w:sz="0" w:space="0" w:color="auto"/>
                    <w:left w:val="none" w:sz="0" w:space="0" w:color="auto"/>
                    <w:bottom w:val="none" w:sz="0" w:space="0" w:color="auto"/>
                    <w:right w:val="none" w:sz="0" w:space="0" w:color="auto"/>
                  </w:divBdr>
                  <w:divsChild>
                    <w:div w:id="837690271">
                      <w:marLeft w:val="0"/>
                      <w:marRight w:val="0"/>
                      <w:marTop w:val="0"/>
                      <w:marBottom w:val="0"/>
                      <w:divBdr>
                        <w:top w:val="none" w:sz="0" w:space="0" w:color="auto"/>
                        <w:left w:val="none" w:sz="0" w:space="0" w:color="auto"/>
                        <w:bottom w:val="none" w:sz="0" w:space="0" w:color="auto"/>
                        <w:right w:val="none" w:sz="0" w:space="0" w:color="auto"/>
                      </w:divBdr>
                    </w:div>
                  </w:divsChild>
                </w:div>
                <w:div w:id="864248207">
                  <w:marLeft w:val="0"/>
                  <w:marRight w:val="0"/>
                  <w:marTop w:val="0"/>
                  <w:marBottom w:val="0"/>
                  <w:divBdr>
                    <w:top w:val="none" w:sz="0" w:space="0" w:color="auto"/>
                    <w:left w:val="none" w:sz="0" w:space="0" w:color="auto"/>
                    <w:bottom w:val="none" w:sz="0" w:space="0" w:color="auto"/>
                    <w:right w:val="none" w:sz="0" w:space="0" w:color="auto"/>
                  </w:divBdr>
                  <w:divsChild>
                    <w:div w:id="120223056">
                      <w:marLeft w:val="0"/>
                      <w:marRight w:val="0"/>
                      <w:marTop w:val="0"/>
                      <w:marBottom w:val="0"/>
                      <w:divBdr>
                        <w:top w:val="none" w:sz="0" w:space="0" w:color="auto"/>
                        <w:left w:val="none" w:sz="0" w:space="0" w:color="auto"/>
                        <w:bottom w:val="none" w:sz="0" w:space="0" w:color="auto"/>
                        <w:right w:val="none" w:sz="0" w:space="0" w:color="auto"/>
                      </w:divBdr>
                    </w:div>
                  </w:divsChild>
                </w:div>
                <w:div w:id="759332445">
                  <w:marLeft w:val="0"/>
                  <w:marRight w:val="0"/>
                  <w:marTop w:val="0"/>
                  <w:marBottom w:val="0"/>
                  <w:divBdr>
                    <w:top w:val="none" w:sz="0" w:space="0" w:color="auto"/>
                    <w:left w:val="none" w:sz="0" w:space="0" w:color="auto"/>
                    <w:bottom w:val="none" w:sz="0" w:space="0" w:color="auto"/>
                    <w:right w:val="none" w:sz="0" w:space="0" w:color="auto"/>
                  </w:divBdr>
                  <w:divsChild>
                    <w:div w:id="1249075134">
                      <w:marLeft w:val="0"/>
                      <w:marRight w:val="0"/>
                      <w:marTop w:val="0"/>
                      <w:marBottom w:val="0"/>
                      <w:divBdr>
                        <w:top w:val="none" w:sz="0" w:space="0" w:color="auto"/>
                        <w:left w:val="none" w:sz="0" w:space="0" w:color="auto"/>
                        <w:bottom w:val="none" w:sz="0" w:space="0" w:color="auto"/>
                        <w:right w:val="none" w:sz="0" w:space="0" w:color="auto"/>
                      </w:divBdr>
                    </w:div>
                  </w:divsChild>
                </w:div>
                <w:div w:id="685592004">
                  <w:marLeft w:val="0"/>
                  <w:marRight w:val="0"/>
                  <w:marTop w:val="0"/>
                  <w:marBottom w:val="0"/>
                  <w:divBdr>
                    <w:top w:val="none" w:sz="0" w:space="0" w:color="auto"/>
                    <w:left w:val="none" w:sz="0" w:space="0" w:color="auto"/>
                    <w:bottom w:val="none" w:sz="0" w:space="0" w:color="auto"/>
                    <w:right w:val="none" w:sz="0" w:space="0" w:color="auto"/>
                  </w:divBdr>
                  <w:divsChild>
                    <w:div w:id="1572159944">
                      <w:marLeft w:val="0"/>
                      <w:marRight w:val="0"/>
                      <w:marTop w:val="0"/>
                      <w:marBottom w:val="0"/>
                      <w:divBdr>
                        <w:top w:val="none" w:sz="0" w:space="0" w:color="auto"/>
                        <w:left w:val="none" w:sz="0" w:space="0" w:color="auto"/>
                        <w:bottom w:val="none" w:sz="0" w:space="0" w:color="auto"/>
                        <w:right w:val="none" w:sz="0" w:space="0" w:color="auto"/>
                      </w:divBdr>
                    </w:div>
                  </w:divsChild>
                </w:div>
                <w:div w:id="614365135">
                  <w:marLeft w:val="0"/>
                  <w:marRight w:val="0"/>
                  <w:marTop w:val="0"/>
                  <w:marBottom w:val="0"/>
                  <w:divBdr>
                    <w:top w:val="none" w:sz="0" w:space="0" w:color="auto"/>
                    <w:left w:val="none" w:sz="0" w:space="0" w:color="auto"/>
                    <w:bottom w:val="none" w:sz="0" w:space="0" w:color="auto"/>
                    <w:right w:val="none" w:sz="0" w:space="0" w:color="auto"/>
                  </w:divBdr>
                  <w:divsChild>
                    <w:div w:id="93284914">
                      <w:marLeft w:val="0"/>
                      <w:marRight w:val="0"/>
                      <w:marTop w:val="0"/>
                      <w:marBottom w:val="0"/>
                      <w:divBdr>
                        <w:top w:val="none" w:sz="0" w:space="0" w:color="auto"/>
                        <w:left w:val="none" w:sz="0" w:space="0" w:color="auto"/>
                        <w:bottom w:val="none" w:sz="0" w:space="0" w:color="auto"/>
                        <w:right w:val="none" w:sz="0" w:space="0" w:color="auto"/>
                      </w:divBdr>
                    </w:div>
                  </w:divsChild>
                </w:div>
                <w:div w:id="1722484726">
                  <w:marLeft w:val="0"/>
                  <w:marRight w:val="0"/>
                  <w:marTop w:val="0"/>
                  <w:marBottom w:val="0"/>
                  <w:divBdr>
                    <w:top w:val="none" w:sz="0" w:space="0" w:color="auto"/>
                    <w:left w:val="none" w:sz="0" w:space="0" w:color="auto"/>
                    <w:bottom w:val="none" w:sz="0" w:space="0" w:color="auto"/>
                    <w:right w:val="none" w:sz="0" w:space="0" w:color="auto"/>
                  </w:divBdr>
                  <w:divsChild>
                    <w:div w:id="1554192361">
                      <w:marLeft w:val="0"/>
                      <w:marRight w:val="0"/>
                      <w:marTop w:val="0"/>
                      <w:marBottom w:val="0"/>
                      <w:divBdr>
                        <w:top w:val="none" w:sz="0" w:space="0" w:color="auto"/>
                        <w:left w:val="none" w:sz="0" w:space="0" w:color="auto"/>
                        <w:bottom w:val="none" w:sz="0" w:space="0" w:color="auto"/>
                        <w:right w:val="none" w:sz="0" w:space="0" w:color="auto"/>
                      </w:divBdr>
                    </w:div>
                  </w:divsChild>
                </w:div>
                <w:div w:id="1709338054">
                  <w:marLeft w:val="0"/>
                  <w:marRight w:val="0"/>
                  <w:marTop w:val="0"/>
                  <w:marBottom w:val="0"/>
                  <w:divBdr>
                    <w:top w:val="none" w:sz="0" w:space="0" w:color="auto"/>
                    <w:left w:val="none" w:sz="0" w:space="0" w:color="auto"/>
                    <w:bottom w:val="none" w:sz="0" w:space="0" w:color="auto"/>
                    <w:right w:val="none" w:sz="0" w:space="0" w:color="auto"/>
                  </w:divBdr>
                  <w:divsChild>
                    <w:div w:id="1796832894">
                      <w:marLeft w:val="0"/>
                      <w:marRight w:val="0"/>
                      <w:marTop w:val="0"/>
                      <w:marBottom w:val="0"/>
                      <w:divBdr>
                        <w:top w:val="none" w:sz="0" w:space="0" w:color="auto"/>
                        <w:left w:val="none" w:sz="0" w:space="0" w:color="auto"/>
                        <w:bottom w:val="none" w:sz="0" w:space="0" w:color="auto"/>
                        <w:right w:val="none" w:sz="0" w:space="0" w:color="auto"/>
                      </w:divBdr>
                    </w:div>
                  </w:divsChild>
                </w:div>
                <w:div w:id="275524109">
                  <w:marLeft w:val="0"/>
                  <w:marRight w:val="0"/>
                  <w:marTop w:val="0"/>
                  <w:marBottom w:val="0"/>
                  <w:divBdr>
                    <w:top w:val="none" w:sz="0" w:space="0" w:color="auto"/>
                    <w:left w:val="none" w:sz="0" w:space="0" w:color="auto"/>
                    <w:bottom w:val="none" w:sz="0" w:space="0" w:color="auto"/>
                    <w:right w:val="none" w:sz="0" w:space="0" w:color="auto"/>
                  </w:divBdr>
                  <w:divsChild>
                    <w:div w:id="2101170709">
                      <w:marLeft w:val="0"/>
                      <w:marRight w:val="0"/>
                      <w:marTop w:val="0"/>
                      <w:marBottom w:val="0"/>
                      <w:divBdr>
                        <w:top w:val="none" w:sz="0" w:space="0" w:color="auto"/>
                        <w:left w:val="none" w:sz="0" w:space="0" w:color="auto"/>
                        <w:bottom w:val="none" w:sz="0" w:space="0" w:color="auto"/>
                        <w:right w:val="none" w:sz="0" w:space="0" w:color="auto"/>
                      </w:divBdr>
                    </w:div>
                  </w:divsChild>
                </w:div>
                <w:div w:id="1711952052">
                  <w:marLeft w:val="0"/>
                  <w:marRight w:val="0"/>
                  <w:marTop w:val="0"/>
                  <w:marBottom w:val="0"/>
                  <w:divBdr>
                    <w:top w:val="none" w:sz="0" w:space="0" w:color="auto"/>
                    <w:left w:val="none" w:sz="0" w:space="0" w:color="auto"/>
                    <w:bottom w:val="none" w:sz="0" w:space="0" w:color="auto"/>
                    <w:right w:val="none" w:sz="0" w:space="0" w:color="auto"/>
                  </w:divBdr>
                  <w:divsChild>
                    <w:div w:id="1460879494">
                      <w:marLeft w:val="0"/>
                      <w:marRight w:val="0"/>
                      <w:marTop w:val="0"/>
                      <w:marBottom w:val="0"/>
                      <w:divBdr>
                        <w:top w:val="none" w:sz="0" w:space="0" w:color="auto"/>
                        <w:left w:val="none" w:sz="0" w:space="0" w:color="auto"/>
                        <w:bottom w:val="none" w:sz="0" w:space="0" w:color="auto"/>
                        <w:right w:val="none" w:sz="0" w:space="0" w:color="auto"/>
                      </w:divBdr>
                    </w:div>
                  </w:divsChild>
                </w:div>
                <w:div w:id="955141189">
                  <w:marLeft w:val="0"/>
                  <w:marRight w:val="0"/>
                  <w:marTop w:val="0"/>
                  <w:marBottom w:val="0"/>
                  <w:divBdr>
                    <w:top w:val="none" w:sz="0" w:space="0" w:color="auto"/>
                    <w:left w:val="none" w:sz="0" w:space="0" w:color="auto"/>
                    <w:bottom w:val="none" w:sz="0" w:space="0" w:color="auto"/>
                    <w:right w:val="none" w:sz="0" w:space="0" w:color="auto"/>
                  </w:divBdr>
                  <w:divsChild>
                    <w:div w:id="615715222">
                      <w:marLeft w:val="0"/>
                      <w:marRight w:val="0"/>
                      <w:marTop w:val="0"/>
                      <w:marBottom w:val="0"/>
                      <w:divBdr>
                        <w:top w:val="none" w:sz="0" w:space="0" w:color="auto"/>
                        <w:left w:val="none" w:sz="0" w:space="0" w:color="auto"/>
                        <w:bottom w:val="none" w:sz="0" w:space="0" w:color="auto"/>
                        <w:right w:val="none" w:sz="0" w:space="0" w:color="auto"/>
                      </w:divBdr>
                    </w:div>
                  </w:divsChild>
                </w:div>
                <w:div w:id="1237739084">
                  <w:marLeft w:val="0"/>
                  <w:marRight w:val="0"/>
                  <w:marTop w:val="0"/>
                  <w:marBottom w:val="0"/>
                  <w:divBdr>
                    <w:top w:val="none" w:sz="0" w:space="0" w:color="auto"/>
                    <w:left w:val="none" w:sz="0" w:space="0" w:color="auto"/>
                    <w:bottom w:val="none" w:sz="0" w:space="0" w:color="auto"/>
                    <w:right w:val="none" w:sz="0" w:space="0" w:color="auto"/>
                  </w:divBdr>
                  <w:divsChild>
                    <w:div w:id="33308722">
                      <w:marLeft w:val="0"/>
                      <w:marRight w:val="0"/>
                      <w:marTop w:val="0"/>
                      <w:marBottom w:val="0"/>
                      <w:divBdr>
                        <w:top w:val="none" w:sz="0" w:space="0" w:color="auto"/>
                        <w:left w:val="none" w:sz="0" w:space="0" w:color="auto"/>
                        <w:bottom w:val="none" w:sz="0" w:space="0" w:color="auto"/>
                        <w:right w:val="none" w:sz="0" w:space="0" w:color="auto"/>
                      </w:divBdr>
                    </w:div>
                  </w:divsChild>
                </w:div>
                <w:div w:id="1765688573">
                  <w:marLeft w:val="0"/>
                  <w:marRight w:val="0"/>
                  <w:marTop w:val="0"/>
                  <w:marBottom w:val="0"/>
                  <w:divBdr>
                    <w:top w:val="none" w:sz="0" w:space="0" w:color="auto"/>
                    <w:left w:val="none" w:sz="0" w:space="0" w:color="auto"/>
                    <w:bottom w:val="none" w:sz="0" w:space="0" w:color="auto"/>
                    <w:right w:val="none" w:sz="0" w:space="0" w:color="auto"/>
                  </w:divBdr>
                  <w:divsChild>
                    <w:div w:id="455762577">
                      <w:marLeft w:val="0"/>
                      <w:marRight w:val="0"/>
                      <w:marTop w:val="0"/>
                      <w:marBottom w:val="0"/>
                      <w:divBdr>
                        <w:top w:val="none" w:sz="0" w:space="0" w:color="auto"/>
                        <w:left w:val="none" w:sz="0" w:space="0" w:color="auto"/>
                        <w:bottom w:val="none" w:sz="0" w:space="0" w:color="auto"/>
                        <w:right w:val="none" w:sz="0" w:space="0" w:color="auto"/>
                      </w:divBdr>
                    </w:div>
                  </w:divsChild>
                </w:div>
                <w:div w:id="1366565398">
                  <w:marLeft w:val="0"/>
                  <w:marRight w:val="0"/>
                  <w:marTop w:val="0"/>
                  <w:marBottom w:val="0"/>
                  <w:divBdr>
                    <w:top w:val="none" w:sz="0" w:space="0" w:color="auto"/>
                    <w:left w:val="none" w:sz="0" w:space="0" w:color="auto"/>
                    <w:bottom w:val="none" w:sz="0" w:space="0" w:color="auto"/>
                    <w:right w:val="none" w:sz="0" w:space="0" w:color="auto"/>
                  </w:divBdr>
                  <w:divsChild>
                    <w:div w:id="802431647">
                      <w:marLeft w:val="0"/>
                      <w:marRight w:val="0"/>
                      <w:marTop w:val="0"/>
                      <w:marBottom w:val="0"/>
                      <w:divBdr>
                        <w:top w:val="none" w:sz="0" w:space="0" w:color="auto"/>
                        <w:left w:val="none" w:sz="0" w:space="0" w:color="auto"/>
                        <w:bottom w:val="none" w:sz="0" w:space="0" w:color="auto"/>
                        <w:right w:val="none" w:sz="0" w:space="0" w:color="auto"/>
                      </w:divBdr>
                    </w:div>
                  </w:divsChild>
                </w:div>
                <w:div w:id="1887402919">
                  <w:marLeft w:val="0"/>
                  <w:marRight w:val="0"/>
                  <w:marTop w:val="0"/>
                  <w:marBottom w:val="0"/>
                  <w:divBdr>
                    <w:top w:val="none" w:sz="0" w:space="0" w:color="auto"/>
                    <w:left w:val="none" w:sz="0" w:space="0" w:color="auto"/>
                    <w:bottom w:val="none" w:sz="0" w:space="0" w:color="auto"/>
                    <w:right w:val="none" w:sz="0" w:space="0" w:color="auto"/>
                  </w:divBdr>
                  <w:divsChild>
                    <w:div w:id="654605547">
                      <w:marLeft w:val="0"/>
                      <w:marRight w:val="0"/>
                      <w:marTop w:val="0"/>
                      <w:marBottom w:val="0"/>
                      <w:divBdr>
                        <w:top w:val="none" w:sz="0" w:space="0" w:color="auto"/>
                        <w:left w:val="none" w:sz="0" w:space="0" w:color="auto"/>
                        <w:bottom w:val="none" w:sz="0" w:space="0" w:color="auto"/>
                        <w:right w:val="none" w:sz="0" w:space="0" w:color="auto"/>
                      </w:divBdr>
                    </w:div>
                  </w:divsChild>
                </w:div>
                <w:div w:id="1426613850">
                  <w:marLeft w:val="0"/>
                  <w:marRight w:val="0"/>
                  <w:marTop w:val="0"/>
                  <w:marBottom w:val="0"/>
                  <w:divBdr>
                    <w:top w:val="none" w:sz="0" w:space="0" w:color="auto"/>
                    <w:left w:val="none" w:sz="0" w:space="0" w:color="auto"/>
                    <w:bottom w:val="none" w:sz="0" w:space="0" w:color="auto"/>
                    <w:right w:val="none" w:sz="0" w:space="0" w:color="auto"/>
                  </w:divBdr>
                  <w:divsChild>
                    <w:div w:id="1507090417">
                      <w:marLeft w:val="0"/>
                      <w:marRight w:val="0"/>
                      <w:marTop w:val="0"/>
                      <w:marBottom w:val="0"/>
                      <w:divBdr>
                        <w:top w:val="none" w:sz="0" w:space="0" w:color="auto"/>
                        <w:left w:val="none" w:sz="0" w:space="0" w:color="auto"/>
                        <w:bottom w:val="none" w:sz="0" w:space="0" w:color="auto"/>
                        <w:right w:val="none" w:sz="0" w:space="0" w:color="auto"/>
                      </w:divBdr>
                    </w:div>
                  </w:divsChild>
                </w:div>
                <w:div w:id="1437094220">
                  <w:marLeft w:val="0"/>
                  <w:marRight w:val="0"/>
                  <w:marTop w:val="0"/>
                  <w:marBottom w:val="0"/>
                  <w:divBdr>
                    <w:top w:val="none" w:sz="0" w:space="0" w:color="auto"/>
                    <w:left w:val="none" w:sz="0" w:space="0" w:color="auto"/>
                    <w:bottom w:val="none" w:sz="0" w:space="0" w:color="auto"/>
                    <w:right w:val="none" w:sz="0" w:space="0" w:color="auto"/>
                  </w:divBdr>
                  <w:divsChild>
                    <w:div w:id="643656664">
                      <w:marLeft w:val="0"/>
                      <w:marRight w:val="0"/>
                      <w:marTop w:val="0"/>
                      <w:marBottom w:val="0"/>
                      <w:divBdr>
                        <w:top w:val="none" w:sz="0" w:space="0" w:color="auto"/>
                        <w:left w:val="none" w:sz="0" w:space="0" w:color="auto"/>
                        <w:bottom w:val="none" w:sz="0" w:space="0" w:color="auto"/>
                        <w:right w:val="none" w:sz="0" w:space="0" w:color="auto"/>
                      </w:divBdr>
                    </w:div>
                  </w:divsChild>
                </w:div>
                <w:div w:id="632440842">
                  <w:marLeft w:val="0"/>
                  <w:marRight w:val="0"/>
                  <w:marTop w:val="0"/>
                  <w:marBottom w:val="0"/>
                  <w:divBdr>
                    <w:top w:val="none" w:sz="0" w:space="0" w:color="auto"/>
                    <w:left w:val="none" w:sz="0" w:space="0" w:color="auto"/>
                    <w:bottom w:val="none" w:sz="0" w:space="0" w:color="auto"/>
                    <w:right w:val="none" w:sz="0" w:space="0" w:color="auto"/>
                  </w:divBdr>
                  <w:divsChild>
                    <w:div w:id="34359078">
                      <w:marLeft w:val="0"/>
                      <w:marRight w:val="0"/>
                      <w:marTop w:val="0"/>
                      <w:marBottom w:val="0"/>
                      <w:divBdr>
                        <w:top w:val="none" w:sz="0" w:space="0" w:color="auto"/>
                        <w:left w:val="none" w:sz="0" w:space="0" w:color="auto"/>
                        <w:bottom w:val="none" w:sz="0" w:space="0" w:color="auto"/>
                        <w:right w:val="none" w:sz="0" w:space="0" w:color="auto"/>
                      </w:divBdr>
                    </w:div>
                  </w:divsChild>
                </w:div>
                <w:div w:id="1621767067">
                  <w:marLeft w:val="0"/>
                  <w:marRight w:val="0"/>
                  <w:marTop w:val="0"/>
                  <w:marBottom w:val="0"/>
                  <w:divBdr>
                    <w:top w:val="none" w:sz="0" w:space="0" w:color="auto"/>
                    <w:left w:val="none" w:sz="0" w:space="0" w:color="auto"/>
                    <w:bottom w:val="none" w:sz="0" w:space="0" w:color="auto"/>
                    <w:right w:val="none" w:sz="0" w:space="0" w:color="auto"/>
                  </w:divBdr>
                  <w:divsChild>
                    <w:div w:id="91724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051602">
          <w:marLeft w:val="0"/>
          <w:marRight w:val="0"/>
          <w:marTop w:val="0"/>
          <w:marBottom w:val="0"/>
          <w:divBdr>
            <w:top w:val="none" w:sz="0" w:space="0" w:color="auto"/>
            <w:left w:val="none" w:sz="0" w:space="0" w:color="auto"/>
            <w:bottom w:val="none" w:sz="0" w:space="0" w:color="auto"/>
            <w:right w:val="none" w:sz="0" w:space="0" w:color="auto"/>
          </w:divBdr>
        </w:div>
        <w:div w:id="1287077135">
          <w:marLeft w:val="0"/>
          <w:marRight w:val="0"/>
          <w:marTop w:val="0"/>
          <w:marBottom w:val="0"/>
          <w:divBdr>
            <w:top w:val="none" w:sz="0" w:space="0" w:color="auto"/>
            <w:left w:val="none" w:sz="0" w:space="0" w:color="auto"/>
            <w:bottom w:val="none" w:sz="0" w:space="0" w:color="auto"/>
            <w:right w:val="none" w:sz="0" w:space="0" w:color="auto"/>
          </w:divBdr>
        </w:div>
      </w:divsChild>
    </w:div>
    <w:div w:id="1877036275">
      <w:bodyDiv w:val="1"/>
      <w:marLeft w:val="0"/>
      <w:marRight w:val="0"/>
      <w:marTop w:val="0"/>
      <w:marBottom w:val="0"/>
      <w:divBdr>
        <w:top w:val="none" w:sz="0" w:space="0" w:color="auto"/>
        <w:left w:val="none" w:sz="0" w:space="0" w:color="auto"/>
        <w:bottom w:val="none" w:sz="0" w:space="0" w:color="auto"/>
        <w:right w:val="none" w:sz="0" w:space="0" w:color="auto"/>
      </w:divBdr>
    </w:div>
    <w:div w:id="1878659015">
      <w:bodyDiv w:val="1"/>
      <w:marLeft w:val="0"/>
      <w:marRight w:val="0"/>
      <w:marTop w:val="0"/>
      <w:marBottom w:val="0"/>
      <w:divBdr>
        <w:top w:val="none" w:sz="0" w:space="0" w:color="auto"/>
        <w:left w:val="none" w:sz="0" w:space="0" w:color="auto"/>
        <w:bottom w:val="none" w:sz="0" w:space="0" w:color="auto"/>
        <w:right w:val="none" w:sz="0" w:space="0" w:color="auto"/>
      </w:divBdr>
    </w:div>
    <w:div w:id="1892842410">
      <w:bodyDiv w:val="1"/>
      <w:marLeft w:val="0"/>
      <w:marRight w:val="0"/>
      <w:marTop w:val="0"/>
      <w:marBottom w:val="0"/>
      <w:divBdr>
        <w:top w:val="none" w:sz="0" w:space="0" w:color="auto"/>
        <w:left w:val="none" w:sz="0" w:space="0" w:color="auto"/>
        <w:bottom w:val="none" w:sz="0" w:space="0" w:color="auto"/>
        <w:right w:val="none" w:sz="0" w:space="0" w:color="auto"/>
      </w:divBdr>
    </w:div>
    <w:div w:id="1905605853">
      <w:bodyDiv w:val="1"/>
      <w:marLeft w:val="0"/>
      <w:marRight w:val="0"/>
      <w:marTop w:val="0"/>
      <w:marBottom w:val="0"/>
      <w:divBdr>
        <w:top w:val="none" w:sz="0" w:space="0" w:color="auto"/>
        <w:left w:val="none" w:sz="0" w:space="0" w:color="auto"/>
        <w:bottom w:val="none" w:sz="0" w:space="0" w:color="auto"/>
        <w:right w:val="none" w:sz="0" w:space="0" w:color="auto"/>
      </w:divBdr>
    </w:div>
    <w:div w:id="1909144892">
      <w:bodyDiv w:val="1"/>
      <w:marLeft w:val="0"/>
      <w:marRight w:val="0"/>
      <w:marTop w:val="0"/>
      <w:marBottom w:val="0"/>
      <w:divBdr>
        <w:top w:val="none" w:sz="0" w:space="0" w:color="auto"/>
        <w:left w:val="none" w:sz="0" w:space="0" w:color="auto"/>
        <w:bottom w:val="none" w:sz="0" w:space="0" w:color="auto"/>
        <w:right w:val="none" w:sz="0" w:space="0" w:color="auto"/>
      </w:divBdr>
    </w:div>
    <w:div w:id="1909532192">
      <w:bodyDiv w:val="1"/>
      <w:marLeft w:val="0"/>
      <w:marRight w:val="0"/>
      <w:marTop w:val="0"/>
      <w:marBottom w:val="0"/>
      <w:divBdr>
        <w:top w:val="none" w:sz="0" w:space="0" w:color="auto"/>
        <w:left w:val="none" w:sz="0" w:space="0" w:color="auto"/>
        <w:bottom w:val="none" w:sz="0" w:space="0" w:color="auto"/>
        <w:right w:val="none" w:sz="0" w:space="0" w:color="auto"/>
      </w:divBdr>
      <w:divsChild>
        <w:div w:id="1177883278">
          <w:marLeft w:val="0"/>
          <w:marRight w:val="0"/>
          <w:marTop w:val="0"/>
          <w:marBottom w:val="0"/>
          <w:divBdr>
            <w:top w:val="none" w:sz="0" w:space="0" w:color="auto"/>
            <w:left w:val="none" w:sz="0" w:space="0" w:color="auto"/>
            <w:bottom w:val="none" w:sz="0" w:space="0" w:color="auto"/>
            <w:right w:val="none" w:sz="0" w:space="0" w:color="auto"/>
          </w:divBdr>
        </w:div>
      </w:divsChild>
    </w:div>
    <w:div w:id="1913857254">
      <w:bodyDiv w:val="1"/>
      <w:marLeft w:val="0"/>
      <w:marRight w:val="0"/>
      <w:marTop w:val="0"/>
      <w:marBottom w:val="0"/>
      <w:divBdr>
        <w:top w:val="none" w:sz="0" w:space="0" w:color="auto"/>
        <w:left w:val="none" w:sz="0" w:space="0" w:color="auto"/>
        <w:bottom w:val="none" w:sz="0" w:space="0" w:color="auto"/>
        <w:right w:val="none" w:sz="0" w:space="0" w:color="auto"/>
      </w:divBdr>
    </w:div>
    <w:div w:id="1921019481">
      <w:bodyDiv w:val="1"/>
      <w:marLeft w:val="0"/>
      <w:marRight w:val="0"/>
      <w:marTop w:val="0"/>
      <w:marBottom w:val="0"/>
      <w:divBdr>
        <w:top w:val="none" w:sz="0" w:space="0" w:color="auto"/>
        <w:left w:val="none" w:sz="0" w:space="0" w:color="auto"/>
        <w:bottom w:val="none" w:sz="0" w:space="0" w:color="auto"/>
        <w:right w:val="none" w:sz="0" w:space="0" w:color="auto"/>
      </w:divBdr>
    </w:div>
    <w:div w:id="1923417336">
      <w:bodyDiv w:val="1"/>
      <w:marLeft w:val="0"/>
      <w:marRight w:val="0"/>
      <w:marTop w:val="0"/>
      <w:marBottom w:val="0"/>
      <w:divBdr>
        <w:top w:val="none" w:sz="0" w:space="0" w:color="auto"/>
        <w:left w:val="none" w:sz="0" w:space="0" w:color="auto"/>
        <w:bottom w:val="none" w:sz="0" w:space="0" w:color="auto"/>
        <w:right w:val="none" w:sz="0" w:space="0" w:color="auto"/>
      </w:divBdr>
    </w:div>
    <w:div w:id="1931817159">
      <w:bodyDiv w:val="1"/>
      <w:marLeft w:val="0"/>
      <w:marRight w:val="0"/>
      <w:marTop w:val="0"/>
      <w:marBottom w:val="0"/>
      <w:divBdr>
        <w:top w:val="none" w:sz="0" w:space="0" w:color="auto"/>
        <w:left w:val="none" w:sz="0" w:space="0" w:color="auto"/>
        <w:bottom w:val="none" w:sz="0" w:space="0" w:color="auto"/>
        <w:right w:val="none" w:sz="0" w:space="0" w:color="auto"/>
      </w:divBdr>
      <w:divsChild>
        <w:div w:id="1966157089">
          <w:marLeft w:val="0"/>
          <w:marRight w:val="0"/>
          <w:marTop w:val="0"/>
          <w:marBottom w:val="0"/>
          <w:divBdr>
            <w:top w:val="none" w:sz="0" w:space="0" w:color="auto"/>
            <w:left w:val="none" w:sz="0" w:space="0" w:color="auto"/>
            <w:bottom w:val="none" w:sz="0" w:space="0" w:color="auto"/>
            <w:right w:val="none" w:sz="0" w:space="0" w:color="auto"/>
          </w:divBdr>
        </w:div>
      </w:divsChild>
    </w:div>
    <w:div w:id="1933318799">
      <w:bodyDiv w:val="1"/>
      <w:marLeft w:val="0"/>
      <w:marRight w:val="0"/>
      <w:marTop w:val="0"/>
      <w:marBottom w:val="0"/>
      <w:divBdr>
        <w:top w:val="none" w:sz="0" w:space="0" w:color="auto"/>
        <w:left w:val="none" w:sz="0" w:space="0" w:color="auto"/>
        <w:bottom w:val="none" w:sz="0" w:space="0" w:color="auto"/>
        <w:right w:val="none" w:sz="0" w:space="0" w:color="auto"/>
      </w:divBdr>
    </w:div>
    <w:div w:id="1941837718">
      <w:bodyDiv w:val="1"/>
      <w:marLeft w:val="0"/>
      <w:marRight w:val="0"/>
      <w:marTop w:val="0"/>
      <w:marBottom w:val="0"/>
      <w:divBdr>
        <w:top w:val="none" w:sz="0" w:space="0" w:color="auto"/>
        <w:left w:val="none" w:sz="0" w:space="0" w:color="auto"/>
        <w:bottom w:val="none" w:sz="0" w:space="0" w:color="auto"/>
        <w:right w:val="none" w:sz="0" w:space="0" w:color="auto"/>
      </w:divBdr>
    </w:div>
    <w:div w:id="1975599824">
      <w:bodyDiv w:val="1"/>
      <w:marLeft w:val="0"/>
      <w:marRight w:val="0"/>
      <w:marTop w:val="0"/>
      <w:marBottom w:val="0"/>
      <w:divBdr>
        <w:top w:val="none" w:sz="0" w:space="0" w:color="auto"/>
        <w:left w:val="none" w:sz="0" w:space="0" w:color="auto"/>
        <w:bottom w:val="none" w:sz="0" w:space="0" w:color="auto"/>
        <w:right w:val="none" w:sz="0" w:space="0" w:color="auto"/>
      </w:divBdr>
    </w:div>
    <w:div w:id="1994407670">
      <w:bodyDiv w:val="1"/>
      <w:marLeft w:val="0"/>
      <w:marRight w:val="0"/>
      <w:marTop w:val="0"/>
      <w:marBottom w:val="0"/>
      <w:divBdr>
        <w:top w:val="none" w:sz="0" w:space="0" w:color="auto"/>
        <w:left w:val="none" w:sz="0" w:space="0" w:color="auto"/>
        <w:bottom w:val="none" w:sz="0" w:space="0" w:color="auto"/>
        <w:right w:val="none" w:sz="0" w:space="0" w:color="auto"/>
      </w:divBdr>
    </w:div>
    <w:div w:id="2000621492">
      <w:bodyDiv w:val="1"/>
      <w:marLeft w:val="0"/>
      <w:marRight w:val="0"/>
      <w:marTop w:val="0"/>
      <w:marBottom w:val="0"/>
      <w:divBdr>
        <w:top w:val="none" w:sz="0" w:space="0" w:color="auto"/>
        <w:left w:val="none" w:sz="0" w:space="0" w:color="auto"/>
        <w:bottom w:val="none" w:sz="0" w:space="0" w:color="auto"/>
        <w:right w:val="none" w:sz="0" w:space="0" w:color="auto"/>
      </w:divBdr>
    </w:div>
    <w:div w:id="2031101292">
      <w:bodyDiv w:val="1"/>
      <w:marLeft w:val="0"/>
      <w:marRight w:val="0"/>
      <w:marTop w:val="0"/>
      <w:marBottom w:val="0"/>
      <w:divBdr>
        <w:top w:val="none" w:sz="0" w:space="0" w:color="auto"/>
        <w:left w:val="none" w:sz="0" w:space="0" w:color="auto"/>
        <w:bottom w:val="none" w:sz="0" w:space="0" w:color="auto"/>
        <w:right w:val="none" w:sz="0" w:space="0" w:color="auto"/>
      </w:divBdr>
      <w:divsChild>
        <w:div w:id="706415768">
          <w:marLeft w:val="0"/>
          <w:marRight w:val="0"/>
          <w:marTop w:val="0"/>
          <w:marBottom w:val="0"/>
          <w:divBdr>
            <w:top w:val="none" w:sz="0" w:space="0" w:color="auto"/>
            <w:left w:val="none" w:sz="0" w:space="0" w:color="auto"/>
            <w:bottom w:val="none" w:sz="0" w:space="0" w:color="auto"/>
            <w:right w:val="none" w:sz="0" w:space="0" w:color="auto"/>
          </w:divBdr>
          <w:divsChild>
            <w:div w:id="658771540">
              <w:marLeft w:val="0"/>
              <w:marRight w:val="0"/>
              <w:marTop w:val="0"/>
              <w:marBottom w:val="0"/>
              <w:divBdr>
                <w:top w:val="none" w:sz="0" w:space="0" w:color="auto"/>
                <w:left w:val="none" w:sz="0" w:space="0" w:color="auto"/>
                <w:bottom w:val="none" w:sz="0" w:space="0" w:color="auto"/>
                <w:right w:val="none" w:sz="0" w:space="0" w:color="auto"/>
              </w:divBdr>
              <w:divsChild>
                <w:div w:id="791631285">
                  <w:marLeft w:val="0"/>
                  <w:marRight w:val="0"/>
                  <w:marTop w:val="0"/>
                  <w:marBottom w:val="0"/>
                  <w:divBdr>
                    <w:top w:val="none" w:sz="0" w:space="0" w:color="auto"/>
                    <w:left w:val="none" w:sz="0" w:space="0" w:color="auto"/>
                    <w:bottom w:val="none" w:sz="0" w:space="0" w:color="auto"/>
                    <w:right w:val="none" w:sz="0" w:space="0" w:color="auto"/>
                  </w:divBdr>
                  <w:divsChild>
                    <w:div w:id="2092582875">
                      <w:marLeft w:val="0"/>
                      <w:marRight w:val="0"/>
                      <w:marTop w:val="0"/>
                      <w:marBottom w:val="0"/>
                      <w:divBdr>
                        <w:top w:val="none" w:sz="0" w:space="0" w:color="auto"/>
                        <w:left w:val="none" w:sz="0" w:space="0" w:color="auto"/>
                        <w:bottom w:val="none" w:sz="0" w:space="0" w:color="auto"/>
                        <w:right w:val="none" w:sz="0" w:space="0" w:color="auto"/>
                      </w:divBdr>
                      <w:divsChild>
                        <w:div w:id="463355892">
                          <w:marLeft w:val="0"/>
                          <w:marRight w:val="0"/>
                          <w:marTop w:val="0"/>
                          <w:marBottom w:val="0"/>
                          <w:divBdr>
                            <w:top w:val="none" w:sz="0" w:space="0" w:color="auto"/>
                            <w:left w:val="none" w:sz="0" w:space="0" w:color="auto"/>
                            <w:bottom w:val="none" w:sz="0" w:space="0" w:color="auto"/>
                            <w:right w:val="none" w:sz="0" w:space="0" w:color="auto"/>
                          </w:divBdr>
                          <w:divsChild>
                            <w:div w:id="306126444">
                              <w:marLeft w:val="0"/>
                              <w:marRight w:val="0"/>
                              <w:marTop w:val="0"/>
                              <w:marBottom w:val="0"/>
                              <w:divBdr>
                                <w:top w:val="none" w:sz="0" w:space="0" w:color="auto"/>
                                <w:left w:val="none" w:sz="0" w:space="0" w:color="auto"/>
                                <w:bottom w:val="none" w:sz="0" w:space="0" w:color="auto"/>
                                <w:right w:val="none" w:sz="0" w:space="0" w:color="auto"/>
                              </w:divBdr>
                              <w:divsChild>
                                <w:div w:id="2139955950">
                                  <w:marLeft w:val="0"/>
                                  <w:marRight w:val="0"/>
                                  <w:marTop w:val="0"/>
                                  <w:marBottom w:val="0"/>
                                  <w:divBdr>
                                    <w:top w:val="none" w:sz="0" w:space="0" w:color="auto"/>
                                    <w:left w:val="none" w:sz="0" w:space="0" w:color="auto"/>
                                    <w:bottom w:val="none" w:sz="0" w:space="0" w:color="auto"/>
                                    <w:right w:val="none" w:sz="0" w:space="0" w:color="auto"/>
                                  </w:divBdr>
                                  <w:divsChild>
                                    <w:div w:id="291719313">
                                      <w:marLeft w:val="0"/>
                                      <w:marRight w:val="0"/>
                                      <w:marTop w:val="0"/>
                                      <w:marBottom w:val="0"/>
                                      <w:divBdr>
                                        <w:top w:val="none" w:sz="0" w:space="0" w:color="auto"/>
                                        <w:left w:val="none" w:sz="0" w:space="0" w:color="auto"/>
                                        <w:bottom w:val="none" w:sz="0" w:space="0" w:color="auto"/>
                                        <w:right w:val="none" w:sz="0" w:space="0" w:color="auto"/>
                                      </w:divBdr>
                                      <w:divsChild>
                                        <w:div w:id="1278024186">
                                          <w:marLeft w:val="0"/>
                                          <w:marRight w:val="0"/>
                                          <w:marTop w:val="0"/>
                                          <w:marBottom w:val="0"/>
                                          <w:divBdr>
                                            <w:top w:val="none" w:sz="0" w:space="0" w:color="auto"/>
                                            <w:left w:val="none" w:sz="0" w:space="0" w:color="auto"/>
                                            <w:bottom w:val="none" w:sz="0" w:space="0" w:color="auto"/>
                                            <w:right w:val="none" w:sz="0" w:space="0" w:color="auto"/>
                                          </w:divBdr>
                                          <w:divsChild>
                                            <w:div w:id="771319619">
                                              <w:marLeft w:val="0"/>
                                              <w:marRight w:val="0"/>
                                              <w:marTop w:val="0"/>
                                              <w:marBottom w:val="0"/>
                                              <w:divBdr>
                                                <w:top w:val="none" w:sz="0" w:space="0" w:color="auto"/>
                                                <w:left w:val="none" w:sz="0" w:space="0" w:color="auto"/>
                                                <w:bottom w:val="none" w:sz="0" w:space="0" w:color="auto"/>
                                                <w:right w:val="none" w:sz="0" w:space="0" w:color="auto"/>
                                              </w:divBdr>
                                              <w:divsChild>
                                                <w:div w:id="1799179878">
                                                  <w:marLeft w:val="0"/>
                                                  <w:marRight w:val="0"/>
                                                  <w:marTop w:val="0"/>
                                                  <w:marBottom w:val="0"/>
                                                  <w:divBdr>
                                                    <w:top w:val="none" w:sz="0" w:space="0" w:color="auto"/>
                                                    <w:left w:val="none" w:sz="0" w:space="0" w:color="auto"/>
                                                    <w:bottom w:val="none" w:sz="0" w:space="0" w:color="auto"/>
                                                    <w:right w:val="none" w:sz="0" w:space="0" w:color="auto"/>
                                                  </w:divBdr>
                                                  <w:divsChild>
                                                    <w:div w:id="1774203630">
                                                      <w:marLeft w:val="0"/>
                                                      <w:marRight w:val="0"/>
                                                      <w:marTop w:val="0"/>
                                                      <w:marBottom w:val="0"/>
                                                      <w:divBdr>
                                                        <w:top w:val="none" w:sz="0" w:space="0" w:color="auto"/>
                                                        <w:left w:val="none" w:sz="0" w:space="0" w:color="auto"/>
                                                        <w:bottom w:val="none" w:sz="0" w:space="0" w:color="auto"/>
                                                        <w:right w:val="none" w:sz="0" w:space="0" w:color="auto"/>
                                                      </w:divBdr>
                                                      <w:divsChild>
                                                        <w:div w:id="192900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78129">
                                              <w:marLeft w:val="0"/>
                                              <w:marRight w:val="0"/>
                                              <w:marTop w:val="0"/>
                                              <w:marBottom w:val="0"/>
                                              <w:divBdr>
                                                <w:top w:val="none" w:sz="0" w:space="0" w:color="auto"/>
                                                <w:left w:val="none" w:sz="0" w:space="0" w:color="auto"/>
                                                <w:bottom w:val="none" w:sz="0" w:space="0" w:color="auto"/>
                                                <w:right w:val="none" w:sz="0" w:space="0" w:color="auto"/>
                                              </w:divBdr>
                                              <w:divsChild>
                                                <w:div w:id="875040596">
                                                  <w:marLeft w:val="0"/>
                                                  <w:marRight w:val="0"/>
                                                  <w:marTop w:val="0"/>
                                                  <w:marBottom w:val="0"/>
                                                  <w:divBdr>
                                                    <w:top w:val="none" w:sz="0" w:space="0" w:color="auto"/>
                                                    <w:left w:val="none" w:sz="0" w:space="0" w:color="auto"/>
                                                    <w:bottom w:val="none" w:sz="0" w:space="0" w:color="auto"/>
                                                    <w:right w:val="none" w:sz="0" w:space="0" w:color="auto"/>
                                                  </w:divBdr>
                                                  <w:divsChild>
                                                    <w:div w:id="1473792587">
                                                      <w:marLeft w:val="0"/>
                                                      <w:marRight w:val="0"/>
                                                      <w:marTop w:val="0"/>
                                                      <w:marBottom w:val="0"/>
                                                      <w:divBdr>
                                                        <w:top w:val="none" w:sz="0" w:space="0" w:color="auto"/>
                                                        <w:left w:val="none" w:sz="0" w:space="0" w:color="auto"/>
                                                        <w:bottom w:val="none" w:sz="0" w:space="0" w:color="auto"/>
                                                        <w:right w:val="none" w:sz="0" w:space="0" w:color="auto"/>
                                                      </w:divBdr>
                                                      <w:divsChild>
                                                        <w:div w:id="59074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7191050">
          <w:marLeft w:val="0"/>
          <w:marRight w:val="0"/>
          <w:marTop w:val="0"/>
          <w:marBottom w:val="0"/>
          <w:divBdr>
            <w:top w:val="none" w:sz="0" w:space="0" w:color="auto"/>
            <w:left w:val="none" w:sz="0" w:space="0" w:color="auto"/>
            <w:bottom w:val="none" w:sz="0" w:space="0" w:color="auto"/>
            <w:right w:val="none" w:sz="0" w:space="0" w:color="auto"/>
          </w:divBdr>
          <w:divsChild>
            <w:div w:id="1377505253">
              <w:marLeft w:val="0"/>
              <w:marRight w:val="0"/>
              <w:marTop w:val="0"/>
              <w:marBottom w:val="0"/>
              <w:divBdr>
                <w:top w:val="none" w:sz="0" w:space="0" w:color="auto"/>
                <w:left w:val="none" w:sz="0" w:space="0" w:color="auto"/>
                <w:bottom w:val="none" w:sz="0" w:space="0" w:color="auto"/>
                <w:right w:val="none" w:sz="0" w:space="0" w:color="auto"/>
              </w:divBdr>
              <w:divsChild>
                <w:div w:id="731854247">
                  <w:marLeft w:val="0"/>
                  <w:marRight w:val="0"/>
                  <w:marTop w:val="0"/>
                  <w:marBottom w:val="0"/>
                  <w:divBdr>
                    <w:top w:val="none" w:sz="0" w:space="0" w:color="auto"/>
                    <w:left w:val="none" w:sz="0" w:space="0" w:color="auto"/>
                    <w:bottom w:val="none" w:sz="0" w:space="0" w:color="auto"/>
                    <w:right w:val="none" w:sz="0" w:space="0" w:color="auto"/>
                  </w:divBdr>
                  <w:divsChild>
                    <w:div w:id="551964789">
                      <w:marLeft w:val="0"/>
                      <w:marRight w:val="0"/>
                      <w:marTop w:val="0"/>
                      <w:marBottom w:val="0"/>
                      <w:divBdr>
                        <w:top w:val="none" w:sz="0" w:space="0" w:color="auto"/>
                        <w:left w:val="none" w:sz="0" w:space="0" w:color="auto"/>
                        <w:bottom w:val="none" w:sz="0" w:space="0" w:color="auto"/>
                        <w:right w:val="none" w:sz="0" w:space="0" w:color="auto"/>
                      </w:divBdr>
                      <w:divsChild>
                        <w:div w:id="805850869">
                          <w:marLeft w:val="0"/>
                          <w:marRight w:val="0"/>
                          <w:marTop w:val="0"/>
                          <w:marBottom w:val="0"/>
                          <w:divBdr>
                            <w:top w:val="none" w:sz="0" w:space="0" w:color="auto"/>
                            <w:left w:val="none" w:sz="0" w:space="0" w:color="auto"/>
                            <w:bottom w:val="none" w:sz="0" w:space="0" w:color="auto"/>
                            <w:right w:val="none" w:sz="0" w:space="0" w:color="auto"/>
                          </w:divBdr>
                          <w:divsChild>
                            <w:div w:id="101850772">
                              <w:marLeft w:val="0"/>
                              <w:marRight w:val="0"/>
                              <w:marTop w:val="0"/>
                              <w:marBottom w:val="0"/>
                              <w:divBdr>
                                <w:top w:val="none" w:sz="0" w:space="0" w:color="auto"/>
                                <w:left w:val="none" w:sz="0" w:space="0" w:color="auto"/>
                                <w:bottom w:val="none" w:sz="0" w:space="0" w:color="auto"/>
                                <w:right w:val="none" w:sz="0" w:space="0" w:color="auto"/>
                              </w:divBdr>
                              <w:divsChild>
                                <w:div w:id="2140491638">
                                  <w:marLeft w:val="0"/>
                                  <w:marRight w:val="0"/>
                                  <w:marTop w:val="0"/>
                                  <w:marBottom w:val="0"/>
                                  <w:divBdr>
                                    <w:top w:val="none" w:sz="0" w:space="0" w:color="auto"/>
                                    <w:left w:val="none" w:sz="0" w:space="0" w:color="auto"/>
                                    <w:bottom w:val="none" w:sz="0" w:space="0" w:color="auto"/>
                                    <w:right w:val="none" w:sz="0" w:space="0" w:color="auto"/>
                                  </w:divBdr>
                                  <w:divsChild>
                                    <w:div w:id="1140924798">
                                      <w:marLeft w:val="0"/>
                                      <w:marRight w:val="0"/>
                                      <w:marTop w:val="0"/>
                                      <w:marBottom w:val="0"/>
                                      <w:divBdr>
                                        <w:top w:val="none" w:sz="0" w:space="0" w:color="auto"/>
                                        <w:left w:val="none" w:sz="0" w:space="0" w:color="auto"/>
                                        <w:bottom w:val="none" w:sz="0" w:space="0" w:color="auto"/>
                                        <w:right w:val="none" w:sz="0" w:space="0" w:color="auto"/>
                                      </w:divBdr>
                                      <w:divsChild>
                                        <w:div w:id="1252084743">
                                          <w:marLeft w:val="0"/>
                                          <w:marRight w:val="0"/>
                                          <w:marTop w:val="0"/>
                                          <w:marBottom w:val="0"/>
                                          <w:divBdr>
                                            <w:top w:val="none" w:sz="0" w:space="0" w:color="auto"/>
                                            <w:left w:val="none" w:sz="0" w:space="0" w:color="auto"/>
                                            <w:bottom w:val="none" w:sz="0" w:space="0" w:color="auto"/>
                                            <w:right w:val="none" w:sz="0" w:space="0" w:color="auto"/>
                                          </w:divBdr>
                                          <w:divsChild>
                                            <w:div w:id="1020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988057">
      <w:bodyDiv w:val="1"/>
      <w:marLeft w:val="0"/>
      <w:marRight w:val="0"/>
      <w:marTop w:val="0"/>
      <w:marBottom w:val="0"/>
      <w:divBdr>
        <w:top w:val="none" w:sz="0" w:space="0" w:color="auto"/>
        <w:left w:val="none" w:sz="0" w:space="0" w:color="auto"/>
        <w:bottom w:val="none" w:sz="0" w:space="0" w:color="auto"/>
        <w:right w:val="none" w:sz="0" w:space="0" w:color="auto"/>
      </w:divBdr>
    </w:div>
    <w:div w:id="2037072253">
      <w:bodyDiv w:val="1"/>
      <w:marLeft w:val="0"/>
      <w:marRight w:val="0"/>
      <w:marTop w:val="0"/>
      <w:marBottom w:val="0"/>
      <w:divBdr>
        <w:top w:val="none" w:sz="0" w:space="0" w:color="auto"/>
        <w:left w:val="none" w:sz="0" w:space="0" w:color="auto"/>
        <w:bottom w:val="none" w:sz="0" w:space="0" w:color="auto"/>
        <w:right w:val="none" w:sz="0" w:space="0" w:color="auto"/>
      </w:divBdr>
    </w:div>
    <w:div w:id="2037852336">
      <w:bodyDiv w:val="1"/>
      <w:marLeft w:val="0"/>
      <w:marRight w:val="0"/>
      <w:marTop w:val="0"/>
      <w:marBottom w:val="0"/>
      <w:divBdr>
        <w:top w:val="none" w:sz="0" w:space="0" w:color="auto"/>
        <w:left w:val="none" w:sz="0" w:space="0" w:color="auto"/>
        <w:bottom w:val="none" w:sz="0" w:space="0" w:color="auto"/>
        <w:right w:val="none" w:sz="0" w:space="0" w:color="auto"/>
      </w:divBdr>
    </w:div>
    <w:div w:id="2043629041">
      <w:bodyDiv w:val="1"/>
      <w:marLeft w:val="0"/>
      <w:marRight w:val="0"/>
      <w:marTop w:val="0"/>
      <w:marBottom w:val="0"/>
      <w:divBdr>
        <w:top w:val="none" w:sz="0" w:space="0" w:color="auto"/>
        <w:left w:val="none" w:sz="0" w:space="0" w:color="auto"/>
        <w:bottom w:val="none" w:sz="0" w:space="0" w:color="auto"/>
        <w:right w:val="none" w:sz="0" w:space="0" w:color="auto"/>
      </w:divBdr>
    </w:div>
    <w:div w:id="2049866628">
      <w:bodyDiv w:val="1"/>
      <w:marLeft w:val="0"/>
      <w:marRight w:val="0"/>
      <w:marTop w:val="0"/>
      <w:marBottom w:val="0"/>
      <w:divBdr>
        <w:top w:val="none" w:sz="0" w:space="0" w:color="auto"/>
        <w:left w:val="none" w:sz="0" w:space="0" w:color="auto"/>
        <w:bottom w:val="none" w:sz="0" w:space="0" w:color="auto"/>
        <w:right w:val="none" w:sz="0" w:space="0" w:color="auto"/>
      </w:divBdr>
      <w:divsChild>
        <w:div w:id="42482018">
          <w:marLeft w:val="0"/>
          <w:marRight w:val="0"/>
          <w:marTop w:val="0"/>
          <w:marBottom w:val="0"/>
          <w:divBdr>
            <w:top w:val="none" w:sz="0" w:space="0" w:color="auto"/>
            <w:left w:val="none" w:sz="0" w:space="0" w:color="auto"/>
            <w:bottom w:val="none" w:sz="0" w:space="0" w:color="auto"/>
            <w:right w:val="none" w:sz="0" w:space="0" w:color="auto"/>
          </w:divBdr>
          <w:divsChild>
            <w:div w:id="993677184">
              <w:marLeft w:val="0"/>
              <w:marRight w:val="0"/>
              <w:marTop w:val="0"/>
              <w:marBottom w:val="0"/>
              <w:divBdr>
                <w:top w:val="none" w:sz="0" w:space="0" w:color="auto"/>
                <w:left w:val="none" w:sz="0" w:space="0" w:color="auto"/>
                <w:bottom w:val="none" w:sz="0" w:space="0" w:color="auto"/>
                <w:right w:val="none" w:sz="0" w:space="0" w:color="auto"/>
              </w:divBdr>
              <w:divsChild>
                <w:div w:id="531499590">
                  <w:marLeft w:val="0"/>
                  <w:marRight w:val="0"/>
                  <w:marTop w:val="0"/>
                  <w:marBottom w:val="0"/>
                  <w:divBdr>
                    <w:top w:val="none" w:sz="0" w:space="0" w:color="auto"/>
                    <w:left w:val="none" w:sz="0" w:space="0" w:color="auto"/>
                    <w:bottom w:val="none" w:sz="0" w:space="0" w:color="auto"/>
                    <w:right w:val="none" w:sz="0" w:space="0" w:color="auto"/>
                  </w:divBdr>
                  <w:divsChild>
                    <w:div w:id="977760018">
                      <w:marLeft w:val="0"/>
                      <w:marRight w:val="0"/>
                      <w:marTop w:val="0"/>
                      <w:marBottom w:val="0"/>
                      <w:divBdr>
                        <w:top w:val="none" w:sz="0" w:space="0" w:color="auto"/>
                        <w:left w:val="none" w:sz="0" w:space="0" w:color="auto"/>
                        <w:bottom w:val="none" w:sz="0" w:space="0" w:color="auto"/>
                        <w:right w:val="none" w:sz="0" w:space="0" w:color="auto"/>
                      </w:divBdr>
                      <w:divsChild>
                        <w:div w:id="1398211916">
                          <w:marLeft w:val="0"/>
                          <w:marRight w:val="0"/>
                          <w:marTop w:val="0"/>
                          <w:marBottom w:val="0"/>
                          <w:divBdr>
                            <w:top w:val="none" w:sz="0" w:space="0" w:color="auto"/>
                            <w:left w:val="none" w:sz="0" w:space="0" w:color="auto"/>
                            <w:bottom w:val="none" w:sz="0" w:space="0" w:color="auto"/>
                            <w:right w:val="none" w:sz="0" w:space="0" w:color="auto"/>
                          </w:divBdr>
                          <w:divsChild>
                            <w:div w:id="170305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000615">
      <w:marLeft w:val="0"/>
      <w:marRight w:val="0"/>
      <w:marTop w:val="0"/>
      <w:marBottom w:val="0"/>
      <w:divBdr>
        <w:top w:val="none" w:sz="0" w:space="0" w:color="auto"/>
        <w:left w:val="none" w:sz="0" w:space="0" w:color="auto"/>
        <w:bottom w:val="none" w:sz="0" w:space="0" w:color="auto"/>
        <w:right w:val="none" w:sz="0" w:space="0" w:color="auto"/>
      </w:divBdr>
    </w:div>
    <w:div w:id="2053535516">
      <w:bodyDiv w:val="1"/>
      <w:marLeft w:val="0"/>
      <w:marRight w:val="0"/>
      <w:marTop w:val="0"/>
      <w:marBottom w:val="0"/>
      <w:divBdr>
        <w:top w:val="none" w:sz="0" w:space="0" w:color="auto"/>
        <w:left w:val="none" w:sz="0" w:space="0" w:color="auto"/>
        <w:bottom w:val="none" w:sz="0" w:space="0" w:color="auto"/>
        <w:right w:val="none" w:sz="0" w:space="0" w:color="auto"/>
      </w:divBdr>
    </w:div>
    <w:div w:id="2055738624">
      <w:bodyDiv w:val="1"/>
      <w:marLeft w:val="0"/>
      <w:marRight w:val="0"/>
      <w:marTop w:val="0"/>
      <w:marBottom w:val="0"/>
      <w:divBdr>
        <w:top w:val="none" w:sz="0" w:space="0" w:color="auto"/>
        <w:left w:val="none" w:sz="0" w:space="0" w:color="auto"/>
        <w:bottom w:val="none" w:sz="0" w:space="0" w:color="auto"/>
        <w:right w:val="none" w:sz="0" w:space="0" w:color="auto"/>
      </w:divBdr>
    </w:div>
    <w:div w:id="2056545726">
      <w:marLeft w:val="0"/>
      <w:marRight w:val="0"/>
      <w:marTop w:val="0"/>
      <w:marBottom w:val="0"/>
      <w:divBdr>
        <w:top w:val="none" w:sz="0" w:space="0" w:color="auto"/>
        <w:left w:val="none" w:sz="0" w:space="0" w:color="auto"/>
        <w:bottom w:val="none" w:sz="0" w:space="0" w:color="auto"/>
        <w:right w:val="none" w:sz="0" w:space="0" w:color="auto"/>
      </w:divBdr>
    </w:div>
    <w:div w:id="2059010702">
      <w:bodyDiv w:val="1"/>
      <w:marLeft w:val="0"/>
      <w:marRight w:val="0"/>
      <w:marTop w:val="0"/>
      <w:marBottom w:val="0"/>
      <w:divBdr>
        <w:top w:val="none" w:sz="0" w:space="0" w:color="auto"/>
        <w:left w:val="none" w:sz="0" w:space="0" w:color="auto"/>
        <w:bottom w:val="none" w:sz="0" w:space="0" w:color="auto"/>
        <w:right w:val="none" w:sz="0" w:space="0" w:color="auto"/>
      </w:divBdr>
      <w:divsChild>
        <w:div w:id="1795556515">
          <w:marLeft w:val="0"/>
          <w:marRight w:val="0"/>
          <w:marTop w:val="0"/>
          <w:marBottom w:val="0"/>
          <w:divBdr>
            <w:top w:val="none" w:sz="0" w:space="0" w:color="auto"/>
            <w:left w:val="none" w:sz="0" w:space="0" w:color="auto"/>
            <w:bottom w:val="none" w:sz="0" w:space="0" w:color="auto"/>
            <w:right w:val="none" w:sz="0" w:space="0" w:color="auto"/>
          </w:divBdr>
          <w:divsChild>
            <w:div w:id="2166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64086">
      <w:bodyDiv w:val="1"/>
      <w:marLeft w:val="0"/>
      <w:marRight w:val="0"/>
      <w:marTop w:val="0"/>
      <w:marBottom w:val="0"/>
      <w:divBdr>
        <w:top w:val="none" w:sz="0" w:space="0" w:color="auto"/>
        <w:left w:val="none" w:sz="0" w:space="0" w:color="auto"/>
        <w:bottom w:val="none" w:sz="0" w:space="0" w:color="auto"/>
        <w:right w:val="none" w:sz="0" w:space="0" w:color="auto"/>
      </w:divBdr>
    </w:div>
    <w:div w:id="2066026431">
      <w:bodyDiv w:val="1"/>
      <w:marLeft w:val="0"/>
      <w:marRight w:val="0"/>
      <w:marTop w:val="0"/>
      <w:marBottom w:val="0"/>
      <w:divBdr>
        <w:top w:val="none" w:sz="0" w:space="0" w:color="auto"/>
        <w:left w:val="none" w:sz="0" w:space="0" w:color="auto"/>
        <w:bottom w:val="none" w:sz="0" w:space="0" w:color="auto"/>
        <w:right w:val="none" w:sz="0" w:space="0" w:color="auto"/>
      </w:divBdr>
    </w:div>
    <w:div w:id="2072265745">
      <w:bodyDiv w:val="1"/>
      <w:marLeft w:val="0"/>
      <w:marRight w:val="0"/>
      <w:marTop w:val="0"/>
      <w:marBottom w:val="0"/>
      <w:divBdr>
        <w:top w:val="none" w:sz="0" w:space="0" w:color="auto"/>
        <w:left w:val="none" w:sz="0" w:space="0" w:color="auto"/>
        <w:bottom w:val="none" w:sz="0" w:space="0" w:color="auto"/>
        <w:right w:val="none" w:sz="0" w:space="0" w:color="auto"/>
      </w:divBdr>
    </w:div>
    <w:div w:id="2072846353">
      <w:bodyDiv w:val="1"/>
      <w:marLeft w:val="0"/>
      <w:marRight w:val="0"/>
      <w:marTop w:val="0"/>
      <w:marBottom w:val="0"/>
      <w:divBdr>
        <w:top w:val="none" w:sz="0" w:space="0" w:color="auto"/>
        <w:left w:val="none" w:sz="0" w:space="0" w:color="auto"/>
        <w:bottom w:val="none" w:sz="0" w:space="0" w:color="auto"/>
        <w:right w:val="none" w:sz="0" w:space="0" w:color="auto"/>
      </w:divBdr>
    </w:div>
    <w:div w:id="2078047568">
      <w:bodyDiv w:val="1"/>
      <w:marLeft w:val="0"/>
      <w:marRight w:val="0"/>
      <w:marTop w:val="0"/>
      <w:marBottom w:val="0"/>
      <w:divBdr>
        <w:top w:val="none" w:sz="0" w:space="0" w:color="auto"/>
        <w:left w:val="none" w:sz="0" w:space="0" w:color="auto"/>
        <w:bottom w:val="none" w:sz="0" w:space="0" w:color="auto"/>
        <w:right w:val="none" w:sz="0" w:space="0" w:color="auto"/>
      </w:divBdr>
    </w:div>
    <w:div w:id="2095124297">
      <w:bodyDiv w:val="1"/>
      <w:marLeft w:val="0"/>
      <w:marRight w:val="0"/>
      <w:marTop w:val="0"/>
      <w:marBottom w:val="0"/>
      <w:divBdr>
        <w:top w:val="none" w:sz="0" w:space="0" w:color="auto"/>
        <w:left w:val="none" w:sz="0" w:space="0" w:color="auto"/>
        <w:bottom w:val="none" w:sz="0" w:space="0" w:color="auto"/>
        <w:right w:val="none" w:sz="0" w:space="0" w:color="auto"/>
      </w:divBdr>
    </w:div>
    <w:div w:id="2116171679">
      <w:bodyDiv w:val="1"/>
      <w:marLeft w:val="0"/>
      <w:marRight w:val="0"/>
      <w:marTop w:val="0"/>
      <w:marBottom w:val="0"/>
      <w:divBdr>
        <w:top w:val="none" w:sz="0" w:space="0" w:color="auto"/>
        <w:left w:val="none" w:sz="0" w:space="0" w:color="auto"/>
        <w:bottom w:val="none" w:sz="0" w:space="0" w:color="auto"/>
        <w:right w:val="none" w:sz="0" w:space="0" w:color="auto"/>
      </w:divBdr>
    </w:div>
    <w:div w:id="2117627776">
      <w:bodyDiv w:val="1"/>
      <w:marLeft w:val="0"/>
      <w:marRight w:val="0"/>
      <w:marTop w:val="0"/>
      <w:marBottom w:val="0"/>
      <w:divBdr>
        <w:top w:val="none" w:sz="0" w:space="0" w:color="auto"/>
        <w:left w:val="none" w:sz="0" w:space="0" w:color="auto"/>
        <w:bottom w:val="none" w:sz="0" w:space="0" w:color="auto"/>
        <w:right w:val="none" w:sz="0" w:space="0" w:color="auto"/>
      </w:divBdr>
    </w:div>
    <w:div w:id="2118134363">
      <w:bodyDiv w:val="1"/>
      <w:marLeft w:val="0"/>
      <w:marRight w:val="0"/>
      <w:marTop w:val="0"/>
      <w:marBottom w:val="0"/>
      <w:divBdr>
        <w:top w:val="none" w:sz="0" w:space="0" w:color="auto"/>
        <w:left w:val="none" w:sz="0" w:space="0" w:color="auto"/>
        <w:bottom w:val="none" w:sz="0" w:space="0" w:color="auto"/>
        <w:right w:val="none" w:sz="0" w:space="0" w:color="auto"/>
      </w:divBdr>
    </w:div>
    <w:div w:id="2118518960">
      <w:bodyDiv w:val="1"/>
      <w:marLeft w:val="0"/>
      <w:marRight w:val="0"/>
      <w:marTop w:val="0"/>
      <w:marBottom w:val="0"/>
      <w:divBdr>
        <w:top w:val="none" w:sz="0" w:space="0" w:color="auto"/>
        <w:left w:val="none" w:sz="0" w:space="0" w:color="auto"/>
        <w:bottom w:val="none" w:sz="0" w:space="0" w:color="auto"/>
        <w:right w:val="none" w:sz="0" w:space="0" w:color="auto"/>
      </w:divBdr>
      <w:divsChild>
        <w:div w:id="1006321331">
          <w:marLeft w:val="0"/>
          <w:marRight w:val="0"/>
          <w:marTop w:val="0"/>
          <w:marBottom w:val="0"/>
          <w:divBdr>
            <w:top w:val="none" w:sz="0" w:space="0" w:color="auto"/>
            <w:left w:val="none" w:sz="0" w:space="0" w:color="auto"/>
            <w:bottom w:val="none" w:sz="0" w:space="0" w:color="auto"/>
            <w:right w:val="none" w:sz="0" w:space="0" w:color="auto"/>
          </w:divBdr>
        </w:div>
      </w:divsChild>
    </w:div>
    <w:div w:id="2118601664">
      <w:bodyDiv w:val="1"/>
      <w:marLeft w:val="0"/>
      <w:marRight w:val="0"/>
      <w:marTop w:val="0"/>
      <w:marBottom w:val="0"/>
      <w:divBdr>
        <w:top w:val="none" w:sz="0" w:space="0" w:color="auto"/>
        <w:left w:val="none" w:sz="0" w:space="0" w:color="auto"/>
        <w:bottom w:val="none" w:sz="0" w:space="0" w:color="auto"/>
        <w:right w:val="none" w:sz="0" w:space="0" w:color="auto"/>
      </w:divBdr>
    </w:div>
    <w:div w:id="2122218200">
      <w:bodyDiv w:val="1"/>
      <w:marLeft w:val="0"/>
      <w:marRight w:val="0"/>
      <w:marTop w:val="0"/>
      <w:marBottom w:val="0"/>
      <w:divBdr>
        <w:top w:val="none" w:sz="0" w:space="0" w:color="auto"/>
        <w:left w:val="none" w:sz="0" w:space="0" w:color="auto"/>
        <w:bottom w:val="none" w:sz="0" w:space="0" w:color="auto"/>
        <w:right w:val="none" w:sz="0" w:space="0" w:color="auto"/>
      </w:divBdr>
      <w:divsChild>
        <w:div w:id="1442988704">
          <w:marLeft w:val="0"/>
          <w:marRight w:val="0"/>
          <w:marTop w:val="0"/>
          <w:marBottom w:val="0"/>
          <w:divBdr>
            <w:top w:val="none" w:sz="0" w:space="0" w:color="auto"/>
            <w:left w:val="none" w:sz="0" w:space="0" w:color="auto"/>
            <w:bottom w:val="none" w:sz="0" w:space="0" w:color="auto"/>
            <w:right w:val="none" w:sz="0" w:space="0" w:color="auto"/>
          </w:divBdr>
          <w:divsChild>
            <w:div w:id="453672714">
              <w:marLeft w:val="0"/>
              <w:marRight w:val="0"/>
              <w:marTop w:val="0"/>
              <w:marBottom w:val="0"/>
              <w:divBdr>
                <w:top w:val="none" w:sz="0" w:space="0" w:color="auto"/>
                <w:left w:val="none" w:sz="0" w:space="0" w:color="auto"/>
                <w:bottom w:val="none" w:sz="0" w:space="0" w:color="auto"/>
                <w:right w:val="none" w:sz="0" w:space="0" w:color="auto"/>
              </w:divBdr>
              <w:divsChild>
                <w:div w:id="1676882344">
                  <w:marLeft w:val="0"/>
                  <w:marRight w:val="0"/>
                  <w:marTop w:val="0"/>
                  <w:marBottom w:val="0"/>
                  <w:divBdr>
                    <w:top w:val="none" w:sz="0" w:space="0" w:color="auto"/>
                    <w:left w:val="none" w:sz="0" w:space="0" w:color="auto"/>
                    <w:bottom w:val="none" w:sz="0" w:space="0" w:color="auto"/>
                    <w:right w:val="none" w:sz="0" w:space="0" w:color="auto"/>
                  </w:divBdr>
                  <w:divsChild>
                    <w:div w:id="56075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029450">
          <w:marLeft w:val="0"/>
          <w:marRight w:val="0"/>
          <w:marTop w:val="0"/>
          <w:marBottom w:val="0"/>
          <w:divBdr>
            <w:top w:val="none" w:sz="0" w:space="0" w:color="auto"/>
            <w:left w:val="none" w:sz="0" w:space="0" w:color="auto"/>
            <w:bottom w:val="none" w:sz="0" w:space="0" w:color="auto"/>
            <w:right w:val="none" w:sz="0" w:space="0" w:color="auto"/>
          </w:divBdr>
          <w:divsChild>
            <w:div w:id="1183858979">
              <w:marLeft w:val="0"/>
              <w:marRight w:val="0"/>
              <w:marTop w:val="0"/>
              <w:marBottom w:val="0"/>
              <w:divBdr>
                <w:top w:val="none" w:sz="0" w:space="0" w:color="auto"/>
                <w:left w:val="none" w:sz="0" w:space="0" w:color="auto"/>
                <w:bottom w:val="none" w:sz="0" w:space="0" w:color="auto"/>
                <w:right w:val="none" w:sz="0" w:space="0" w:color="auto"/>
              </w:divBdr>
              <w:divsChild>
                <w:div w:id="432819938">
                  <w:marLeft w:val="0"/>
                  <w:marRight w:val="0"/>
                  <w:marTop w:val="0"/>
                  <w:marBottom w:val="0"/>
                  <w:divBdr>
                    <w:top w:val="none" w:sz="0" w:space="0" w:color="auto"/>
                    <w:left w:val="none" w:sz="0" w:space="0" w:color="auto"/>
                    <w:bottom w:val="none" w:sz="0" w:space="0" w:color="auto"/>
                    <w:right w:val="none" w:sz="0" w:space="0" w:color="auto"/>
                  </w:divBdr>
                  <w:divsChild>
                    <w:div w:id="5230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29268">
      <w:bodyDiv w:val="1"/>
      <w:marLeft w:val="0"/>
      <w:marRight w:val="0"/>
      <w:marTop w:val="0"/>
      <w:marBottom w:val="0"/>
      <w:divBdr>
        <w:top w:val="none" w:sz="0" w:space="0" w:color="auto"/>
        <w:left w:val="none" w:sz="0" w:space="0" w:color="auto"/>
        <w:bottom w:val="none" w:sz="0" w:space="0" w:color="auto"/>
        <w:right w:val="none" w:sz="0" w:space="0" w:color="auto"/>
      </w:divBdr>
    </w:div>
    <w:div w:id="2128691744">
      <w:bodyDiv w:val="1"/>
      <w:marLeft w:val="0"/>
      <w:marRight w:val="0"/>
      <w:marTop w:val="0"/>
      <w:marBottom w:val="0"/>
      <w:divBdr>
        <w:top w:val="none" w:sz="0" w:space="0" w:color="auto"/>
        <w:left w:val="none" w:sz="0" w:space="0" w:color="auto"/>
        <w:bottom w:val="none" w:sz="0" w:space="0" w:color="auto"/>
        <w:right w:val="none" w:sz="0" w:space="0" w:color="auto"/>
      </w:divBdr>
    </w:div>
    <w:div w:id="2133091745">
      <w:bodyDiv w:val="1"/>
      <w:marLeft w:val="0"/>
      <w:marRight w:val="0"/>
      <w:marTop w:val="0"/>
      <w:marBottom w:val="0"/>
      <w:divBdr>
        <w:top w:val="none" w:sz="0" w:space="0" w:color="auto"/>
        <w:left w:val="none" w:sz="0" w:space="0" w:color="auto"/>
        <w:bottom w:val="none" w:sz="0" w:space="0" w:color="auto"/>
        <w:right w:val="none" w:sz="0" w:space="0" w:color="auto"/>
      </w:divBdr>
    </w:div>
    <w:div w:id="2134667517">
      <w:bodyDiv w:val="1"/>
      <w:marLeft w:val="0"/>
      <w:marRight w:val="0"/>
      <w:marTop w:val="0"/>
      <w:marBottom w:val="0"/>
      <w:divBdr>
        <w:top w:val="none" w:sz="0" w:space="0" w:color="auto"/>
        <w:left w:val="none" w:sz="0" w:space="0" w:color="auto"/>
        <w:bottom w:val="none" w:sz="0" w:space="0" w:color="auto"/>
        <w:right w:val="none" w:sz="0" w:space="0" w:color="auto"/>
      </w:divBdr>
    </w:div>
    <w:div w:id="2141459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4.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png"/><Relationship Id="rId25" Type="http://schemas.openxmlformats.org/officeDocument/2006/relationships/chart" Target="charts/chart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erridata.dnp.gov.co/index-app.html" TargetMode="External"/><Relationship Id="rId20" Type="http://schemas.openxmlformats.org/officeDocument/2006/relationships/image" Target="media/image7.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9.xm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chart" Target="charts/chart8.xml"/><Relationship Id="rId28" Type="http://schemas.microsoft.com/office/2014/relationships/chartEx" Target="charts/chartEx1.xml"/><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image" Target="media/image9.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oleObject" Target="https://mailuis-my.sharepoint.com/personal/aarenass_uis_edu_co/Documents/0-BD-INFORMES-2025/informeAfiliados_diciembre%2030%20de%202025.xls"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mailuis-my.sharepoint.com/personal/uisalud_enfermeria3_uis_edu_co/Documents/mortalidad%20capo.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https://mailuis-my.sharepoint.com/personal/uisalud_enfermeria3_uis_edu_co/Documents/mortalidad%20capo.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https://mailuis-my.sharepoint.com/personal/uisalud_enfermeria3_uis_edu_co/Documents/mortalidad%20capo.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wnloads\datos_tendencia_comple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H:\Mi%20unidad\Proyecto%20UISALUD\1_Caracteriza&#243;n\Docs%20Trabajo\MAP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10.1.174.214\Epidemiologia\AFILIADOS\informeAfiliados_diciembre%2030%20de%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ownloads\eventos_uisalu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https://mailuis-my.sharepoint.com/personal/aarenass_uis_edu_co/Documents/PLAN%20CONTINGENCIA%20DENGUE%202023-2026/grafico_edad_sexo.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https://mailuis-my.sharepoint.com/personal/aarenass_uis_edu_co/Documents/0-BD-INFORMES-2025/TablaIncapacidades.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https://mailuis-my.sharepoint.com/personal/uisalud_enfermeria3_uis_edu_co/Documents/mortalidad%20capo.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https://mailuis-my.sharepoint.com/personal/uisalud_enfermeria3_uis_edu_co/Documents/mortalidad%20capo.xlsx" TargetMode="External"/><Relationship Id="rId2" Type="http://schemas.microsoft.com/office/2011/relationships/chartColorStyle" Target="colors8.xml"/><Relationship Id="rId1" Type="http://schemas.microsoft.com/office/2011/relationships/chartStyle" Target="style8.xml"/></Relationships>
</file>

<file path=word/charts/_rels/chartEx1.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https://mailuis-my.sharepoint.com/personal/aarenass_uis_edu_co/Documents/0-BD-INFORMES-2025/0-Defunciones2019-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IngresosEgresos!$B$57</c:f>
              <c:strCache>
                <c:ptCount val="1"/>
                <c:pt idx="0">
                  <c:v>Primera infancia</c:v>
                </c:pt>
              </c:strCache>
            </c:strRef>
          </c:tx>
          <c:spPr>
            <a:solidFill>
              <a:schemeClr val="accent1"/>
            </a:solidFill>
            <a:ln>
              <a:noFill/>
            </a:ln>
            <a:effectLst/>
          </c:spPr>
          <c:invertIfNegative val="0"/>
          <c:cat>
            <c:numRef>
              <c:f>IngresosEgresos!$A$58:$A$67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IngresosEgresos!$B$58:$B$67</c:f>
              <c:numCache>
                <c:formatCode>General</c:formatCode>
                <c:ptCount val="10"/>
                <c:pt idx="0">
                  <c:v>80</c:v>
                </c:pt>
                <c:pt idx="1">
                  <c:v>98</c:v>
                </c:pt>
                <c:pt idx="2">
                  <c:v>95</c:v>
                </c:pt>
                <c:pt idx="3">
                  <c:v>84</c:v>
                </c:pt>
                <c:pt idx="4">
                  <c:v>76</c:v>
                </c:pt>
                <c:pt idx="5">
                  <c:v>194</c:v>
                </c:pt>
                <c:pt idx="6">
                  <c:v>69</c:v>
                </c:pt>
                <c:pt idx="7">
                  <c:v>67</c:v>
                </c:pt>
                <c:pt idx="8">
                  <c:v>60</c:v>
                </c:pt>
                <c:pt idx="9">
                  <c:v>71</c:v>
                </c:pt>
              </c:numCache>
            </c:numRef>
          </c:val>
          <c:extLst>
            <c:ext xmlns:c16="http://schemas.microsoft.com/office/drawing/2014/chart" uri="{C3380CC4-5D6E-409C-BE32-E72D297353CC}">
              <c16:uniqueId val="{00000000-55E6-42A2-924F-738418DD1619}"/>
            </c:ext>
          </c:extLst>
        </c:ser>
        <c:ser>
          <c:idx val="1"/>
          <c:order val="1"/>
          <c:tx>
            <c:strRef>
              <c:f>IngresosEgresos!$C$57</c:f>
              <c:strCache>
                <c:ptCount val="1"/>
                <c:pt idx="0">
                  <c:v>Infancia</c:v>
                </c:pt>
              </c:strCache>
            </c:strRef>
          </c:tx>
          <c:spPr>
            <a:solidFill>
              <a:schemeClr val="accent2"/>
            </a:solidFill>
            <a:ln>
              <a:noFill/>
            </a:ln>
            <a:effectLst/>
          </c:spPr>
          <c:invertIfNegative val="0"/>
          <c:cat>
            <c:numRef>
              <c:f>IngresosEgresos!$A$58:$A$67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IngresosEgresos!$C$58:$C$67</c:f>
              <c:numCache>
                <c:formatCode>General</c:formatCode>
                <c:ptCount val="10"/>
                <c:pt idx="0">
                  <c:v>180</c:v>
                </c:pt>
                <c:pt idx="1">
                  <c:v>181</c:v>
                </c:pt>
                <c:pt idx="2">
                  <c:v>157</c:v>
                </c:pt>
                <c:pt idx="3">
                  <c:v>138</c:v>
                </c:pt>
                <c:pt idx="4">
                  <c:v>133</c:v>
                </c:pt>
                <c:pt idx="5">
                  <c:v>70</c:v>
                </c:pt>
                <c:pt idx="6">
                  <c:v>116</c:v>
                </c:pt>
                <c:pt idx="7">
                  <c:v>116</c:v>
                </c:pt>
                <c:pt idx="8">
                  <c:v>119</c:v>
                </c:pt>
                <c:pt idx="9">
                  <c:v>121</c:v>
                </c:pt>
              </c:numCache>
            </c:numRef>
          </c:val>
          <c:extLst>
            <c:ext xmlns:c16="http://schemas.microsoft.com/office/drawing/2014/chart" uri="{C3380CC4-5D6E-409C-BE32-E72D297353CC}">
              <c16:uniqueId val="{00000001-55E6-42A2-924F-738418DD1619}"/>
            </c:ext>
          </c:extLst>
        </c:ser>
        <c:ser>
          <c:idx val="2"/>
          <c:order val="2"/>
          <c:tx>
            <c:strRef>
              <c:f>IngresosEgresos!$D$57</c:f>
              <c:strCache>
                <c:ptCount val="1"/>
                <c:pt idx="0">
                  <c:v>Adolescencia</c:v>
                </c:pt>
              </c:strCache>
            </c:strRef>
          </c:tx>
          <c:spPr>
            <a:solidFill>
              <a:schemeClr val="accent3"/>
            </a:solidFill>
            <a:ln>
              <a:noFill/>
            </a:ln>
            <a:effectLst/>
          </c:spPr>
          <c:invertIfNegative val="0"/>
          <c:cat>
            <c:numRef>
              <c:f>IngresosEgresos!$A$58:$A$67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IngresosEgresos!$D$58:$D$67</c:f>
              <c:numCache>
                <c:formatCode>General</c:formatCode>
                <c:ptCount val="10"/>
                <c:pt idx="0">
                  <c:v>210</c:v>
                </c:pt>
                <c:pt idx="1">
                  <c:v>214</c:v>
                </c:pt>
                <c:pt idx="2">
                  <c:v>212</c:v>
                </c:pt>
                <c:pt idx="3">
                  <c:v>207</c:v>
                </c:pt>
                <c:pt idx="4">
                  <c:v>200</c:v>
                </c:pt>
                <c:pt idx="5">
                  <c:v>127</c:v>
                </c:pt>
                <c:pt idx="6">
                  <c:v>207</c:v>
                </c:pt>
                <c:pt idx="7">
                  <c:v>199</c:v>
                </c:pt>
                <c:pt idx="8">
                  <c:v>181</c:v>
                </c:pt>
                <c:pt idx="9">
                  <c:v>167</c:v>
                </c:pt>
              </c:numCache>
            </c:numRef>
          </c:val>
          <c:extLst>
            <c:ext xmlns:c16="http://schemas.microsoft.com/office/drawing/2014/chart" uri="{C3380CC4-5D6E-409C-BE32-E72D297353CC}">
              <c16:uniqueId val="{00000002-55E6-42A2-924F-738418DD1619}"/>
            </c:ext>
          </c:extLst>
        </c:ser>
        <c:ser>
          <c:idx val="3"/>
          <c:order val="3"/>
          <c:tx>
            <c:strRef>
              <c:f>IngresosEgresos!$E$57</c:f>
              <c:strCache>
                <c:ptCount val="1"/>
                <c:pt idx="0">
                  <c:v>Juventud</c:v>
                </c:pt>
              </c:strCache>
            </c:strRef>
          </c:tx>
          <c:spPr>
            <a:solidFill>
              <a:schemeClr val="accent4"/>
            </a:solidFill>
            <a:ln>
              <a:noFill/>
            </a:ln>
            <a:effectLst/>
          </c:spPr>
          <c:invertIfNegative val="0"/>
          <c:cat>
            <c:numRef>
              <c:f>IngresosEgresos!$A$58:$A$67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IngresosEgresos!$E$58:$E$67</c:f>
              <c:numCache>
                <c:formatCode>General</c:formatCode>
                <c:ptCount val="10"/>
                <c:pt idx="0">
                  <c:v>340</c:v>
                </c:pt>
                <c:pt idx="1">
                  <c:v>258</c:v>
                </c:pt>
                <c:pt idx="2">
                  <c:v>275</c:v>
                </c:pt>
                <c:pt idx="3">
                  <c:v>256</c:v>
                </c:pt>
                <c:pt idx="4">
                  <c:v>253</c:v>
                </c:pt>
                <c:pt idx="5">
                  <c:v>240</c:v>
                </c:pt>
                <c:pt idx="6">
                  <c:v>224</c:v>
                </c:pt>
                <c:pt idx="7">
                  <c:v>201</c:v>
                </c:pt>
                <c:pt idx="8">
                  <c:v>200</c:v>
                </c:pt>
                <c:pt idx="9">
                  <c:v>203</c:v>
                </c:pt>
              </c:numCache>
            </c:numRef>
          </c:val>
          <c:extLst>
            <c:ext xmlns:c16="http://schemas.microsoft.com/office/drawing/2014/chart" uri="{C3380CC4-5D6E-409C-BE32-E72D297353CC}">
              <c16:uniqueId val="{00000003-55E6-42A2-924F-738418DD1619}"/>
            </c:ext>
          </c:extLst>
        </c:ser>
        <c:ser>
          <c:idx val="4"/>
          <c:order val="4"/>
          <c:tx>
            <c:strRef>
              <c:f>IngresosEgresos!$F$57</c:f>
              <c:strCache>
                <c:ptCount val="1"/>
                <c:pt idx="0">
                  <c:v>Adultez</c:v>
                </c:pt>
              </c:strCache>
            </c:strRef>
          </c:tx>
          <c:spPr>
            <a:solidFill>
              <a:schemeClr val="accent5"/>
            </a:solidFill>
            <a:ln>
              <a:noFill/>
            </a:ln>
            <a:effectLst/>
          </c:spPr>
          <c:invertIfNegative val="0"/>
          <c:trendline>
            <c:spPr>
              <a:ln w="19050" cap="rnd">
                <a:solidFill>
                  <a:schemeClr val="accent5"/>
                </a:solidFill>
                <a:prstDash val="sysDot"/>
              </a:ln>
              <a:effectLst/>
            </c:spPr>
            <c:trendlineType val="linear"/>
            <c:dispRSqr val="0"/>
            <c:dispEq val="0"/>
          </c:trendline>
          <c:cat>
            <c:numRef>
              <c:f>IngresosEgresos!$A$58:$A$67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IngresosEgresos!$F$58:$F$67</c:f>
              <c:numCache>
                <c:formatCode>General</c:formatCode>
                <c:ptCount val="10"/>
                <c:pt idx="0">
                  <c:v>1020</c:v>
                </c:pt>
                <c:pt idx="1">
                  <c:v>1044</c:v>
                </c:pt>
                <c:pt idx="2">
                  <c:v>1012</c:v>
                </c:pt>
                <c:pt idx="3">
                  <c:v>967</c:v>
                </c:pt>
                <c:pt idx="4">
                  <c:v>905</c:v>
                </c:pt>
                <c:pt idx="5">
                  <c:v>874</c:v>
                </c:pt>
                <c:pt idx="6">
                  <c:v>843</c:v>
                </c:pt>
                <c:pt idx="7">
                  <c:v>826</c:v>
                </c:pt>
                <c:pt idx="8">
                  <c:v>806</c:v>
                </c:pt>
                <c:pt idx="9">
                  <c:v>829</c:v>
                </c:pt>
              </c:numCache>
            </c:numRef>
          </c:val>
          <c:extLst>
            <c:ext xmlns:c16="http://schemas.microsoft.com/office/drawing/2014/chart" uri="{C3380CC4-5D6E-409C-BE32-E72D297353CC}">
              <c16:uniqueId val="{00000005-55E6-42A2-924F-738418DD1619}"/>
            </c:ext>
          </c:extLst>
        </c:ser>
        <c:ser>
          <c:idx val="5"/>
          <c:order val="5"/>
          <c:tx>
            <c:strRef>
              <c:f>IngresosEgresos!$G$57</c:f>
              <c:strCache>
                <c:ptCount val="1"/>
                <c:pt idx="0">
                  <c:v>Vejez</c:v>
                </c:pt>
              </c:strCache>
            </c:strRef>
          </c:tx>
          <c:spPr>
            <a:solidFill>
              <a:schemeClr val="accent6"/>
            </a:solidFill>
            <a:ln>
              <a:noFill/>
            </a:ln>
            <a:effectLst/>
          </c:spPr>
          <c:invertIfNegative val="0"/>
          <c:trendline>
            <c:spPr>
              <a:ln w="19050" cap="rnd">
                <a:solidFill>
                  <a:schemeClr val="accent6"/>
                </a:solidFill>
                <a:prstDash val="sysDot"/>
              </a:ln>
              <a:effectLst/>
            </c:spPr>
            <c:trendlineType val="linear"/>
            <c:dispRSqr val="0"/>
            <c:dispEq val="0"/>
          </c:trendline>
          <c:cat>
            <c:numRef>
              <c:f>IngresosEgresos!$A$58:$A$67</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IngresosEgresos!$G$58:$G$67</c:f>
              <c:numCache>
                <c:formatCode>General</c:formatCode>
                <c:ptCount val="10"/>
                <c:pt idx="0">
                  <c:v>1200</c:v>
                </c:pt>
                <c:pt idx="1">
                  <c:v>1185</c:v>
                </c:pt>
                <c:pt idx="2">
                  <c:v>1217</c:v>
                </c:pt>
                <c:pt idx="3">
                  <c:v>1256</c:v>
                </c:pt>
                <c:pt idx="4">
                  <c:v>1301</c:v>
                </c:pt>
                <c:pt idx="5">
                  <c:v>1324</c:v>
                </c:pt>
                <c:pt idx="6">
                  <c:v>1354</c:v>
                </c:pt>
                <c:pt idx="7">
                  <c:v>1371</c:v>
                </c:pt>
                <c:pt idx="8">
                  <c:v>1394</c:v>
                </c:pt>
                <c:pt idx="9">
                  <c:v>1401</c:v>
                </c:pt>
              </c:numCache>
            </c:numRef>
          </c:val>
          <c:extLst>
            <c:ext xmlns:c16="http://schemas.microsoft.com/office/drawing/2014/chart" uri="{C3380CC4-5D6E-409C-BE32-E72D297353CC}">
              <c16:uniqueId val="{00000007-55E6-42A2-924F-738418DD1619}"/>
            </c:ext>
          </c:extLst>
        </c:ser>
        <c:dLbls>
          <c:showLegendKey val="0"/>
          <c:showVal val="0"/>
          <c:showCatName val="0"/>
          <c:showSerName val="0"/>
          <c:showPercent val="0"/>
          <c:showBubbleSize val="0"/>
        </c:dLbls>
        <c:gapWidth val="219"/>
        <c:overlap val="-27"/>
        <c:axId val="955248016"/>
        <c:axId val="955245936"/>
      </c:barChart>
      <c:catAx>
        <c:axId val="955248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955245936"/>
        <c:crosses val="autoZero"/>
        <c:auto val="1"/>
        <c:lblAlgn val="ctr"/>
        <c:lblOffset val="100"/>
        <c:noMultiLvlLbl val="0"/>
      </c:catAx>
      <c:valAx>
        <c:axId val="95524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955248016"/>
        <c:crosses val="autoZero"/>
        <c:crossBetween val="between"/>
      </c:valAx>
      <c:spPr>
        <a:noFill/>
        <a:ln>
          <a:noFill/>
        </a:ln>
        <a:effectLst/>
      </c:spPr>
    </c:plotArea>
    <c:legend>
      <c:legendPos val="t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Mortalidad específica por subgrupo hombres</a:t>
            </a:r>
            <a:r>
              <a:rPr lang="es-CO" baseline="0"/>
              <a:t> UISALUD, 2024</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strRef>
              <c:f>subgrupo!$P$1</c:f>
              <c:strCache>
                <c:ptCount val="1"/>
                <c:pt idx="0">
                  <c:v>Tasa ajustada de mortalidad UISALUD *</c:v>
                </c:pt>
              </c:strCache>
            </c:strRef>
          </c:tx>
          <c:spPr>
            <a:solidFill>
              <a:srgbClr val="92D050"/>
            </a:solidFill>
            <a:ln>
              <a:noFill/>
            </a:ln>
            <a:effectLst/>
          </c:spPr>
          <c:invertIfNegative val="0"/>
          <c:cat>
            <c:strRef>
              <c:f>subgrupo!$O$2:$O$10</c:f>
              <c:strCache>
                <c:ptCount val="8"/>
                <c:pt idx="0">
                  <c:v>Tumor maligno de los órganos digestivos y del peritoneo, excepto estómago y colon</c:v>
                </c:pt>
                <c:pt idx="1">
                  <c:v>Tumor maligno de otros órganos genitourinarios</c:v>
                </c:pt>
                <c:pt idx="2">
                  <c:v>Tumores in situ, benignos y los de comportamiento incierto o desconocido</c:v>
                </c:pt>
                <c:pt idx="3">
                  <c:v>Enfermedades isquémicas del corazón</c:v>
                </c:pt>
                <c:pt idx="4">
                  <c:v>Enfermedad cardiopulmonar, enfermedades de la circulación pulmonar y otras formas de enfermedad del corazón</c:v>
                </c:pt>
                <c:pt idx="5">
                  <c:v>Enfermedades cerebrovasculares</c:v>
                </c:pt>
                <c:pt idx="6">
                  <c:v>Trastornos mentales y del comportamiento</c:v>
                </c:pt>
                <c:pt idx="7">
                  <c:v>Enfermedades del sistema nervioso, excepto meningitis</c:v>
                </c:pt>
              </c:strCache>
            </c:strRef>
          </c:cat>
          <c:val>
            <c:numRef>
              <c:f>subgrupo!$P$2:$P$10</c:f>
              <c:numCache>
                <c:formatCode>General</c:formatCode>
                <c:ptCount val="9"/>
                <c:pt idx="0">
                  <c:v>31.5</c:v>
                </c:pt>
                <c:pt idx="1">
                  <c:v>12.77</c:v>
                </c:pt>
                <c:pt idx="2">
                  <c:v>18.73</c:v>
                </c:pt>
                <c:pt idx="3">
                  <c:v>21.88</c:v>
                </c:pt>
                <c:pt idx="4">
                  <c:v>18.73</c:v>
                </c:pt>
                <c:pt idx="5">
                  <c:v>29.17</c:v>
                </c:pt>
                <c:pt idx="6">
                  <c:v>46.61</c:v>
                </c:pt>
                <c:pt idx="7">
                  <c:v>10.94</c:v>
                </c:pt>
              </c:numCache>
            </c:numRef>
          </c:val>
          <c:extLst>
            <c:ext xmlns:c16="http://schemas.microsoft.com/office/drawing/2014/chart" uri="{C3380CC4-5D6E-409C-BE32-E72D297353CC}">
              <c16:uniqueId val="{00000000-5855-4721-9A70-0EC54423E6EF}"/>
            </c:ext>
          </c:extLst>
        </c:ser>
        <c:ser>
          <c:idx val="1"/>
          <c:order val="1"/>
          <c:tx>
            <c:strRef>
              <c:f>subgrupo!$Q$1</c:f>
              <c:strCache>
                <c:ptCount val="1"/>
                <c:pt idx="0">
                  <c:v>Tasa ajustada de mortalidad departamento de Santander *</c:v>
                </c:pt>
              </c:strCache>
            </c:strRef>
          </c:tx>
          <c:spPr>
            <a:solidFill>
              <a:srgbClr val="C00000"/>
            </a:solidFill>
            <a:ln>
              <a:noFill/>
            </a:ln>
            <a:effectLst/>
          </c:spPr>
          <c:invertIfNegative val="0"/>
          <c:cat>
            <c:strRef>
              <c:f>subgrupo!$O$2:$O$10</c:f>
              <c:strCache>
                <c:ptCount val="8"/>
                <c:pt idx="0">
                  <c:v>Tumor maligno de los órganos digestivos y del peritoneo, excepto estómago y colon</c:v>
                </c:pt>
                <c:pt idx="1">
                  <c:v>Tumor maligno de otros órganos genitourinarios</c:v>
                </c:pt>
                <c:pt idx="2">
                  <c:v>Tumores in situ, benignos y los de comportamiento incierto o desconocido</c:v>
                </c:pt>
                <c:pt idx="3">
                  <c:v>Enfermedades isquémicas del corazón</c:v>
                </c:pt>
                <c:pt idx="4">
                  <c:v>Enfermedad cardiopulmonar, enfermedades de la circulación pulmonar y otras formas de enfermedad del corazón</c:v>
                </c:pt>
                <c:pt idx="5">
                  <c:v>Enfermedades cerebrovasculares</c:v>
                </c:pt>
                <c:pt idx="6">
                  <c:v>Trastornos mentales y del comportamiento</c:v>
                </c:pt>
                <c:pt idx="7">
                  <c:v>Enfermedades del sistema nervioso, excepto meningitis</c:v>
                </c:pt>
              </c:strCache>
            </c:strRef>
          </c:cat>
          <c:val>
            <c:numRef>
              <c:f>subgrupo!$Q$2:$Q$10</c:f>
              <c:numCache>
                <c:formatCode>General</c:formatCode>
                <c:ptCount val="9"/>
                <c:pt idx="0">
                  <c:v>15.01</c:v>
                </c:pt>
                <c:pt idx="1">
                  <c:v>4.55</c:v>
                </c:pt>
                <c:pt idx="2">
                  <c:v>6.53</c:v>
                </c:pt>
                <c:pt idx="3">
                  <c:v>86.64</c:v>
                </c:pt>
                <c:pt idx="4">
                  <c:v>11.13</c:v>
                </c:pt>
                <c:pt idx="5">
                  <c:v>28.21</c:v>
                </c:pt>
                <c:pt idx="6">
                  <c:v>3.18</c:v>
                </c:pt>
                <c:pt idx="7">
                  <c:v>14.54</c:v>
                </c:pt>
              </c:numCache>
            </c:numRef>
          </c:val>
          <c:extLst>
            <c:ext xmlns:c16="http://schemas.microsoft.com/office/drawing/2014/chart" uri="{C3380CC4-5D6E-409C-BE32-E72D297353CC}">
              <c16:uniqueId val="{00000001-5855-4721-9A70-0EC54423E6EF}"/>
            </c:ext>
          </c:extLst>
        </c:ser>
        <c:dLbls>
          <c:showLegendKey val="0"/>
          <c:showVal val="0"/>
          <c:showCatName val="0"/>
          <c:showSerName val="0"/>
          <c:showPercent val="0"/>
          <c:showBubbleSize val="0"/>
        </c:dLbls>
        <c:gapWidth val="182"/>
        <c:axId val="296832383"/>
        <c:axId val="296835711"/>
      </c:barChart>
      <c:catAx>
        <c:axId val="2968323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96835711"/>
        <c:crosses val="autoZero"/>
        <c:auto val="1"/>
        <c:lblAlgn val="ctr"/>
        <c:lblOffset val="100"/>
        <c:noMultiLvlLbl val="0"/>
      </c:catAx>
      <c:valAx>
        <c:axId val="2968357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96832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400" b="0" i="0" u="none" strike="noStrike" baseline="0">
                <a:effectLst/>
              </a:rPr>
              <a:t>Tasas de AVPP ajustadas por la edad UISALUD, 2024</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strRef>
              <c:f>AVPP!$B$1</c:f>
              <c:strCache>
                <c:ptCount val="1"/>
                <c:pt idx="0">
                  <c:v>Tasa ajustada de AVPP de la EAPB por entidad territorial en el último año</c:v>
                </c:pt>
              </c:strCache>
            </c:strRef>
          </c:tx>
          <c:spPr>
            <a:solidFill>
              <a:srgbClr val="C00000"/>
            </a:solidFill>
            <a:ln>
              <a:noFill/>
            </a:ln>
            <a:effectLst/>
          </c:spPr>
          <c:invertIfNegative val="0"/>
          <c:cat>
            <c:strRef>
              <c:f>AVPP!$A$2:$A$8</c:f>
              <c:strCache>
                <c:ptCount val="7"/>
                <c:pt idx="0">
                  <c:v>100 - ENFERMEDADES TRANSMISIBLES</c:v>
                </c:pt>
                <c:pt idx="1">
                  <c:v>200 - NEOPLASIAS</c:v>
                </c:pt>
                <c:pt idx="2">
                  <c:v>300 - ENFERMEDADES SISTEMA CIRCULATORIO</c:v>
                </c:pt>
                <c:pt idx="3">
                  <c:v>400 - CIERTAS AFECCIONES ORIGINADAS EN EL PERÍODO PERINATAL</c:v>
                </c:pt>
                <c:pt idx="4">
                  <c:v>500 - CAUSAS EXTERNAS</c:v>
                </c:pt>
                <c:pt idx="5">
                  <c:v>600 - TODAS LAS DEMÁS ENFERMEDADES</c:v>
                </c:pt>
                <c:pt idx="6">
                  <c:v>700 - SIGNOS, SÍNTOMAS Y AFECCIONES MAL DEFINIDAS</c:v>
                </c:pt>
              </c:strCache>
            </c:strRef>
          </c:cat>
          <c:val>
            <c:numRef>
              <c:f>AVPP!$B$2:$B$8</c:f>
              <c:numCache>
                <c:formatCode>0.00</c:formatCode>
                <c:ptCount val="7"/>
                <c:pt idx="0">
                  <c:v>269.63445530220798</c:v>
                </c:pt>
                <c:pt idx="1">
                  <c:v>3262.0340209916799</c:v>
                </c:pt>
                <c:pt idx="2">
                  <c:v>2436.1201592471998</c:v>
                </c:pt>
                <c:pt idx="3">
                  <c:v>0</c:v>
                </c:pt>
                <c:pt idx="4">
                  <c:v>0</c:v>
                </c:pt>
                <c:pt idx="5">
                  <c:v>4494.7520810713004</c:v>
                </c:pt>
                <c:pt idx="6">
                  <c:v>0</c:v>
                </c:pt>
              </c:numCache>
            </c:numRef>
          </c:val>
          <c:extLst>
            <c:ext xmlns:c16="http://schemas.microsoft.com/office/drawing/2014/chart" uri="{C3380CC4-5D6E-409C-BE32-E72D297353CC}">
              <c16:uniqueId val="{00000000-D87A-4812-8DD6-12EEC2A69739}"/>
            </c:ext>
          </c:extLst>
        </c:ser>
        <c:ser>
          <c:idx val="1"/>
          <c:order val="1"/>
          <c:tx>
            <c:strRef>
              <c:f>AVPP!$C$1</c:f>
              <c:strCache>
                <c:ptCount val="1"/>
                <c:pt idx="0">
                  <c:v>UISALUD</c:v>
                </c:pt>
              </c:strCache>
            </c:strRef>
          </c:tx>
          <c:spPr>
            <a:solidFill>
              <a:srgbClr val="92D050"/>
            </a:solidFill>
            <a:ln>
              <a:noFill/>
            </a:ln>
            <a:effectLst/>
          </c:spPr>
          <c:invertIfNegative val="0"/>
          <c:cat>
            <c:strRef>
              <c:f>AVPP!$A$2:$A$8</c:f>
              <c:strCache>
                <c:ptCount val="7"/>
                <c:pt idx="0">
                  <c:v>100 - ENFERMEDADES TRANSMISIBLES</c:v>
                </c:pt>
                <c:pt idx="1">
                  <c:v>200 - NEOPLASIAS</c:v>
                </c:pt>
                <c:pt idx="2">
                  <c:v>300 - ENFERMEDADES SISTEMA CIRCULATORIO</c:v>
                </c:pt>
                <c:pt idx="3">
                  <c:v>400 - CIERTAS AFECCIONES ORIGINADAS EN EL PERÍODO PERINATAL</c:v>
                </c:pt>
                <c:pt idx="4">
                  <c:v>500 - CAUSAS EXTERNAS</c:v>
                </c:pt>
                <c:pt idx="5">
                  <c:v>600 - TODAS LAS DEMÁS ENFERMEDADES</c:v>
                </c:pt>
                <c:pt idx="6">
                  <c:v>700 - SIGNOS, SÍNTOMAS Y AFECCIONES MAL DEFINIDAS</c:v>
                </c:pt>
              </c:strCache>
            </c:strRef>
          </c:cat>
          <c:val>
            <c:numRef>
              <c:f>AVPP!$C$2:$C$8</c:f>
              <c:numCache>
                <c:formatCode>[$-1240A]#,##0.00;\-#,##0.00</c:formatCode>
                <c:ptCount val="7"/>
                <c:pt idx="0">
                  <c:v>678.58550000000002</c:v>
                </c:pt>
                <c:pt idx="1">
                  <c:v>1616.694</c:v>
                </c:pt>
                <c:pt idx="2">
                  <c:v>1578.6673000000001</c:v>
                </c:pt>
                <c:pt idx="3" formatCode="General">
                  <c:v>0</c:v>
                </c:pt>
                <c:pt idx="4">
                  <c:v>2583.9989999999998</c:v>
                </c:pt>
                <c:pt idx="5">
                  <c:v>2042.1974</c:v>
                </c:pt>
                <c:pt idx="6">
                  <c:v>192.33369999999999</c:v>
                </c:pt>
              </c:numCache>
            </c:numRef>
          </c:val>
          <c:extLst>
            <c:ext xmlns:c16="http://schemas.microsoft.com/office/drawing/2014/chart" uri="{C3380CC4-5D6E-409C-BE32-E72D297353CC}">
              <c16:uniqueId val="{00000001-D87A-4812-8DD6-12EEC2A69739}"/>
            </c:ext>
          </c:extLst>
        </c:ser>
        <c:dLbls>
          <c:showLegendKey val="0"/>
          <c:showVal val="0"/>
          <c:showCatName val="0"/>
          <c:showSerName val="0"/>
          <c:showPercent val="0"/>
          <c:showBubbleSize val="0"/>
        </c:dLbls>
        <c:gapWidth val="150"/>
        <c:axId val="1491809263"/>
        <c:axId val="1491817167"/>
      </c:barChart>
      <c:catAx>
        <c:axId val="14918092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91817167"/>
        <c:crosses val="autoZero"/>
        <c:auto val="1"/>
        <c:lblAlgn val="ctr"/>
        <c:lblOffset val="100"/>
        <c:noMultiLvlLbl val="0"/>
      </c:catAx>
      <c:valAx>
        <c:axId val="149181716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4918092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0" i="0" baseline="0">
                <a:effectLst/>
              </a:rPr>
              <a:t>Tasas de AVPP ajustadas por la edad UISALUD, 2024</a:t>
            </a:r>
            <a:endParaRPr lang="es-CO" sz="105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strRef>
              <c:f>AVPP!$O$1</c:f>
              <c:strCache>
                <c:ptCount val="1"/>
                <c:pt idx="0">
                  <c:v>UISALUD</c:v>
                </c:pt>
              </c:strCache>
            </c:strRef>
          </c:tx>
          <c:spPr>
            <a:solidFill>
              <a:srgbClr val="92D050"/>
            </a:solidFill>
            <a:ln>
              <a:noFill/>
            </a:ln>
            <a:effectLst/>
          </c:spPr>
          <c:invertIfNegative val="0"/>
          <c:cat>
            <c:strRef>
              <c:f>AVPP!$N$2:$N$9</c:f>
              <c:strCache>
                <c:ptCount val="8"/>
                <c:pt idx="1">
                  <c:v>100 - ENFERMEDADES TRANSMISIBLES</c:v>
                </c:pt>
                <c:pt idx="2">
                  <c:v>200 - NEOPLASIAS</c:v>
                </c:pt>
                <c:pt idx="3">
                  <c:v>300 - ENFERMEDADES SISTEMA CIRCULATORIO</c:v>
                </c:pt>
                <c:pt idx="4">
                  <c:v>400 - CIERTAS AFECCIONES ORIGINADAS EN EL PERÍODO PERINATAL</c:v>
                </c:pt>
                <c:pt idx="5">
                  <c:v>500 - CAUSAS EXTERNAS</c:v>
                </c:pt>
                <c:pt idx="6">
                  <c:v>600 - TODAS LAS DEMÁS ENFERMEDADES</c:v>
                </c:pt>
                <c:pt idx="7">
                  <c:v>700 - SIGNOS, SÍNTOMAS Y AFECCIONES MAL DEFINIDAS</c:v>
                </c:pt>
              </c:strCache>
            </c:strRef>
          </c:cat>
          <c:val>
            <c:numRef>
              <c:f>AVPP!$O$2:$O$9</c:f>
              <c:numCache>
                <c:formatCode>0.00</c:formatCode>
                <c:ptCount val="8"/>
                <c:pt idx="1">
                  <c:v>0</c:v>
                </c:pt>
                <c:pt idx="2">
                  <c:v>2991.5789473684199</c:v>
                </c:pt>
                <c:pt idx="3">
                  <c:v>1249.12280701754</c:v>
                </c:pt>
                <c:pt idx="4">
                  <c:v>0</c:v>
                </c:pt>
                <c:pt idx="5">
                  <c:v>0</c:v>
                </c:pt>
                <c:pt idx="6">
                  <c:v>624.56140350877195</c:v>
                </c:pt>
                <c:pt idx="7">
                  <c:v>0</c:v>
                </c:pt>
              </c:numCache>
            </c:numRef>
          </c:val>
          <c:extLst>
            <c:ext xmlns:c16="http://schemas.microsoft.com/office/drawing/2014/chart" uri="{C3380CC4-5D6E-409C-BE32-E72D297353CC}">
              <c16:uniqueId val="{00000000-64D2-40F9-BF51-F75EF9EED19B}"/>
            </c:ext>
          </c:extLst>
        </c:ser>
        <c:ser>
          <c:idx val="1"/>
          <c:order val="1"/>
          <c:tx>
            <c:strRef>
              <c:f>AVPP!$P$1</c:f>
              <c:strCache>
                <c:ptCount val="1"/>
                <c:pt idx="0">
                  <c:v>Colombia</c:v>
                </c:pt>
              </c:strCache>
            </c:strRef>
          </c:tx>
          <c:spPr>
            <a:solidFill>
              <a:srgbClr val="C00000"/>
            </a:solidFill>
            <a:ln>
              <a:noFill/>
            </a:ln>
            <a:effectLst/>
          </c:spPr>
          <c:invertIfNegative val="0"/>
          <c:cat>
            <c:strRef>
              <c:f>AVPP!$N$2:$N$9</c:f>
              <c:strCache>
                <c:ptCount val="8"/>
                <c:pt idx="1">
                  <c:v>100 - ENFERMEDADES TRANSMISIBLES</c:v>
                </c:pt>
                <c:pt idx="2">
                  <c:v>200 - NEOPLASIAS</c:v>
                </c:pt>
                <c:pt idx="3">
                  <c:v>300 - ENFERMEDADES SISTEMA CIRCULATORIO</c:v>
                </c:pt>
                <c:pt idx="4">
                  <c:v>400 - CIERTAS AFECCIONES ORIGINADAS EN EL PERÍODO PERINATAL</c:v>
                </c:pt>
                <c:pt idx="5">
                  <c:v>500 - CAUSAS EXTERNAS</c:v>
                </c:pt>
                <c:pt idx="6">
                  <c:v>600 - TODAS LAS DEMÁS ENFERMEDADES</c:v>
                </c:pt>
                <c:pt idx="7">
                  <c:v>700 - SIGNOS, SÍNTOMAS Y AFECCIONES MAL DEFINIDAS</c:v>
                </c:pt>
              </c:strCache>
            </c:strRef>
          </c:cat>
          <c:val>
            <c:numRef>
              <c:f>AVPP!$P$2:$P$9</c:f>
              <c:numCache>
                <c:formatCode>[$-1240A]#,##0.00;\-#,##0.00</c:formatCode>
                <c:ptCount val="8"/>
                <c:pt idx="1">
                  <c:v>504.11660000000001</c:v>
                </c:pt>
                <c:pt idx="2">
                  <c:v>1704.0922</c:v>
                </c:pt>
                <c:pt idx="3">
                  <c:v>1306.9458</c:v>
                </c:pt>
                <c:pt idx="4" formatCode="General">
                  <c:v>0</c:v>
                </c:pt>
                <c:pt idx="5">
                  <c:v>739.75649999999996</c:v>
                </c:pt>
                <c:pt idx="6">
                  <c:v>1912.4173000000001</c:v>
                </c:pt>
                <c:pt idx="7">
                  <c:v>130.9</c:v>
                </c:pt>
              </c:numCache>
            </c:numRef>
          </c:val>
          <c:extLst>
            <c:ext xmlns:c16="http://schemas.microsoft.com/office/drawing/2014/chart" uri="{C3380CC4-5D6E-409C-BE32-E72D297353CC}">
              <c16:uniqueId val="{00000001-64D2-40F9-BF51-F75EF9EED19B}"/>
            </c:ext>
          </c:extLst>
        </c:ser>
        <c:dLbls>
          <c:showLegendKey val="0"/>
          <c:showVal val="0"/>
          <c:showCatName val="0"/>
          <c:showSerName val="0"/>
          <c:showPercent val="0"/>
          <c:showBubbleSize val="0"/>
        </c:dLbls>
        <c:gapWidth val="182"/>
        <c:axId val="1654742127"/>
        <c:axId val="1654744207"/>
      </c:barChart>
      <c:catAx>
        <c:axId val="1654742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54744207"/>
        <c:crosses val="autoZero"/>
        <c:auto val="1"/>
        <c:lblAlgn val="ctr"/>
        <c:lblOffset val="100"/>
        <c:noMultiLvlLbl val="0"/>
      </c:catAx>
      <c:valAx>
        <c:axId val="1654744207"/>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54742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Tendencia</a:t>
            </a:r>
            <a:r>
              <a:rPr lang="es-CO" baseline="0"/>
              <a:t> con Linea de Regresion</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Datos!$B$1</c:f>
              <c:strCache>
                <c:ptCount val="1"/>
                <c:pt idx="0">
                  <c:v>Hombres</c:v>
                </c:pt>
              </c:strCache>
            </c:strRef>
          </c:tx>
          <c:spPr>
            <a:ln w="28575" cap="rnd">
              <a:solidFill>
                <a:schemeClr val="accent1"/>
              </a:solidFill>
              <a:round/>
            </a:ln>
            <a:effectLst/>
          </c:spPr>
          <c:marker>
            <c:symbol val="none"/>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rendlineLbl>
          </c:trendline>
          <c:cat>
            <c:numRef>
              <c:f>Datos!$A$2:$A$12</c:f>
              <c:numCache>
                <c:formatCode>@</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Datos!$B$2:$B$12</c:f>
              <c:numCache>
                <c:formatCode>General</c:formatCode>
                <c:ptCount val="11"/>
                <c:pt idx="0">
                  <c:v>1491</c:v>
                </c:pt>
                <c:pt idx="1">
                  <c:v>1439</c:v>
                </c:pt>
                <c:pt idx="2">
                  <c:v>1445</c:v>
                </c:pt>
                <c:pt idx="3">
                  <c:v>1414</c:v>
                </c:pt>
                <c:pt idx="4">
                  <c:v>1377</c:v>
                </c:pt>
                <c:pt idx="5">
                  <c:v>1363</c:v>
                </c:pt>
                <c:pt idx="6">
                  <c:v>1359</c:v>
                </c:pt>
                <c:pt idx="7">
                  <c:v>1338</c:v>
                </c:pt>
                <c:pt idx="8">
                  <c:v>1338</c:v>
                </c:pt>
                <c:pt idx="9">
                  <c:v>1364</c:v>
                </c:pt>
                <c:pt idx="10">
                  <c:v>1364</c:v>
                </c:pt>
              </c:numCache>
            </c:numRef>
          </c:val>
          <c:smooth val="0"/>
          <c:extLst>
            <c:ext xmlns:c16="http://schemas.microsoft.com/office/drawing/2014/chart" uri="{C3380CC4-5D6E-409C-BE32-E72D297353CC}">
              <c16:uniqueId val="{00000001-04A2-4B54-899B-333A9F43957F}"/>
            </c:ext>
          </c:extLst>
        </c:ser>
        <c:ser>
          <c:idx val="1"/>
          <c:order val="1"/>
          <c:tx>
            <c:strRef>
              <c:f>Datos!$C$1</c:f>
              <c:strCache>
                <c:ptCount val="1"/>
                <c:pt idx="0">
                  <c:v>Mujeres</c:v>
                </c:pt>
              </c:strCache>
            </c:strRef>
          </c:tx>
          <c:spPr>
            <a:ln w="28575" cap="rnd">
              <a:solidFill>
                <a:schemeClr val="accent2"/>
              </a:solidFill>
              <a:round/>
            </a:ln>
            <a:effectLst/>
          </c:spPr>
          <c:marker>
            <c:symbol val="none"/>
          </c:marker>
          <c:trendline>
            <c:spPr>
              <a:ln w="19050" cap="rnd">
                <a:solidFill>
                  <a:schemeClr val="accent2"/>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rendlineLbl>
          </c:trendline>
          <c:cat>
            <c:numRef>
              <c:f>Datos!$A$2:$A$12</c:f>
              <c:numCache>
                <c:formatCode>@</c:formatCode>
                <c:ptCount val="11"/>
                <c:pt idx="0">
                  <c:v>2016</c:v>
                </c:pt>
                <c:pt idx="1">
                  <c:v>2017</c:v>
                </c:pt>
                <c:pt idx="2">
                  <c:v>2018</c:v>
                </c:pt>
                <c:pt idx="3">
                  <c:v>2019</c:v>
                </c:pt>
                <c:pt idx="4">
                  <c:v>2020</c:v>
                </c:pt>
                <c:pt idx="5">
                  <c:v>2021</c:v>
                </c:pt>
                <c:pt idx="6">
                  <c:v>2022</c:v>
                </c:pt>
                <c:pt idx="7">
                  <c:v>2023</c:v>
                </c:pt>
                <c:pt idx="8">
                  <c:v>2024</c:v>
                </c:pt>
                <c:pt idx="9">
                  <c:v>2025</c:v>
                </c:pt>
                <c:pt idx="10">
                  <c:v>2026</c:v>
                </c:pt>
              </c:numCache>
            </c:numRef>
          </c:cat>
          <c:val>
            <c:numRef>
              <c:f>Datos!$C$2:$C$12</c:f>
              <c:numCache>
                <c:formatCode>General</c:formatCode>
                <c:ptCount val="11"/>
                <c:pt idx="0">
                  <c:v>1567</c:v>
                </c:pt>
                <c:pt idx="1">
                  <c:v>1541</c:v>
                </c:pt>
                <c:pt idx="2">
                  <c:v>1523</c:v>
                </c:pt>
                <c:pt idx="3">
                  <c:v>1494</c:v>
                </c:pt>
                <c:pt idx="4">
                  <c:v>1491</c:v>
                </c:pt>
                <c:pt idx="5">
                  <c:v>1466</c:v>
                </c:pt>
                <c:pt idx="6">
                  <c:v>1454</c:v>
                </c:pt>
                <c:pt idx="7">
                  <c:v>1442</c:v>
                </c:pt>
                <c:pt idx="8">
                  <c:v>1422</c:v>
                </c:pt>
                <c:pt idx="9">
                  <c:v>1428</c:v>
                </c:pt>
                <c:pt idx="10">
                  <c:v>1428</c:v>
                </c:pt>
              </c:numCache>
            </c:numRef>
          </c:val>
          <c:smooth val="0"/>
          <c:extLst>
            <c:ext xmlns:c16="http://schemas.microsoft.com/office/drawing/2014/chart" uri="{C3380CC4-5D6E-409C-BE32-E72D297353CC}">
              <c16:uniqueId val="{00000003-04A2-4B54-899B-333A9F43957F}"/>
            </c:ext>
          </c:extLst>
        </c:ser>
        <c:dLbls>
          <c:showLegendKey val="0"/>
          <c:showVal val="0"/>
          <c:showCatName val="0"/>
          <c:showSerName val="0"/>
          <c:showPercent val="0"/>
          <c:showBubbleSize val="0"/>
        </c:dLbls>
        <c:smooth val="0"/>
        <c:axId val="633013264"/>
        <c:axId val="633010768"/>
      </c:lineChart>
      <c:catAx>
        <c:axId val="633013264"/>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33010768"/>
        <c:crosses val="autoZero"/>
        <c:auto val="1"/>
        <c:lblAlgn val="ctr"/>
        <c:lblOffset val="100"/>
        <c:noMultiLvlLbl val="0"/>
      </c:catAx>
      <c:valAx>
        <c:axId val="63301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63301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Hoja2!$C$69</c:f>
              <c:strCache>
                <c:ptCount val="1"/>
                <c:pt idx="0">
                  <c:v>% TOTAL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A58-40E0-B1EB-BD52BB44EBB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A58-40E0-B1EB-BD52BB44EBB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A58-40E0-B1EB-BD52BB44EBB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A58-40E0-B1EB-BD52BB44EBB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A58-40E0-B1EB-BD52BB44EBB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A58-40E0-B1EB-BD52BB44EBB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A58-40E0-B1EB-BD52BB44EBBD}"/>
              </c:ext>
            </c:extLst>
          </c:dPt>
          <c:dLbls>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s-CO"/>
                </a:p>
              </c:txPr>
              <c:showLegendKey val="0"/>
              <c:showVal val="0"/>
              <c:showCatName val="1"/>
              <c:showSerName val="0"/>
              <c:showPercent val="1"/>
              <c:showBubbleSize val="0"/>
              <c:extLst>
                <c:ext xmlns:c16="http://schemas.microsoft.com/office/drawing/2014/chart" uri="{C3380CC4-5D6E-409C-BE32-E72D297353CC}">
                  <c16:uniqueId val="{0000000D-9A58-40E0-B1EB-BD52BB44EB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Hoja2!$B$70:$B$76</c:f>
              <c:strCache>
                <c:ptCount val="7"/>
                <c:pt idx="0">
                  <c:v>1</c:v>
                </c:pt>
                <c:pt idx="1">
                  <c:v>2</c:v>
                </c:pt>
                <c:pt idx="2">
                  <c:v>3</c:v>
                </c:pt>
                <c:pt idx="3">
                  <c:v>4</c:v>
                </c:pt>
                <c:pt idx="4">
                  <c:v>5</c:v>
                </c:pt>
                <c:pt idx="5">
                  <c:v>6</c:v>
                </c:pt>
                <c:pt idx="6">
                  <c:v>SIN REGISTRO</c:v>
                </c:pt>
              </c:strCache>
            </c:strRef>
          </c:cat>
          <c:val>
            <c:numRef>
              <c:f>Hoja2!$C$70:$C$76</c:f>
              <c:numCache>
                <c:formatCode>0.00%</c:formatCode>
                <c:ptCount val="7"/>
                <c:pt idx="0">
                  <c:v>1.0093727469358327E-2</c:v>
                </c:pt>
                <c:pt idx="1">
                  <c:v>4.9026676279740444E-2</c:v>
                </c:pt>
                <c:pt idx="2">
                  <c:v>0.13914924297043979</c:v>
                </c:pt>
                <c:pt idx="3">
                  <c:v>0.32624369142033166</c:v>
                </c:pt>
                <c:pt idx="4">
                  <c:v>9.8774333093006483E-2</c:v>
                </c:pt>
                <c:pt idx="5">
                  <c:v>0.10742609949531362</c:v>
                </c:pt>
                <c:pt idx="6">
                  <c:v>0.26928622927180967</c:v>
                </c:pt>
              </c:numCache>
            </c:numRef>
          </c:val>
          <c:extLst>
            <c:ext xmlns:c16="http://schemas.microsoft.com/office/drawing/2014/chart" uri="{C3380CC4-5D6E-409C-BE32-E72D297353CC}">
              <c16:uniqueId val="{0000000E-9A58-40E0-B1EB-BD52BB44EBBD}"/>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'con-Mb'!$A$3</c:f>
              <c:strCache>
                <c:ptCount val="1"/>
                <c:pt idx="0">
                  <c:v>Enfermedades no transmisibles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'con-Mb'!$B$2:$K$2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'con-Mb'!$B$3:$K$3</c:f>
              <c:numCache>
                <c:formatCode>General</c:formatCode>
                <c:ptCount val="10"/>
                <c:pt idx="0">
                  <c:v>61.1</c:v>
                </c:pt>
                <c:pt idx="1">
                  <c:v>72</c:v>
                </c:pt>
                <c:pt idx="2">
                  <c:v>69.5</c:v>
                </c:pt>
                <c:pt idx="3">
                  <c:v>76.599999999999994</c:v>
                </c:pt>
                <c:pt idx="4">
                  <c:v>70.3</c:v>
                </c:pt>
                <c:pt idx="5">
                  <c:v>79.22</c:v>
                </c:pt>
                <c:pt idx="6">
                  <c:v>81.27</c:v>
                </c:pt>
                <c:pt idx="7">
                  <c:v>81.25</c:v>
                </c:pt>
                <c:pt idx="8">
                  <c:v>74.19</c:v>
                </c:pt>
                <c:pt idx="9">
                  <c:v>74.25</c:v>
                </c:pt>
              </c:numCache>
            </c:numRef>
          </c:val>
          <c:extLst>
            <c:ext xmlns:c16="http://schemas.microsoft.com/office/drawing/2014/chart" uri="{C3380CC4-5D6E-409C-BE32-E72D297353CC}">
              <c16:uniqueId val="{00000000-AEA9-40F4-ABC5-E235569A420B}"/>
            </c:ext>
          </c:extLst>
        </c:ser>
        <c:ser>
          <c:idx val="1"/>
          <c:order val="1"/>
          <c:tx>
            <c:strRef>
              <c:f>'con-Mb'!$A$4</c:f>
              <c:strCache>
                <c:ptCount val="1"/>
                <c:pt idx="0">
                  <c:v>Condiciones transmisibles y nutricionales</c:v>
                </c:pt>
              </c:strCache>
            </c:strRef>
          </c:tx>
          <c:spPr>
            <a:solidFill>
              <a:srgbClr val="FF993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'con-Mb'!$B$2:$K$2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'con-Mb'!$B$4:$K$4</c:f>
              <c:numCache>
                <c:formatCode>General</c:formatCode>
                <c:ptCount val="10"/>
                <c:pt idx="0">
                  <c:v>29</c:v>
                </c:pt>
                <c:pt idx="1">
                  <c:v>17.100000000000001</c:v>
                </c:pt>
                <c:pt idx="2">
                  <c:v>16.2</c:v>
                </c:pt>
                <c:pt idx="3">
                  <c:v>13.1</c:v>
                </c:pt>
                <c:pt idx="4">
                  <c:v>19.899999999999999</c:v>
                </c:pt>
                <c:pt idx="5">
                  <c:v>9.1399999999999988</c:v>
                </c:pt>
                <c:pt idx="6">
                  <c:v>10.8</c:v>
                </c:pt>
                <c:pt idx="7">
                  <c:v>9.07</c:v>
                </c:pt>
                <c:pt idx="8">
                  <c:v>18.43</c:v>
                </c:pt>
                <c:pt idx="9">
                  <c:v>18.04</c:v>
                </c:pt>
              </c:numCache>
            </c:numRef>
          </c:val>
          <c:extLst>
            <c:ext xmlns:c16="http://schemas.microsoft.com/office/drawing/2014/chart" uri="{C3380CC4-5D6E-409C-BE32-E72D297353CC}">
              <c16:uniqueId val="{00000001-AEA9-40F4-ABC5-E235569A420B}"/>
            </c:ext>
          </c:extLst>
        </c:ser>
        <c:ser>
          <c:idx val="2"/>
          <c:order val="2"/>
          <c:tx>
            <c:strRef>
              <c:f>'con-Mb'!$A$5</c:f>
              <c:strCache>
                <c:ptCount val="1"/>
                <c:pt idx="0">
                  <c:v>Otros Signos y síntomas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'con-Mb'!$B$2:$K$2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'con-Mb'!$B$5:$K$5</c:f>
              <c:numCache>
                <c:formatCode>General</c:formatCode>
                <c:ptCount val="10"/>
                <c:pt idx="0">
                  <c:v>7.4</c:v>
                </c:pt>
                <c:pt idx="1">
                  <c:v>7.9</c:v>
                </c:pt>
                <c:pt idx="2">
                  <c:v>8.1</c:v>
                </c:pt>
                <c:pt idx="3">
                  <c:v>7</c:v>
                </c:pt>
                <c:pt idx="4">
                  <c:v>6.79</c:v>
                </c:pt>
                <c:pt idx="5">
                  <c:v>7.26</c:v>
                </c:pt>
                <c:pt idx="6">
                  <c:v>3.8600000000000003</c:v>
                </c:pt>
                <c:pt idx="7">
                  <c:v>4.41</c:v>
                </c:pt>
                <c:pt idx="8">
                  <c:v>4.7</c:v>
                </c:pt>
                <c:pt idx="9">
                  <c:v>4.8500000000000005</c:v>
                </c:pt>
              </c:numCache>
            </c:numRef>
          </c:val>
          <c:extLst>
            <c:ext xmlns:c16="http://schemas.microsoft.com/office/drawing/2014/chart" uri="{C3380CC4-5D6E-409C-BE32-E72D297353CC}">
              <c16:uniqueId val="{00000002-AEA9-40F4-ABC5-E235569A420B}"/>
            </c:ext>
          </c:extLst>
        </c:ser>
        <c:ser>
          <c:idx val="3"/>
          <c:order val="3"/>
          <c:tx>
            <c:strRef>
              <c:f>'con-Mb'!$A$6</c:f>
              <c:strCache>
                <c:ptCount val="1"/>
                <c:pt idx="0">
                  <c:v>Lesiones</c:v>
                </c:pt>
              </c:strCache>
            </c:strRef>
          </c:tx>
          <c:spPr>
            <a:solidFill>
              <a:schemeClr val="accent4"/>
            </a:solidFill>
            <a:ln>
              <a:noFill/>
            </a:ln>
            <a:effectLst/>
          </c:spPr>
          <c:invertIfNegative val="0"/>
          <c:cat>
            <c:numRef>
              <c:f>'con-Mb'!$B$2:$K$2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'con-Mb'!$B$6:$K$6</c:f>
              <c:numCache>
                <c:formatCode>General</c:formatCode>
                <c:ptCount val="10"/>
                <c:pt idx="0">
                  <c:v>2.2999999999999998</c:v>
                </c:pt>
                <c:pt idx="1">
                  <c:v>2.7</c:v>
                </c:pt>
                <c:pt idx="2">
                  <c:v>3.2</c:v>
                </c:pt>
                <c:pt idx="3">
                  <c:v>3.2</c:v>
                </c:pt>
                <c:pt idx="4">
                  <c:v>2.81</c:v>
                </c:pt>
                <c:pt idx="5">
                  <c:v>4.32</c:v>
                </c:pt>
                <c:pt idx="6">
                  <c:v>3.93</c:v>
                </c:pt>
                <c:pt idx="7">
                  <c:v>5.1100000000000003</c:v>
                </c:pt>
                <c:pt idx="8">
                  <c:v>2.6599999999999997</c:v>
                </c:pt>
                <c:pt idx="9">
                  <c:v>2.85</c:v>
                </c:pt>
              </c:numCache>
            </c:numRef>
          </c:val>
          <c:extLst>
            <c:ext xmlns:c16="http://schemas.microsoft.com/office/drawing/2014/chart" uri="{C3380CC4-5D6E-409C-BE32-E72D297353CC}">
              <c16:uniqueId val="{00000003-AEA9-40F4-ABC5-E235569A420B}"/>
            </c:ext>
          </c:extLst>
        </c:ser>
        <c:ser>
          <c:idx val="4"/>
          <c:order val="4"/>
          <c:tx>
            <c:strRef>
              <c:f>'con-Mb'!$A$7</c:f>
              <c:strCache>
                <c:ptCount val="1"/>
                <c:pt idx="0">
                  <c:v>Condiciones maternas perinatales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'con-Mb'!$B$2:$K$2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'con-Mb'!$B$7:$K$7</c:f>
              <c:numCache>
                <c:formatCode>General</c:formatCode>
                <c:ptCount val="10"/>
                <c:pt idx="0">
                  <c:v>0.2</c:v>
                </c:pt>
                <c:pt idx="1">
                  <c:v>0.4</c:v>
                </c:pt>
                <c:pt idx="2">
                  <c:v>3</c:v>
                </c:pt>
                <c:pt idx="3">
                  <c:v>0.1</c:v>
                </c:pt>
                <c:pt idx="4">
                  <c:v>0.14000000000000001</c:v>
                </c:pt>
                <c:pt idx="5">
                  <c:v>0.05</c:v>
                </c:pt>
                <c:pt idx="6">
                  <c:v>0.13999999999999999</c:v>
                </c:pt>
                <c:pt idx="7">
                  <c:v>0.16</c:v>
                </c:pt>
                <c:pt idx="8">
                  <c:v>0.02</c:v>
                </c:pt>
                <c:pt idx="9">
                  <c:v>0.01</c:v>
                </c:pt>
              </c:numCache>
            </c:numRef>
          </c:val>
          <c:extLst>
            <c:ext xmlns:c16="http://schemas.microsoft.com/office/drawing/2014/chart" uri="{C3380CC4-5D6E-409C-BE32-E72D297353CC}">
              <c16:uniqueId val="{00000004-AEA9-40F4-ABC5-E235569A420B}"/>
            </c:ext>
          </c:extLst>
        </c:ser>
        <c:dLbls>
          <c:showLegendKey val="0"/>
          <c:showVal val="0"/>
          <c:showCatName val="0"/>
          <c:showSerName val="0"/>
          <c:showPercent val="0"/>
          <c:showBubbleSize val="0"/>
        </c:dLbls>
        <c:gapWidth val="219"/>
        <c:overlap val="100"/>
        <c:axId val="557498095"/>
        <c:axId val="2076967519"/>
      </c:barChart>
      <c:catAx>
        <c:axId val="557498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076967519"/>
        <c:crosses val="autoZero"/>
        <c:auto val="1"/>
        <c:lblAlgn val="ctr"/>
        <c:lblOffset val="100"/>
        <c:noMultiLvlLbl val="0"/>
      </c:catAx>
      <c:valAx>
        <c:axId val="2076967519"/>
        <c:scaling>
          <c:orientation val="minMax"/>
        </c:scaling>
        <c:delete val="1"/>
        <c:axPos val="l"/>
        <c:numFmt formatCode="General" sourceLinked="1"/>
        <c:majorTickMark val="none"/>
        <c:minorTickMark val="none"/>
        <c:tickLblPos val="nextTo"/>
        <c:crossAx val="557498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CO"/>
              <a:t>2025 n=97</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plotArea>
      <c:layout/>
      <c:pieChart>
        <c:varyColors val="1"/>
        <c:ser>
          <c:idx val="0"/>
          <c:order val="0"/>
          <c:tx>
            <c:strRef>
              <c:f>'Eventos UISALUD'!$B$1</c:f>
              <c:strCache>
                <c:ptCount val="1"/>
                <c:pt idx="0">
                  <c:v>Eventos UISALUD</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D343-4594-9986-5AE933D6837E}"/>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3-D343-4594-9986-5AE933D6837E}"/>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5-D343-4594-9986-5AE933D6837E}"/>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7-D343-4594-9986-5AE933D6837E}"/>
              </c:ext>
            </c:extLst>
          </c:dPt>
          <c:dPt>
            <c:idx val="4"/>
            <c:bubble3D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9-D343-4594-9986-5AE933D6837E}"/>
              </c:ext>
            </c:extLst>
          </c:dPt>
          <c:dPt>
            <c:idx val="5"/>
            <c:bubble3D val="0"/>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B-D343-4594-9986-5AE933D6837E}"/>
              </c:ext>
            </c:extLst>
          </c:dPt>
          <c:dPt>
            <c:idx val="6"/>
            <c:bubble3D val="0"/>
            <c:spPr>
              <a:gradFill rotWithShape="1">
                <a:gsLst>
                  <a:gs pos="0">
                    <a:schemeClr val="accent1">
                      <a:lumMod val="60000"/>
                      <a:tint val="50000"/>
                      <a:satMod val="300000"/>
                    </a:schemeClr>
                  </a:gs>
                  <a:gs pos="35000">
                    <a:schemeClr val="accent1">
                      <a:lumMod val="60000"/>
                      <a:tint val="37000"/>
                      <a:satMod val="300000"/>
                    </a:schemeClr>
                  </a:gs>
                  <a:gs pos="100000">
                    <a:schemeClr val="accent1">
                      <a:lumMod val="60000"/>
                      <a:tint val="15000"/>
                      <a:satMod val="350000"/>
                    </a:schemeClr>
                  </a:gs>
                </a:gsLst>
                <a:lin ang="16200000" scaled="1"/>
              </a:gradFill>
              <a:ln w="9525" cap="flat" cmpd="sng" algn="ctr">
                <a:solidFill>
                  <a:schemeClr val="accent1">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D-D343-4594-9986-5AE933D6837E}"/>
              </c:ext>
            </c:extLst>
          </c:dPt>
          <c:dPt>
            <c:idx val="7"/>
            <c:bubble3D val="0"/>
            <c:spPr>
              <a:gradFill rotWithShape="1">
                <a:gsLst>
                  <a:gs pos="0">
                    <a:schemeClr val="accent2">
                      <a:lumMod val="60000"/>
                      <a:tint val="50000"/>
                      <a:satMod val="300000"/>
                    </a:schemeClr>
                  </a:gs>
                  <a:gs pos="35000">
                    <a:schemeClr val="accent2">
                      <a:lumMod val="60000"/>
                      <a:tint val="37000"/>
                      <a:satMod val="300000"/>
                    </a:schemeClr>
                  </a:gs>
                  <a:gs pos="100000">
                    <a:schemeClr val="accent2">
                      <a:lumMod val="60000"/>
                      <a:tint val="15000"/>
                      <a:satMod val="350000"/>
                    </a:schemeClr>
                  </a:gs>
                </a:gsLst>
                <a:lin ang="16200000" scaled="1"/>
              </a:gradFill>
              <a:ln w="9525" cap="flat" cmpd="sng" algn="ctr">
                <a:solidFill>
                  <a:schemeClr val="accent2">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F-D343-4594-9986-5AE933D6837E}"/>
              </c:ext>
            </c:extLst>
          </c:dPt>
          <c:dPt>
            <c:idx val="8"/>
            <c:bubble3D val="0"/>
            <c:spPr>
              <a:gradFill rotWithShape="1">
                <a:gsLst>
                  <a:gs pos="0">
                    <a:schemeClr val="accent3">
                      <a:lumMod val="60000"/>
                      <a:tint val="50000"/>
                      <a:satMod val="300000"/>
                    </a:schemeClr>
                  </a:gs>
                  <a:gs pos="35000">
                    <a:schemeClr val="accent3">
                      <a:lumMod val="60000"/>
                      <a:tint val="37000"/>
                      <a:satMod val="300000"/>
                    </a:schemeClr>
                  </a:gs>
                  <a:gs pos="100000">
                    <a:schemeClr val="accent3">
                      <a:lumMod val="60000"/>
                      <a:tint val="15000"/>
                      <a:satMod val="350000"/>
                    </a:schemeClr>
                  </a:gs>
                </a:gsLst>
                <a:lin ang="16200000" scaled="1"/>
              </a:gradFill>
              <a:ln w="9525" cap="flat" cmpd="sng" algn="ctr">
                <a:solidFill>
                  <a:schemeClr val="accent3">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11-D343-4594-9986-5AE933D6837E}"/>
              </c:ext>
            </c:extLst>
          </c:dPt>
          <c:dPt>
            <c:idx val="9"/>
            <c:bubble3D val="0"/>
            <c:spPr>
              <a:gradFill rotWithShape="1">
                <a:gsLst>
                  <a:gs pos="0">
                    <a:schemeClr val="accent4">
                      <a:lumMod val="60000"/>
                      <a:tint val="50000"/>
                      <a:satMod val="300000"/>
                    </a:schemeClr>
                  </a:gs>
                  <a:gs pos="35000">
                    <a:schemeClr val="accent4">
                      <a:lumMod val="60000"/>
                      <a:tint val="37000"/>
                      <a:satMod val="300000"/>
                    </a:schemeClr>
                  </a:gs>
                  <a:gs pos="100000">
                    <a:schemeClr val="accent4">
                      <a:lumMod val="60000"/>
                      <a:tint val="15000"/>
                      <a:satMod val="350000"/>
                    </a:schemeClr>
                  </a:gs>
                </a:gsLst>
                <a:lin ang="16200000" scaled="1"/>
              </a:gradFill>
              <a:ln w="9525" cap="flat" cmpd="sng" algn="ctr">
                <a:solidFill>
                  <a:schemeClr val="accent4">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13-D343-4594-9986-5AE933D6837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'Eventos UISALUD'!$A$2:$A$11</c:f>
              <c:strCache>
                <c:ptCount val="10"/>
                <c:pt idx="0">
                  <c:v>DENGUE</c:v>
                </c:pt>
                <c:pt idx="1">
                  <c:v>AGRESIONES POR ANIMALES POTENCIALMENTE TRANSMISORES DE RABIA</c:v>
                </c:pt>
                <c:pt idx="2">
                  <c:v>CÁNCER DE LA MAMA Y CUELLO UTERINO</c:v>
                </c:pt>
                <c:pt idx="3">
                  <c:v>INTENTO DE SUICIDIO</c:v>
                </c:pt>
                <c:pt idx="4">
                  <c:v>TUBERCULOSIS</c:v>
                </c:pt>
                <c:pt idx="5">
                  <c:v>ENFERMEDAD TRANSMITIDA POR ALIMENTOS O AGUA (ETA)</c:v>
                </c:pt>
                <c:pt idx="6">
                  <c:v>IRA POR VIRUS NUEVO</c:v>
                </c:pt>
                <c:pt idx="7">
                  <c:v>TOS FERINA</c:v>
                </c:pt>
                <c:pt idx="8">
                  <c:v>VARICELA INDIVIDUAL</c:v>
                </c:pt>
                <c:pt idx="9">
                  <c:v>VIH/SIDA/MORTALIDAD POR SIDA</c:v>
                </c:pt>
              </c:strCache>
            </c:strRef>
          </c:cat>
          <c:val>
            <c:numRef>
              <c:f>'Eventos UISALUD'!$B$2:$B$11</c:f>
              <c:numCache>
                <c:formatCode>General</c:formatCode>
                <c:ptCount val="10"/>
                <c:pt idx="0">
                  <c:v>73</c:v>
                </c:pt>
                <c:pt idx="1">
                  <c:v>9</c:v>
                </c:pt>
                <c:pt idx="2">
                  <c:v>4</c:v>
                </c:pt>
                <c:pt idx="3">
                  <c:v>4</c:v>
                </c:pt>
                <c:pt idx="4">
                  <c:v>2</c:v>
                </c:pt>
                <c:pt idx="5">
                  <c:v>1</c:v>
                </c:pt>
                <c:pt idx="6">
                  <c:v>1</c:v>
                </c:pt>
                <c:pt idx="7">
                  <c:v>1</c:v>
                </c:pt>
                <c:pt idx="8">
                  <c:v>1</c:v>
                </c:pt>
                <c:pt idx="9">
                  <c:v>1</c:v>
                </c:pt>
              </c:numCache>
            </c:numRef>
          </c:val>
          <c:extLst>
            <c:ext xmlns:c16="http://schemas.microsoft.com/office/drawing/2014/chart" uri="{C3380CC4-5D6E-409C-BE32-E72D297353CC}">
              <c16:uniqueId val="{00000014-D343-4594-9986-5AE933D6837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Datos!$B$1</c:f>
              <c:strCache>
                <c:ptCount val="1"/>
                <c:pt idx="0">
                  <c:v>Hombre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Datos!$A$2:$A$8</c:f>
              <c:strCache>
                <c:ptCount val="7"/>
                <c:pt idx="0">
                  <c:v>40-44</c:v>
                </c:pt>
                <c:pt idx="1">
                  <c:v>55-59</c:v>
                </c:pt>
                <c:pt idx="2">
                  <c:v>60-64</c:v>
                </c:pt>
                <c:pt idx="3">
                  <c:v>65-69</c:v>
                </c:pt>
                <c:pt idx="4">
                  <c:v>70-74</c:v>
                </c:pt>
                <c:pt idx="5">
                  <c:v>75-79</c:v>
                </c:pt>
                <c:pt idx="6">
                  <c:v>80 y más</c:v>
                </c:pt>
              </c:strCache>
            </c:strRef>
          </c:cat>
          <c:val>
            <c:numRef>
              <c:f>Datos!$B$2:$B$8</c:f>
              <c:numCache>
                <c:formatCode>General</c:formatCode>
                <c:ptCount val="7"/>
                <c:pt idx="0">
                  <c:v>20</c:v>
                </c:pt>
                <c:pt idx="1">
                  <c:v>0</c:v>
                </c:pt>
                <c:pt idx="2">
                  <c:v>0</c:v>
                </c:pt>
                <c:pt idx="3">
                  <c:v>20</c:v>
                </c:pt>
                <c:pt idx="4">
                  <c:v>20</c:v>
                </c:pt>
                <c:pt idx="5">
                  <c:v>0</c:v>
                </c:pt>
                <c:pt idx="6">
                  <c:v>40</c:v>
                </c:pt>
              </c:numCache>
            </c:numRef>
          </c:val>
          <c:extLst>
            <c:ext xmlns:c16="http://schemas.microsoft.com/office/drawing/2014/chart" uri="{C3380CC4-5D6E-409C-BE32-E72D297353CC}">
              <c16:uniqueId val="{00000000-94C6-41FC-B63D-8B670C59C806}"/>
            </c:ext>
          </c:extLst>
        </c:ser>
        <c:ser>
          <c:idx val="1"/>
          <c:order val="1"/>
          <c:tx>
            <c:strRef>
              <c:f>Datos!$C$1</c:f>
              <c:strCache>
                <c:ptCount val="1"/>
                <c:pt idx="0">
                  <c:v>Mujer</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Datos!$A$2:$A$8</c:f>
              <c:strCache>
                <c:ptCount val="7"/>
                <c:pt idx="0">
                  <c:v>40-44</c:v>
                </c:pt>
                <c:pt idx="1">
                  <c:v>55-59</c:v>
                </c:pt>
                <c:pt idx="2">
                  <c:v>60-64</c:v>
                </c:pt>
                <c:pt idx="3">
                  <c:v>65-69</c:v>
                </c:pt>
                <c:pt idx="4">
                  <c:v>70-74</c:v>
                </c:pt>
                <c:pt idx="5">
                  <c:v>75-79</c:v>
                </c:pt>
                <c:pt idx="6">
                  <c:v>80 y más</c:v>
                </c:pt>
              </c:strCache>
            </c:strRef>
          </c:cat>
          <c:val>
            <c:numRef>
              <c:f>Datos!$C$2:$C$8</c:f>
              <c:numCache>
                <c:formatCode>General</c:formatCode>
                <c:ptCount val="7"/>
                <c:pt idx="0">
                  <c:v>0</c:v>
                </c:pt>
                <c:pt idx="1">
                  <c:v>10</c:v>
                </c:pt>
                <c:pt idx="2">
                  <c:v>10</c:v>
                </c:pt>
                <c:pt idx="3">
                  <c:v>40</c:v>
                </c:pt>
                <c:pt idx="4">
                  <c:v>10</c:v>
                </c:pt>
                <c:pt idx="5">
                  <c:v>10</c:v>
                </c:pt>
                <c:pt idx="6">
                  <c:v>20</c:v>
                </c:pt>
              </c:numCache>
            </c:numRef>
          </c:val>
          <c:extLst>
            <c:ext xmlns:c16="http://schemas.microsoft.com/office/drawing/2014/chart" uri="{C3380CC4-5D6E-409C-BE32-E72D297353CC}">
              <c16:uniqueId val="{00000001-94C6-41FC-B63D-8B670C59C806}"/>
            </c:ext>
          </c:extLst>
        </c:ser>
        <c:dLbls>
          <c:dLblPos val="inEnd"/>
          <c:showLegendKey val="0"/>
          <c:showVal val="1"/>
          <c:showCatName val="0"/>
          <c:showSerName val="0"/>
          <c:showPercent val="0"/>
          <c:showBubbleSize val="0"/>
        </c:dLbls>
        <c:gapWidth val="100"/>
        <c:overlap val="-24"/>
        <c:axId val="10"/>
        <c:axId val="100"/>
      </c:barChart>
      <c:catAx>
        <c:axId val="1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Grupo de edad</a:t>
                </a:r>
              </a:p>
            </c:rich>
          </c:tx>
          <c:layout>
            <c:manualLayout>
              <c:xMode val="edge"/>
              <c:yMode val="edge"/>
              <c:x val="0.86829225070270466"/>
              <c:y val="0.91502368326408179"/>
            </c:manualLayout>
          </c:layout>
          <c:overlay val="1"/>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100"/>
        <c:crosses val="autoZero"/>
        <c:auto val="1"/>
        <c:lblAlgn val="ctr"/>
        <c:lblOffset val="100"/>
        <c:noMultiLvlLbl val="1"/>
      </c:catAx>
      <c:valAx>
        <c:axId val="100"/>
        <c:scaling>
          <c:orientation val="minMax"/>
        </c:scaling>
        <c:delete val="1"/>
        <c:axPos val="l"/>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CO"/>
                  <a:t>Porcentaje</a:t>
                </a:r>
              </a:p>
            </c:rich>
          </c:tx>
          <c:layout>
            <c:manualLayout>
              <c:xMode val="edge"/>
              <c:yMode val="edge"/>
              <c:x val="9.0945041372804351E-3"/>
              <c:y val="0.20296411928100827"/>
            </c:manualLayout>
          </c:layout>
          <c:overlay val="1"/>
          <c:spPr>
            <a:noFill/>
            <a:ln>
              <a:noFill/>
            </a:ln>
            <a:effectLst/>
          </c:spPr>
        </c:title>
        <c:numFmt formatCode="General" sourceLinked="1"/>
        <c:majorTickMark val="none"/>
        <c:minorTickMark val="none"/>
        <c:tickLblPos val="nextTo"/>
        <c:crossAx val="1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1"/>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Hoja2!$J$5</c:f>
              <c:strCache>
                <c:ptCount val="1"/>
                <c:pt idx="0">
                  <c:v>Administrativo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Hoja2!$K$4:$M$4</c:f>
              <c:strCache>
                <c:ptCount val="3"/>
                <c:pt idx="0">
                  <c:v>2023</c:v>
                </c:pt>
                <c:pt idx="1">
                  <c:v>2024</c:v>
                </c:pt>
                <c:pt idx="2">
                  <c:v>2025</c:v>
                </c:pt>
              </c:strCache>
            </c:strRef>
          </c:cat>
          <c:val>
            <c:numRef>
              <c:f>Hoja2!$K$5:$M$5</c:f>
              <c:numCache>
                <c:formatCode>0.0%</c:formatCode>
                <c:ptCount val="3"/>
                <c:pt idx="0">
                  <c:v>0.47899999999999998</c:v>
                </c:pt>
                <c:pt idx="1">
                  <c:v>0.56000000000000005</c:v>
                </c:pt>
                <c:pt idx="2">
                  <c:v>0.51800000000000002</c:v>
                </c:pt>
              </c:numCache>
            </c:numRef>
          </c:val>
          <c:extLst>
            <c:ext xmlns:c16="http://schemas.microsoft.com/office/drawing/2014/chart" uri="{C3380CC4-5D6E-409C-BE32-E72D297353CC}">
              <c16:uniqueId val="{00000000-DF93-4488-8A74-E3DABB66B11D}"/>
            </c:ext>
          </c:extLst>
        </c:ser>
        <c:ser>
          <c:idx val="1"/>
          <c:order val="1"/>
          <c:tx>
            <c:strRef>
              <c:f>Hoja2!$J$6</c:f>
              <c:strCache>
                <c:ptCount val="1"/>
                <c:pt idx="0">
                  <c:v>Profesor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Hoja2!$K$4:$M$4</c:f>
              <c:strCache>
                <c:ptCount val="3"/>
                <c:pt idx="0">
                  <c:v>2023</c:v>
                </c:pt>
                <c:pt idx="1">
                  <c:v>2024</c:v>
                </c:pt>
                <c:pt idx="2">
                  <c:v>2025</c:v>
                </c:pt>
              </c:strCache>
            </c:strRef>
          </c:cat>
          <c:val>
            <c:numRef>
              <c:f>Hoja2!$K$6:$M$6</c:f>
              <c:numCache>
                <c:formatCode>0.0%</c:formatCode>
                <c:ptCount val="3"/>
                <c:pt idx="0">
                  <c:v>0.52100000000000002</c:v>
                </c:pt>
                <c:pt idx="1">
                  <c:v>0.44</c:v>
                </c:pt>
                <c:pt idx="2">
                  <c:v>0.48199999999999998</c:v>
                </c:pt>
              </c:numCache>
            </c:numRef>
          </c:val>
          <c:extLst>
            <c:ext xmlns:c16="http://schemas.microsoft.com/office/drawing/2014/chart" uri="{C3380CC4-5D6E-409C-BE32-E72D297353CC}">
              <c16:uniqueId val="{00000001-DF93-4488-8A74-E3DABB66B11D}"/>
            </c:ext>
          </c:extLst>
        </c:ser>
        <c:dLbls>
          <c:dLblPos val="inEnd"/>
          <c:showLegendKey val="0"/>
          <c:showVal val="1"/>
          <c:showCatName val="0"/>
          <c:showSerName val="0"/>
          <c:showPercent val="0"/>
          <c:showBubbleSize val="0"/>
        </c:dLbls>
        <c:gapWidth val="150"/>
        <c:overlap val="100"/>
        <c:axId val="405429071"/>
        <c:axId val="405440303"/>
      </c:barChart>
      <c:catAx>
        <c:axId val="4054290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CO"/>
          </a:p>
        </c:txPr>
        <c:crossAx val="405440303"/>
        <c:crosses val="autoZero"/>
        <c:auto val="1"/>
        <c:lblAlgn val="ctr"/>
        <c:lblOffset val="100"/>
        <c:noMultiLvlLbl val="0"/>
      </c:catAx>
      <c:valAx>
        <c:axId val="405440303"/>
        <c:scaling>
          <c:orientation val="minMax"/>
        </c:scaling>
        <c:delete val="1"/>
        <c:axPos val="l"/>
        <c:numFmt formatCode="0.0%" sourceLinked="1"/>
        <c:majorTickMark val="none"/>
        <c:minorTickMark val="none"/>
        <c:tickLblPos val="nextTo"/>
        <c:crossAx val="4054290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Mortalidad específica por subgrupo UISALUD,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strRef>
              <c:f>subgrupo!$B$1</c:f>
              <c:strCache>
                <c:ptCount val="1"/>
                <c:pt idx="0">
                  <c:v>Tasa ajustada de mortalidad UISALUD *</c:v>
                </c:pt>
              </c:strCache>
            </c:strRef>
          </c:tx>
          <c:spPr>
            <a:solidFill>
              <a:srgbClr val="92D050"/>
            </a:solidFill>
            <a:ln>
              <a:noFill/>
            </a:ln>
            <a:effectLst/>
          </c:spPr>
          <c:invertIfNegative val="0"/>
          <c:cat>
            <c:strRef>
              <c:f>subgrupo!$A$2:$A$13</c:f>
              <c:strCache>
                <c:ptCount val="12"/>
                <c:pt idx="0">
                  <c:v>Infecciones respiratorias agudas</c:v>
                </c:pt>
                <c:pt idx="1">
                  <c:v>Tumor maligno de otros órganos genitourinarios</c:v>
                </c:pt>
                <c:pt idx="2">
                  <c:v>Tumor maligno de los órganos digestivos y del peritoneo, excepto estómago y colon</c:v>
                </c:pt>
                <c:pt idx="3">
                  <c:v>Tumor maligno del tejido linfático, de otros órganos hematopoyéticos y de tejidos afines</c:v>
                </c:pt>
                <c:pt idx="4">
                  <c:v>Tumores malignos de otras localizaciones y de las no especificadas</c:v>
                </c:pt>
                <c:pt idx="5">
                  <c:v>Tumores in situ, benignos y los de comportamiento incierto o desconocido</c:v>
                </c:pt>
                <c:pt idx="6">
                  <c:v>Enfermedades isquémicas del corazón</c:v>
                </c:pt>
                <c:pt idx="7">
                  <c:v>Enfermedad cardiopulmonar, enfermedades de la circulación pulmonar y otras formas de enfermedad del corazón</c:v>
                </c:pt>
                <c:pt idx="8">
                  <c:v>Enfermedades cerebrovasculares</c:v>
                </c:pt>
                <c:pt idx="9">
                  <c:v>Trastornos mentales y del comportamiento</c:v>
                </c:pt>
                <c:pt idx="10">
                  <c:v>Enfermedades del sistema nervioso, excepto meningitis</c:v>
                </c:pt>
                <c:pt idx="11">
                  <c:v>Resto de las enfermedades</c:v>
                </c:pt>
              </c:strCache>
            </c:strRef>
          </c:cat>
          <c:val>
            <c:numRef>
              <c:f>subgrupo!$B$2:$B$13</c:f>
              <c:numCache>
                <c:formatCode>General</c:formatCode>
                <c:ptCount val="12"/>
                <c:pt idx="0">
                  <c:v>5.39</c:v>
                </c:pt>
                <c:pt idx="1">
                  <c:v>6.41</c:v>
                </c:pt>
                <c:pt idx="2">
                  <c:v>14.57</c:v>
                </c:pt>
                <c:pt idx="3">
                  <c:v>5.39</c:v>
                </c:pt>
                <c:pt idx="4">
                  <c:v>5.39</c:v>
                </c:pt>
                <c:pt idx="5">
                  <c:v>5.19</c:v>
                </c:pt>
                <c:pt idx="6">
                  <c:v>21.57</c:v>
                </c:pt>
                <c:pt idx="7">
                  <c:v>8.15</c:v>
                </c:pt>
                <c:pt idx="8">
                  <c:v>1.55</c:v>
                </c:pt>
                <c:pt idx="9">
                  <c:v>18.940000000000001</c:v>
                </c:pt>
                <c:pt idx="10">
                  <c:v>5.39</c:v>
                </c:pt>
                <c:pt idx="11">
                  <c:v>5.39</c:v>
                </c:pt>
              </c:numCache>
            </c:numRef>
          </c:val>
          <c:extLst>
            <c:ext xmlns:c16="http://schemas.microsoft.com/office/drawing/2014/chart" uri="{C3380CC4-5D6E-409C-BE32-E72D297353CC}">
              <c16:uniqueId val="{00000000-2A80-4CED-9C5C-C205FCC068E1}"/>
            </c:ext>
          </c:extLst>
        </c:ser>
        <c:ser>
          <c:idx val="1"/>
          <c:order val="1"/>
          <c:tx>
            <c:strRef>
              <c:f>subgrupo!$C$1</c:f>
              <c:strCache>
                <c:ptCount val="1"/>
                <c:pt idx="0">
                  <c:v>Tasa ajustada de mortalidad departamento de Santander *</c:v>
                </c:pt>
              </c:strCache>
            </c:strRef>
          </c:tx>
          <c:spPr>
            <a:solidFill>
              <a:srgbClr val="C00000"/>
            </a:solidFill>
            <a:ln>
              <a:noFill/>
            </a:ln>
            <a:effectLst/>
          </c:spPr>
          <c:invertIfNegative val="0"/>
          <c:cat>
            <c:strRef>
              <c:f>subgrupo!$A$2:$A$13</c:f>
              <c:strCache>
                <c:ptCount val="12"/>
                <c:pt idx="0">
                  <c:v>Infecciones respiratorias agudas</c:v>
                </c:pt>
                <c:pt idx="1">
                  <c:v>Tumor maligno de otros órganos genitourinarios</c:v>
                </c:pt>
                <c:pt idx="2">
                  <c:v>Tumor maligno de los órganos digestivos y del peritoneo, excepto estómago y colon</c:v>
                </c:pt>
                <c:pt idx="3">
                  <c:v>Tumor maligno del tejido linfático, de otros órganos hematopoyéticos y de tejidos afines</c:v>
                </c:pt>
                <c:pt idx="4">
                  <c:v>Tumores malignos de otras localizaciones y de las no especificadas</c:v>
                </c:pt>
                <c:pt idx="5">
                  <c:v>Tumores in situ, benignos y los de comportamiento incierto o desconocido</c:v>
                </c:pt>
                <c:pt idx="6">
                  <c:v>Enfermedades isquémicas del corazón</c:v>
                </c:pt>
                <c:pt idx="7">
                  <c:v>Enfermedad cardiopulmonar, enfermedades de la circulación pulmonar y otras formas de enfermedad del corazón</c:v>
                </c:pt>
                <c:pt idx="8">
                  <c:v>Enfermedades cerebrovasculares</c:v>
                </c:pt>
                <c:pt idx="9">
                  <c:v>Trastornos mentales y del comportamiento</c:v>
                </c:pt>
                <c:pt idx="10">
                  <c:v>Enfermedades del sistema nervioso, excepto meningitis</c:v>
                </c:pt>
                <c:pt idx="11">
                  <c:v>Resto de las enfermedades</c:v>
                </c:pt>
              </c:strCache>
            </c:strRef>
          </c:cat>
          <c:val>
            <c:numRef>
              <c:f>subgrupo!$C$2:$C$13</c:f>
              <c:numCache>
                <c:formatCode>General</c:formatCode>
                <c:ptCount val="12"/>
                <c:pt idx="0">
                  <c:v>9.98</c:v>
                </c:pt>
                <c:pt idx="1">
                  <c:v>5.24</c:v>
                </c:pt>
                <c:pt idx="2">
                  <c:v>15.36</c:v>
                </c:pt>
                <c:pt idx="3">
                  <c:v>3.52</c:v>
                </c:pt>
                <c:pt idx="4">
                  <c:v>11.91</c:v>
                </c:pt>
                <c:pt idx="5">
                  <c:v>3.56</c:v>
                </c:pt>
                <c:pt idx="6">
                  <c:v>70.209999999999994</c:v>
                </c:pt>
                <c:pt idx="7">
                  <c:v>8.7100000000000009</c:v>
                </c:pt>
                <c:pt idx="8">
                  <c:v>22.41</c:v>
                </c:pt>
                <c:pt idx="9">
                  <c:v>5.47</c:v>
                </c:pt>
                <c:pt idx="10">
                  <c:v>9.14</c:v>
                </c:pt>
                <c:pt idx="11">
                  <c:v>11.76</c:v>
                </c:pt>
              </c:numCache>
            </c:numRef>
          </c:val>
          <c:extLst>
            <c:ext xmlns:c16="http://schemas.microsoft.com/office/drawing/2014/chart" uri="{C3380CC4-5D6E-409C-BE32-E72D297353CC}">
              <c16:uniqueId val="{00000001-2A80-4CED-9C5C-C205FCC068E1}"/>
            </c:ext>
          </c:extLst>
        </c:ser>
        <c:dLbls>
          <c:showLegendKey val="0"/>
          <c:showVal val="0"/>
          <c:showCatName val="0"/>
          <c:showSerName val="0"/>
          <c:showPercent val="0"/>
          <c:showBubbleSize val="0"/>
        </c:dLbls>
        <c:gapWidth val="182"/>
        <c:axId val="823285984"/>
        <c:axId val="823282240"/>
      </c:barChart>
      <c:catAx>
        <c:axId val="823285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23282240"/>
        <c:crosses val="autoZero"/>
        <c:auto val="1"/>
        <c:lblAlgn val="ctr"/>
        <c:lblOffset val="100"/>
        <c:noMultiLvlLbl val="0"/>
      </c:catAx>
      <c:valAx>
        <c:axId val="823282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23285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Mortalidad específica por subgrupo hombres</a:t>
            </a:r>
            <a:r>
              <a:rPr lang="es-CO" baseline="0"/>
              <a:t> UISALUD, 2024</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bar"/>
        <c:grouping val="clustered"/>
        <c:varyColors val="0"/>
        <c:ser>
          <c:idx val="0"/>
          <c:order val="0"/>
          <c:tx>
            <c:strRef>
              <c:f>subgrupo!$P$1</c:f>
              <c:strCache>
                <c:ptCount val="1"/>
                <c:pt idx="0">
                  <c:v>Tasa ajustada de mortalidad UISALUD *</c:v>
                </c:pt>
              </c:strCache>
            </c:strRef>
          </c:tx>
          <c:spPr>
            <a:solidFill>
              <a:srgbClr val="92D050"/>
            </a:solidFill>
            <a:ln>
              <a:noFill/>
            </a:ln>
            <a:effectLst/>
          </c:spPr>
          <c:invertIfNegative val="0"/>
          <c:cat>
            <c:strRef>
              <c:f>subgrupo!$O$2:$O$10</c:f>
              <c:strCache>
                <c:ptCount val="8"/>
                <c:pt idx="0">
                  <c:v>Tumor maligno de los órganos digestivos y del peritoneo, excepto estómago y colon</c:v>
                </c:pt>
                <c:pt idx="1">
                  <c:v>Tumor maligno de otros órganos genitourinarios</c:v>
                </c:pt>
                <c:pt idx="2">
                  <c:v>Tumores in situ, benignos y los de comportamiento incierto o desconocido</c:v>
                </c:pt>
                <c:pt idx="3">
                  <c:v>Enfermedades isquémicas del corazón</c:v>
                </c:pt>
                <c:pt idx="4">
                  <c:v>Enfermedad cardiopulmonar, enfermedades de la circulación pulmonar y otras formas de enfermedad del corazón</c:v>
                </c:pt>
                <c:pt idx="5">
                  <c:v>Enfermedades cerebrovasculares</c:v>
                </c:pt>
                <c:pt idx="6">
                  <c:v>Trastornos mentales y del comportamiento</c:v>
                </c:pt>
                <c:pt idx="7">
                  <c:v>Enfermedades del sistema nervioso, excepto meningitis</c:v>
                </c:pt>
              </c:strCache>
            </c:strRef>
          </c:cat>
          <c:val>
            <c:numRef>
              <c:f>subgrupo!$P$2:$P$10</c:f>
              <c:numCache>
                <c:formatCode>General</c:formatCode>
                <c:ptCount val="9"/>
                <c:pt idx="0">
                  <c:v>31.5</c:v>
                </c:pt>
                <c:pt idx="1">
                  <c:v>12.77</c:v>
                </c:pt>
                <c:pt idx="2">
                  <c:v>18.73</c:v>
                </c:pt>
                <c:pt idx="3">
                  <c:v>21.88</c:v>
                </c:pt>
                <c:pt idx="4">
                  <c:v>18.73</c:v>
                </c:pt>
                <c:pt idx="5">
                  <c:v>29.17</c:v>
                </c:pt>
                <c:pt idx="6">
                  <c:v>46.61</c:v>
                </c:pt>
                <c:pt idx="7">
                  <c:v>10.94</c:v>
                </c:pt>
              </c:numCache>
            </c:numRef>
          </c:val>
          <c:extLst>
            <c:ext xmlns:c16="http://schemas.microsoft.com/office/drawing/2014/chart" uri="{C3380CC4-5D6E-409C-BE32-E72D297353CC}">
              <c16:uniqueId val="{00000000-99C0-48BF-B4D8-09299BB7946C}"/>
            </c:ext>
          </c:extLst>
        </c:ser>
        <c:ser>
          <c:idx val="1"/>
          <c:order val="1"/>
          <c:tx>
            <c:strRef>
              <c:f>subgrupo!$Q$1</c:f>
              <c:strCache>
                <c:ptCount val="1"/>
                <c:pt idx="0">
                  <c:v>Tasa ajustada de mortalidad departamento de Santander *</c:v>
                </c:pt>
              </c:strCache>
            </c:strRef>
          </c:tx>
          <c:spPr>
            <a:solidFill>
              <a:srgbClr val="C00000"/>
            </a:solidFill>
            <a:ln>
              <a:noFill/>
            </a:ln>
            <a:effectLst/>
          </c:spPr>
          <c:invertIfNegative val="0"/>
          <c:cat>
            <c:strRef>
              <c:f>subgrupo!$O$2:$O$10</c:f>
              <c:strCache>
                <c:ptCount val="8"/>
                <c:pt idx="0">
                  <c:v>Tumor maligno de los órganos digestivos y del peritoneo, excepto estómago y colon</c:v>
                </c:pt>
                <c:pt idx="1">
                  <c:v>Tumor maligno de otros órganos genitourinarios</c:v>
                </c:pt>
                <c:pt idx="2">
                  <c:v>Tumores in situ, benignos y los de comportamiento incierto o desconocido</c:v>
                </c:pt>
                <c:pt idx="3">
                  <c:v>Enfermedades isquémicas del corazón</c:v>
                </c:pt>
                <c:pt idx="4">
                  <c:v>Enfermedad cardiopulmonar, enfermedades de la circulación pulmonar y otras formas de enfermedad del corazón</c:v>
                </c:pt>
                <c:pt idx="5">
                  <c:v>Enfermedades cerebrovasculares</c:v>
                </c:pt>
                <c:pt idx="6">
                  <c:v>Trastornos mentales y del comportamiento</c:v>
                </c:pt>
                <c:pt idx="7">
                  <c:v>Enfermedades del sistema nervioso, excepto meningitis</c:v>
                </c:pt>
              </c:strCache>
            </c:strRef>
          </c:cat>
          <c:val>
            <c:numRef>
              <c:f>subgrupo!$Q$2:$Q$10</c:f>
              <c:numCache>
                <c:formatCode>General</c:formatCode>
                <c:ptCount val="9"/>
                <c:pt idx="0">
                  <c:v>15.01</c:v>
                </c:pt>
                <c:pt idx="1">
                  <c:v>4.55</c:v>
                </c:pt>
                <c:pt idx="2">
                  <c:v>6.53</c:v>
                </c:pt>
                <c:pt idx="3">
                  <c:v>86.64</c:v>
                </c:pt>
                <c:pt idx="4">
                  <c:v>11.13</c:v>
                </c:pt>
                <c:pt idx="5">
                  <c:v>28.21</c:v>
                </c:pt>
                <c:pt idx="6">
                  <c:v>3.18</c:v>
                </c:pt>
                <c:pt idx="7">
                  <c:v>14.54</c:v>
                </c:pt>
              </c:numCache>
            </c:numRef>
          </c:val>
          <c:extLst>
            <c:ext xmlns:c16="http://schemas.microsoft.com/office/drawing/2014/chart" uri="{C3380CC4-5D6E-409C-BE32-E72D297353CC}">
              <c16:uniqueId val="{00000001-99C0-48BF-B4D8-09299BB7946C}"/>
            </c:ext>
          </c:extLst>
        </c:ser>
        <c:dLbls>
          <c:showLegendKey val="0"/>
          <c:showVal val="0"/>
          <c:showCatName val="0"/>
          <c:showSerName val="0"/>
          <c:showPercent val="0"/>
          <c:showBubbleSize val="0"/>
        </c:dLbls>
        <c:gapWidth val="182"/>
        <c:axId val="296832383"/>
        <c:axId val="296835711"/>
      </c:barChart>
      <c:catAx>
        <c:axId val="2968323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96835711"/>
        <c:crosses val="autoZero"/>
        <c:auto val="1"/>
        <c:lblAlgn val="ctr"/>
        <c:lblOffset val="100"/>
        <c:noMultiLvlLbl val="0"/>
      </c:catAx>
      <c:valAx>
        <c:axId val="2968357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968323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'2024'!$J$2:$J$998</cx:f>
        <cx:lvl ptCount="997" formatCode="0">
          <cx:pt idx="0">77</cx:pt>
          <cx:pt idx="1">97</cx:pt>
          <cx:pt idx="2">76</cx:pt>
          <cx:pt idx="3">69</cx:pt>
          <cx:pt idx="4">63</cx:pt>
          <cx:pt idx="5">69</cx:pt>
          <cx:pt idx="6">82</cx:pt>
          <cx:pt idx="7">95</cx:pt>
          <cx:pt idx="8">79</cx:pt>
          <cx:pt idx="9">95</cx:pt>
          <cx:pt idx="10">80</cx:pt>
          <cx:pt idx="11">83</cx:pt>
          <cx:pt idx="12">85</cx:pt>
          <cx:pt idx="13">90</cx:pt>
          <cx:pt idx="14">77</cx:pt>
          <cx:pt idx="15">77</cx:pt>
          <cx:pt idx="16">71</cx:pt>
          <cx:pt idx="17">89</cx:pt>
          <cx:pt idx="18">74</cx:pt>
          <cx:pt idx="19">96</cx:pt>
          <cx:pt idx="20">88</cx:pt>
          <cx:pt idx="21">91</cx:pt>
          <cx:pt idx="22">82</cx:pt>
          <cx:pt idx="23">69</cx:pt>
          <cx:pt idx="24">97</cx:pt>
          <cx:pt idx="25">68</cx:pt>
        </cx:lvl>
      </cx:numDim>
    </cx:data>
  </cx:chartData>
  <cx:chart>
    <cx:title pos="t" align="ctr" overlay="0">
      <cx:tx>
        <cx:txData>
          <cx:v>Edad a la Defunción</cx:v>
        </cx:txData>
      </cx:tx>
      <cx:txPr>
        <a:bodyPr spcFirstLastPara="1" vertOverflow="ellipsis" horzOverflow="overflow" wrap="square" lIns="0" tIns="0" rIns="0" bIns="0" anchor="ctr" anchorCtr="1"/>
        <a:lstStyle/>
        <a:p>
          <a:pPr algn="ctr" rtl="0">
            <a:defRPr/>
          </a:pPr>
          <a:r>
            <a:rPr lang="es-ES" sz="1400" b="0" i="0" u="none" strike="noStrike" baseline="0">
              <a:solidFill>
                <a:sysClr val="windowText" lastClr="000000">
                  <a:lumMod val="65000"/>
                  <a:lumOff val="35000"/>
                </a:sysClr>
              </a:solidFill>
              <a:latin typeface="Calibri" panose="020F0502020204030204"/>
            </a:rPr>
            <a:t>Edad a la Defunción</a:t>
          </a:r>
        </a:p>
      </cx:txPr>
    </cx:title>
    <cx:plotArea>
      <cx:plotAreaRegion>
        <cx:series layoutId="boxWhisker" uniqueId="{BE385F9B-D06B-463D-BD94-DF79B50776F9}">
          <cx:tx>
            <cx:txData>
              <cx:f>'2024'!$J$1</cx:f>
              <cx:v>EDAD</cx:v>
            </cx:txData>
          </cx:tx>
          <cx:spPr>
            <a:solidFill>
              <a:schemeClr val="accent6">
                <a:lumMod val="20000"/>
                <a:lumOff val="80000"/>
              </a:schemeClr>
            </a:solidFill>
          </cx:spPr>
          <cx:dataLabels>
            <cx:txPr>
              <a:bodyPr vertOverflow="overflow" horzOverflow="overflow" wrap="square" lIns="0" tIns="0" rIns="0" bIns="0"/>
              <a:lstStyle/>
              <a:p>
                <a:pPr algn="ctr" rtl="0">
                  <a:defRPr sz="1200" b="0" i="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a:p>
            </cx:txPr>
          </cx:dataLabels>
          <cx:dataId val="0"/>
          <cx:layoutPr>
            <cx:visibility meanLine="0" meanMarker="1" nonoutliers="0" outliers="1"/>
            <cx:statistics quartileMethod="exclusive"/>
          </cx:layoutPr>
        </cx:series>
      </cx:plotAreaRegion>
      <cx:axis id="0" hidden="1">
        <cx:catScaling gapWidth="1"/>
        <cx:tickLabels/>
      </cx:axis>
      <cx:axis id="1">
        <cx:valScaling min="50"/>
        <cx:majorGridlines/>
        <cx:tickLabels/>
        <cx:txPr>
          <a:bodyPr vertOverflow="overflow" horzOverflow="overflow" wrap="square" lIns="0" tIns="0" rIns="0" bIns="0"/>
          <a:lstStyle/>
          <a:p>
            <a:pPr algn="ctr" rtl="0">
              <a:defRPr sz="1200" b="0" i="0">
                <a:solidFill>
                  <a:srgbClr val="000000"/>
                </a:solidFill>
                <a:latin typeface="Calibri" panose="020F0502020204030204" pitchFamily="34" charset="0"/>
                <a:ea typeface="Calibri" panose="020F0502020204030204" pitchFamily="34" charset="0"/>
                <a:cs typeface="Calibri" panose="020F0502020204030204" pitchFamily="34" charset="0"/>
              </a:defRPr>
            </a:pPr>
            <a:endParaRPr/>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14321-1961-413B-86E7-6E7707277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99</Pages>
  <Words>31238</Words>
  <Characters>171815</Characters>
  <Application>Microsoft Office Word</Application>
  <DocSecurity>0</DocSecurity>
  <Lines>1431</Lines>
  <Paragraphs>405</Paragraphs>
  <ScaleCrop>false</ScaleCrop>
  <HeadingPairs>
    <vt:vector size="2" baseType="variant">
      <vt:variant>
        <vt:lpstr>Título</vt:lpstr>
      </vt:variant>
      <vt:variant>
        <vt:i4>1</vt:i4>
      </vt:variant>
    </vt:vector>
  </HeadingPairs>
  <TitlesOfParts>
    <vt:vector size="1" baseType="lpstr">
      <vt:lpstr/>
    </vt:vector>
  </TitlesOfParts>
  <Company>UNVIVERSIDAD INDUSTRIAL DE SANTANDER</Company>
  <LinksUpToDate>false</LinksUpToDate>
  <CharactersWithSpaces>202648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 Camilo  Baracaldo Godoy</dc:creator>
  <cp:lastModifiedBy>Adriana Arenas Sánchez - UISalud</cp:lastModifiedBy>
  <cp:revision>6</cp:revision>
  <cp:lastPrinted>2024-11-29T19:52:00Z</cp:lastPrinted>
  <dcterms:created xsi:type="dcterms:W3CDTF">2026-06-02T15:00:00Z</dcterms:created>
  <dcterms:modified xsi:type="dcterms:W3CDTF">2026-06-30T14:38:00Z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2024-09-19T00:00:00Z</vt:filetime>
  </property>
  <property fmtid="{D5CDD505-2E9C-101B-9397-08002B2CF9AE}" pid="3" name="Creator">
    <vt:lpwstr>Microsoft® Word 2019</vt:lpwstr>
  </property>
  <property fmtid="{D5CDD505-2E9C-101B-9397-08002B2CF9AE}" pid="4" name="LastSaved">
    <vt:filetime>2024-09-30T00:00:00Z</vt:filetime>
  </property>
  <property fmtid="{D5CDD505-2E9C-101B-9397-08002B2CF9AE}" pid="5" name="Producer">
    <vt:lpwstr>3-Heights(TM) PDF Security Shell 4.8.25.2 (http://www.pdf-tools.com)</vt:lpwstr>
  </property>
</Properties>
</file>